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42"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ind w:left="138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For the quarterly period ended September 30, 2006</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FIDELITY NATIONAL TITLE GROUP, INC.</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jc w:val="center"/>
              <w:ind w:left="3610"/>
              <w:spacing w:after="0"/>
              <w:rPr>
                <w:sz w:val="20"/>
                <w:szCs w:val="20"/>
                <w:color w:val="auto"/>
              </w:rPr>
            </w:pPr>
            <w:r>
              <w:rPr>
                <w:rFonts w:ascii="Arial" w:cs="Arial" w:eastAsia="Arial" w:hAnsi="Arial"/>
                <w:sz w:val="18"/>
                <w:szCs w:val="18"/>
                <w:color w:val="auto"/>
                <w:w w:val="90"/>
              </w:rPr>
              <w:t>(Exact name of registrant as specified in its charter)</w:t>
            </w:r>
          </w:p>
        </w:tc>
        <w:tc>
          <w:tcPr>
            <w:tcW w:w="3680" w:type="dxa"/>
            <w:vAlign w:val="bottom"/>
          </w:tcPr>
          <w:p>
            <w:pPr>
              <w:spacing w:after="0"/>
              <w:rPr>
                <w:sz w:val="20"/>
                <w:szCs w:val="20"/>
                <w:color w:val="auto"/>
              </w:rPr>
            </w:pPr>
          </w:p>
        </w:tc>
      </w:tr>
      <w:tr>
        <w:trPr>
          <w:trHeight w:val="416"/>
        </w:trPr>
        <w:tc>
          <w:tcPr>
            <w:tcW w:w="7740" w:type="dxa"/>
            <w:vAlign w:val="bottom"/>
            <w:tcBorders>
              <w:bottom w:val="single" w:sz="8" w:color="auto"/>
            </w:tcBorders>
          </w:tcPr>
          <w:p>
            <w:pPr>
              <w:jc w:val="center"/>
              <w:ind w:right="2210"/>
              <w:spacing w:after="0"/>
              <w:rPr>
                <w:sz w:val="20"/>
                <w:szCs w:val="20"/>
                <w:color w:val="auto"/>
              </w:rPr>
            </w:pPr>
            <w:r>
              <w:rPr>
                <w:rFonts w:ascii="Arial" w:cs="Arial" w:eastAsia="Arial" w:hAnsi="Arial"/>
                <w:sz w:val="18"/>
                <w:szCs w:val="18"/>
                <w:color w:val="auto"/>
                <w:w w:val="89"/>
              </w:rPr>
              <w:t>Delaware</w:t>
            </w:r>
          </w:p>
        </w:tc>
        <w:tc>
          <w:tcPr>
            <w:tcW w:w="368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color w:val="auto"/>
              </w:rPr>
              <w:t>16-1725106</w:t>
            </w:r>
          </w:p>
        </w:tc>
      </w:tr>
      <w:tr>
        <w:trPr>
          <w:trHeight w:val="209"/>
        </w:trPr>
        <w:tc>
          <w:tcPr>
            <w:tcW w:w="7740" w:type="dxa"/>
            <w:vAlign w:val="bottom"/>
          </w:tcPr>
          <w:p>
            <w:pPr>
              <w:ind w:left="1640"/>
              <w:spacing w:after="0"/>
              <w:rPr>
                <w:sz w:val="20"/>
                <w:szCs w:val="20"/>
                <w:color w:val="auto"/>
              </w:rPr>
            </w:pPr>
            <w:r>
              <w:rPr>
                <w:rFonts w:ascii="Arial" w:cs="Arial" w:eastAsia="Arial" w:hAnsi="Arial"/>
                <w:sz w:val="18"/>
                <w:szCs w:val="18"/>
                <w:color w:val="auto"/>
              </w:rPr>
              <w:t>(State or other jurisdiction of</w:t>
            </w:r>
          </w:p>
        </w:tc>
        <w:tc>
          <w:tcPr>
            <w:tcW w:w="3680" w:type="dxa"/>
            <w:vAlign w:val="bottom"/>
          </w:tcPr>
          <w:p>
            <w:pPr>
              <w:jc w:val="center"/>
              <w:ind w:right="1650"/>
              <w:spacing w:after="0"/>
              <w:rPr>
                <w:sz w:val="20"/>
                <w:szCs w:val="20"/>
                <w:color w:val="auto"/>
              </w:rPr>
            </w:pPr>
            <w:r>
              <w:rPr>
                <w:rFonts w:ascii="Arial" w:cs="Arial" w:eastAsia="Arial" w:hAnsi="Arial"/>
                <w:sz w:val="18"/>
                <w:szCs w:val="18"/>
                <w:color w:val="auto"/>
                <w:w w:val="92"/>
              </w:rPr>
              <w:t>(I.R.S. Employer</w:t>
            </w:r>
          </w:p>
        </w:tc>
      </w:tr>
      <w:tr>
        <w:trPr>
          <w:trHeight w:val="230"/>
        </w:trPr>
        <w:tc>
          <w:tcPr>
            <w:tcW w:w="7740" w:type="dxa"/>
            <w:vAlign w:val="bottom"/>
          </w:tcPr>
          <w:p>
            <w:pPr>
              <w:jc w:val="center"/>
              <w:ind w:right="2210"/>
              <w:spacing w:after="0"/>
              <w:rPr>
                <w:sz w:val="20"/>
                <w:szCs w:val="20"/>
                <w:color w:val="auto"/>
              </w:rPr>
            </w:pPr>
            <w:r>
              <w:rPr>
                <w:rFonts w:ascii="Arial" w:cs="Arial" w:eastAsia="Arial" w:hAnsi="Arial"/>
                <w:sz w:val="18"/>
                <w:szCs w:val="18"/>
                <w:color w:val="auto"/>
                <w:w w:val="92"/>
              </w:rPr>
              <w:t>incorporation or organization)</w:t>
            </w:r>
          </w:p>
        </w:tc>
        <w:tc>
          <w:tcPr>
            <w:tcW w:w="3680" w:type="dxa"/>
            <w:vAlign w:val="bottom"/>
          </w:tcPr>
          <w:p>
            <w:pPr>
              <w:jc w:val="center"/>
              <w:ind w:right="1650"/>
              <w:spacing w:after="0"/>
              <w:rPr>
                <w:sz w:val="20"/>
                <w:szCs w:val="20"/>
                <w:color w:val="auto"/>
              </w:rPr>
            </w:pPr>
            <w:r>
              <w:rPr>
                <w:rFonts w:ascii="Arial" w:cs="Arial" w:eastAsia="Arial" w:hAnsi="Arial"/>
                <w:sz w:val="18"/>
                <w:szCs w:val="18"/>
                <w:color w:val="auto"/>
                <w:w w:val="94"/>
              </w:rPr>
              <w:t>Identification Number)</w:t>
            </w:r>
          </w:p>
        </w:tc>
      </w:tr>
      <w:tr>
        <w:trPr>
          <w:trHeight w:val="432"/>
        </w:trPr>
        <w:tc>
          <w:tcPr>
            <w:tcW w:w="7740" w:type="dxa"/>
            <w:vAlign w:val="bottom"/>
            <w:tcBorders>
              <w:bottom w:val="single" w:sz="8" w:color="auto"/>
            </w:tcBorders>
          </w:tcPr>
          <w:p>
            <w:pPr>
              <w:jc w:val="center"/>
              <w:ind w:right="2230"/>
              <w:spacing w:after="0"/>
              <w:rPr>
                <w:sz w:val="20"/>
                <w:szCs w:val="20"/>
                <w:color w:val="auto"/>
              </w:rPr>
            </w:pPr>
            <w:r>
              <w:rPr>
                <w:rFonts w:ascii="Arial" w:cs="Arial" w:eastAsia="Arial" w:hAnsi="Arial"/>
                <w:sz w:val="18"/>
                <w:szCs w:val="18"/>
                <w:color w:val="auto"/>
                <w:w w:val="91"/>
              </w:rPr>
              <w:t>601 Riverside Avenue, Jacksonville, Florida</w:t>
            </w:r>
          </w:p>
        </w:tc>
        <w:tc>
          <w:tcPr>
            <w:tcW w:w="3680" w:type="dxa"/>
            <w:vAlign w:val="bottom"/>
            <w:tcBorders>
              <w:bottom w:val="single" w:sz="8" w:color="auto"/>
            </w:tcBorders>
          </w:tcPr>
          <w:p>
            <w:pPr>
              <w:jc w:val="right"/>
              <w:ind w:right="2390"/>
              <w:spacing w:after="0"/>
              <w:rPr>
                <w:sz w:val="20"/>
                <w:szCs w:val="20"/>
                <w:color w:val="auto"/>
              </w:rPr>
            </w:pPr>
            <w:r>
              <w:rPr>
                <w:rFonts w:ascii="Arial" w:cs="Arial" w:eastAsia="Arial" w:hAnsi="Arial"/>
                <w:sz w:val="18"/>
                <w:szCs w:val="18"/>
                <w:color w:val="auto"/>
              </w:rPr>
              <w:t>32204</w:t>
            </w:r>
          </w:p>
        </w:tc>
      </w:tr>
      <w:tr>
        <w:trPr>
          <w:trHeight w:val="224"/>
        </w:trPr>
        <w:tc>
          <w:tcPr>
            <w:tcW w:w="7740" w:type="dxa"/>
            <w:vAlign w:val="bottom"/>
          </w:tcPr>
          <w:p>
            <w:pPr>
              <w:jc w:val="center"/>
              <w:ind w:right="223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right="1670"/>
              <w:spacing w:after="0"/>
              <w:rPr>
                <w:sz w:val="20"/>
                <w:szCs w:val="20"/>
                <w:color w:val="auto"/>
              </w:rPr>
            </w:pPr>
            <w:r>
              <w:rPr>
                <w:rFonts w:ascii="Arial" w:cs="Arial" w:eastAsia="Arial" w:hAnsi="Arial"/>
                <w:sz w:val="18"/>
                <w:szCs w:val="18"/>
                <w:color w:val="auto"/>
                <w:w w:val="94"/>
              </w:rPr>
              <w:t>(Zip Code)</w:t>
            </w:r>
          </w:p>
        </w:tc>
      </w:tr>
      <w:tr>
        <w:trPr>
          <w:trHeight w:val="546"/>
        </w:trPr>
        <w:tc>
          <w:tcPr>
            <w:tcW w:w="7740" w:type="dxa"/>
            <w:vAlign w:val="bottom"/>
            <w:tcBorders>
              <w:bottom w:val="single" w:sz="8" w:color="auto"/>
            </w:tcBorders>
          </w:tcPr>
          <w:p>
            <w:pPr>
              <w:jc w:val="center"/>
              <w:ind w:left="3610"/>
              <w:spacing w:after="0"/>
              <w:rPr>
                <w:sz w:val="20"/>
                <w:szCs w:val="20"/>
                <w:color w:val="auto"/>
              </w:rPr>
            </w:pPr>
            <w:r>
              <w:rPr>
                <w:rFonts w:ascii="Arial" w:cs="Arial" w:eastAsia="Arial" w:hAnsi="Arial"/>
                <w:sz w:val="18"/>
                <w:szCs w:val="18"/>
                <w:color w:val="auto"/>
                <w:w w:val="90"/>
              </w:rPr>
              <w:t>(904) 854-8100</w:t>
            </w:r>
          </w:p>
        </w:tc>
        <w:tc>
          <w:tcPr>
            <w:tcW w:w="3680" w:type="dxa"/>
            <w:vAlign w:val="bottom"/>
            <w:tcBorders>
              <w:bottom w:val="single" w:sz="8" w:color="auto"/>
            </w:tcBorders>
          </w:tcPr>
          <w:p>
            <w:pPr>
              <w:spacing w:after="0"/>
              <w:rPr>
                <w:sz w:val="24"/>
                <w:szCs w:val="24"/>
                <w:color w:val="auto"/>
              </w:rPr>
            </w:pPr>
          </w:p>
        </w:tc>
      </w:tr>
      <w:tr>
        <w:trPr>
          <w:trHeight w:val="230"/>
        </w:trPr>
        <w:tc>
          <w:tcPr>
            <w:tcW w:w="7740" w:type="dxa"/>
            <w:vAlign w:val="bottom"/>
          </w:tcPr>
          <w:p>
            <w:pPr>
              <w:jc w:val="center"/>
              <w:ind w:left="3590"/>
              <w:spacing w:after="0"/>
              <w:rPr>
                <w:sz w:val="20"/>
                <w:szCs w:val="20"/>
                <w:color w:val="auto"/>
              </w:rPr>
            </w:pPr>
            <w:r>
              <w:rPr>
                <w:rFonts w:ascii="Arial" w:cs="Arial" w:eastAsia="Arial" w:hAnsi="Arial"/>
                <w:sz w:val="18"/>
                <w:szCs w:val="18"/>
                <w:color w:val="auto"/>
                <w:w w:val="90"/>
              </w:rPr>
              <w:t>(Registrant’s telephone number, including area code)</w:t>
            </w:r>
          </w:p>
        </w:tc>
        <w:tc>
          <w:tcPr>
            <w:tcW w:w="3680" w:type="dxa"/>
            <w:vAlign w:val="bottom"/>
          </w:tcPr>
          <w:p>
            <w:pPr>
              <w:spacing w:after="0"/>
              <w:rPr>
                <w:sz w:val="20"/>
                <w:szCs w:val="20"/>
                <w:color w:val="auto"/>
              </w:rPr>
            </w:pPr>
          </w:p>
        </w:tc>
      </w:tr>
    </w:tbl>
    <w:p>
      <w:pPr>
        <w:spacing w:after="0" w:line="79"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57"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0"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46" w:lineRule="exact"/>
        <w:rPr>
          <w:sz w:val="20"/>
          <w:szCs w:val="20"/>
          <w:color w:val="auto"/>
        </w:rPr>
      </w:pPr>
    </w:p>
    <w:p>
      <w:pPr>
        <w:ind w:left="3140"/>
        <w:spacing w:after="0" w:line="207" w:lineRule="exact"/>
        <w:rPr>
          <w:sz w:val="20"/>
          <w:szCs w:val="20"/>
          <w:color w:val="auto"/>
        </w:rPr>
      </w:pPr>
      <w:r>
        <w:rPr>
          <w:rFonts w:ascii="Arial" w:cs="Arial" w:eastAsia="Arial" w:hAnsi="Arial"/>
          <w:sz w:val="18"/>
          <w:szCs w:val="18"/>
          <w:color w:val="auto"/>
        </w:rPr>
        <w:t xml:space="preserve">Large Accelerated Filer o Accelerated Filer o Non-Accelerated Filer </w:t>
      </w:r>
      <w:r>
        <w:rPr>
          <w:rFonts w:ascii="MS PGothic" w:cs="MS PGothic" w:eastAsia="MS PGothic" w:hAnsi="MS PGothic"/>
          <w:sz w:val="18"/>
          <w:szCs w:val="18"/>
          <w:color w:val="auto"/>
        </w:rPr>
        <w:t>☑</w:t>
      </w:r>
    </w:p>
    <w:p>
      <w:pPr>
        <w:spacing w:after="0" w:line="117"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September 30, 2006, there were 31,147,357 shares of Class A common stock and 143,176,041 shares of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577850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gridSpan w:val="16"/>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8040" w:type="dxa"/>
            <w:vAlign w:val="bottom"/>
            <w:gridSpan w:val="14"/>
            <w:vMerge w:val="restart"/>
          </w:tcPr>
          <w:p>
            <w:pPr>
              <w:spacing w:after="0"/>
              <w:rPr>
                <w:sz w:val="14"/>
                <w:szCs w:val="14"/>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760" w:type="dxa"/>
            <w:vAlign w:val="bottom"/>
            <w:tcBorders>
              <w:bottom w:val="single" w:sz="8" w:color="0000EE"/>
            </w:tcBorders>
            <w:gridSpan w:val="16"/>
            <w:vMerge w:val="continue"/>
          </w:tcPr>
          <w:p>
            <w:pPr>
              <w:spacing w:after="0"/>
              <w:rPr>
                <w:sz w:val="14"/>
                <w:szCs w:val="14"/>
                <w:color w:val="auto"/>
              </w:rPr>
            </w:pPr>
          </w:p>
        </w:tc>
        <w:tc>
          <w:tcPr>
            <w:tcW w:w="8040" w:type="dxa"/>
            <w:vAlign w:val="bottom"/>
            <w:gridSpan w:val="14"/>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gridSpan w:val="4"/>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Item 1.</w:t>
              </w:r>
            </w:hyperlink>
          </w:p>
        </w:tc>
        <w:tc>
          <w:tcPr>
            <w:tcW w:w="240" w:type="dxa"/>
            <w:vAlign w:val="bottom"/>
            <w:gridSpan w:val="2"/>
          </w:tcPr>
          <w:p>
            <w:pPr>
              <w:spacing w:after="0"/>
              <w:rPr>
                <w:sz w:val="17"/>
                <w:szCs w:val="17"/>
                <w:color w:val="auto"/>
              </w:rPr>
            </w:pPr>
          </w:p>
        </w:tc>
        <w:tc>
          <w:tcPr>
            <w:tcW w:w="1004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Financial Statements</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gridSpan w:val="2"/>
          </w:tcPr>
          <w:p>
            <w:pPr>
              <w:spacing w:after="0"/>
              <w:rPr>
                <w:rFonts w:ascii="Arial" w:cs="Arial" w:eastAsia="Arial" w:hAnsi="Arial"/>
                <w:sz w:val="15"/>
                <w:szCs w:val="15"/>
                <w:color w:val="0000EE"/>
                <w:w w:val="70"/>
              </w:rPr>
            </w:pPr>
            <w:hyperlink w:anchor="page4">
              <w:r>
                <w:rPr>
                  <w:rFonts w:ascii="Arial" w:cs="Arial" w:eastAsia="Arial" w:hAnsi="Arial"/>
                  <w:sz w:val="15"/>
                  <w:szCs w:val="15"/>
                  <w:color w:val="0000EE"/>
                  <w:w w:val="70"/>
                </w:rPr>
                <w:t>A.</w:t>
              </w:r>
            </w:hyperlink>
          </w:p>
        </w:tc>
        <w:tc>
          <w:tcPr>
            <w:tcW w:w="240" w:type="dxa"/>
            <w:vAlign w:val="bottom"/>
            <w:gridSpan w:val="2"/>
          </w:tcPr>
          <w:p>
            <w:pPr>
              <w:spacing w:after="0"/>
              <w:rPr>
                <w:sz w:val="17"/>
                <w:szCs w:val="17"/>
                <w:color w:val="auto"/>
              </w:rPr>
            </w:pPr>
          </w:p>
        </w:tc>
        <w:tc>
          <w:tcPr>
            <w:tcW w:w="1004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2006 and December 31, 2005.</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gridSpan w:val="2"/>
          </w:tcPr>
          <w:p>
            <w:pPr>
              <w:spacing w:after="0"/>
              <w:rPr>
                <w:rFonts w:ascii="Arial" w:cs="Arial" w:eastAsia="Arial" w:hAnsi="Arial"/>
                <w:sz w:val="15"/>
                <w:szCs w:val="15"/>
                <w:color w:val="0000EE"/>
                <w:w w:val="70"/>
              </w:rPr>
            </w:pPr>
            <w:hyperlink w:anchor="page5">
              <w:r>
                <w:rPr>
                  <w:rFonts w:ascii="Arial" w:cs="Arial" w:eastAsia="Arial" w:hAnsi="Arial"/>
                  <w:sz w:val="15"/>
                  <w:szCs w:val="15"/>
                  <w:color w:val="0000EE"/>
                  <w:w w:val="70"/>
                </w:rPr>
                <w:t>B.</w:t>
              </w:r>
            </w:hyperlink>
          </w:p>
        </w:tc>
        <w:tc>
          <w:tcPr>
            <w:tcW w:w="240" w:type="dxa"/>
            <w:vAlign w:val="bottom"/>
            <w:gridSpan w:val="2"/>
          </w:tcPr>
          <w:p>
            <w:pPr>
              <w:spacing w:after="0"/>
              <w:rPr>
                <w:sz w:val="17"/>
                <w:szCs w:val="17"/>
                <w:color w:val="auto"/>
              </w:rPr>
            </w:pPr>
          </w:p>
        </w:tc>
        <w:tc>
          <w:tcPr>
            <w:tcW w:w="10040" w:type="dxa"/>
            <w:vAlign w:val="bottom"/>
            <w:gridSpan w:val="2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Earnings for the three month and nine month periods ended September 30, 2006 and</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Combined Statement of Earnings for the three month and nine month periods ended September 30, 2005.</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gridSpan w:val="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w:t>
              </w:r>
            </w:hyperlink>
          </w:p>
        </w:tc>
        <w:tc>
          <w:tcPr>
            <w:tcW w:w="10040" w:type="dxa"/>
            <w:vAlign w:val="bottom"/>
            <w:gridSpan w:val="24"/>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Condensed Consolidated Statement of Comprehensive Earnings for the three month and nine month periods ended September 30,</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2006 and Condensed Combined Statement of Comprehensive Earnings for the three month and nine month periods ended</w:t>
              </w:r>
            </w:hyperlink>
          </w:p>
        </w:tc>
        <w:tc>
          <w:tcPr>
            <w:tcW w:w="128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September 30, 2005.</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gridSpan w:val="2"/>
          </w:tcPr>
          <w:p>
            <w:pPr>
              <w:spacing w:after="0"/>
              <w:rPr>
                <w:rFonts w:ascii="Arial" w:cs="Arial" w:eastAsia="Arial" w:hAnsi="Arial"/>
                <w:sz w:val="14"/>
                <w:szCs w:val="14"/>
                <w:color w:val="0000EE"/>
                <w:w w:val="71"/>
              </w:rPr>
            </w:pPr>
            <w:hyperlink w:anchor="page7">
              <w:r>
                <w:rPr>
                  <w:rFonts w:ascii="Arial" w:cs="Arial" w:eastAsia="Arial" w:hAnsi="Arial"/>
                  <w:sz w:val="14"/>
                  <w:szCs w:val="14"/>
                  <w:color w:val="0000EE"/>
                  <w:w w:val="71"/>
                </w:rPr>
                <w:t>D.</w:t>
              </w:r>
            </w:hyperlink>
          </w:p>
        </w:tc>
        <w:tc>
          <w:tcPr>
            <w:tcW w:w="240" w:type="dxa"/>
            <w:vAlign w:val="bottom"/>
            <w:gridSpan w:val="2"/>
          </w:tcPr>
          <w:p>
            <w:pPr>
              <w:spacing w:after="0"/>
              <w:rPr>
                <w:sz w:val="17"/>
                <w:szCs w:val="17"/>
                <w:color w:val="auto"/>
              </w:rPr>
            </w:pPr>
          </w:p>
        </w:tc>
        <w:tc>
          <w:tcPr>
            <w:tcW w:w="10040" w:type="dxa"/>
            <w:vAlign w:val="bottom"/>
            <w:gridSpan w:val="2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 of Equity for the three month and nine month periods ended September 30, 2006.</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gridSpan w:val="2"/>
          </w:tcPr>
          <w:p>
            <w:pPr>
              <w:spacing w:after="0"/>
              <w:rPr>
                <w:rFonts w:ascii="Arial" w:cs="Arial" w:eastAsia="Arial" w:hAnsi="Arial"/>
                <w:sz w:val="15"/>
                <w:szCs w:val="15"/>
                <w:color w:val="0000EE"/>
                <w:w w:val="70"/>
              </w:rPr>
            </w:pPr>
            <w:hyperlink w:anchor="page8">
              <w:r>
                <w:rPr>
                  <w:rFonts w:ascii="Arial" w:cs="Arial" w:eastAsia="Arial" w:hAnsi="Arial"/>
                  <w:sz w:val="15"/>
                  <w:szCs w:val="15"/>
                  <w:color w:val="0000EE"/>
                  <w:w w:val="70"/>
                </w:rPr>
                <w:t>E.</w:t>
              </w:r>
            </w:hyperlink>
          </w:p>
        </w:tc>
        <w:tc>
          <w:tcPr>
            <w:tcW w:w="240" w:type="dxa"/>
            <w:vAlign w:val="bottom"/>
            <w:gridSpan w:val="2"/>
          </w:tcPr>
          <w:p>
            <w:pPr>
              <w:spacing w:after="0"/>
              <w:rPr>
                <w:sz w:val="17"/>
                <w:szCs w:val="17"/>
                <w:color w:val="auto"/>
              </w:rPr>
            </w:pPr>
          </w:p>
        </w:tc>
        <w:tc>
          <w:tcPr>
            <w:tcW w:w="10040" w:type="dxa"/>
            <w:vAlign w:val="bottom"/>
            <w:gridSpan w:val="24"/>
          </w:tcPr>
          <w:p>
            <w:pPr>
              <w:spacing w:after="0" w:line="19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Condensed Consolidated Statement of Cash Flows for the nine month period ended September 30, 2006 and Condensed Combined</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920" w:type="dxa"/>
            <w:vAlign w:val="bottom"/>
            <w:gridSpan w:val="7"/>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Statement of Cash Flows for the nine month period ended September 30,2005.</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gridSpan w:val="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F.</w:t>
              </w:r>
            </w:hyperlink>
          </w:p>
        </w:tc>
        <w:tc>
          <w:tcPr>
            <w:tcW w:w="56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Financial Statements.</w:t>
              </w:r>
            </w:hyperlink>
          </w:p>
        </w:tc>
        <w:tc>
          <w:tcPr>
            <w:tcW w:w="4400" w:type="dxa"/>
            <w:vAlign w:val="bottom"/>
            <w:gridSpan w:val="9"/>
          </w:tcPr>
          <w:p>
            <w:pPr>
              <w:spacing w:after="0"/>
              <w:rPr>
                <w:sz w:val="17"/>
                <w:szCs w:val="17"/>
                <w:color w:val="auto"/>
              </w:rPr>
            </w:pPr>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54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4"/>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Item 2.</w:t>
              </w:r>
            </w:hyperlink>
          </w:p>
        </w:tc>
        <w:tc>
          <w:tcPr>
            <w:tcW w:w="240" w:type="dxa"/>
            <w:vAlign w:val="bottom"/>
            <w:gridSpan w:val="2"/>
          </w:tcPr>
          <w:p>
            <w:pPr>
              <w:spacing w:after="0"/>
              <w:rPr>
                <w:sz w:val="17"/>
                <w:szCs w:val="17"/>
                <w:color w:val="auto"/>
              </w:rPr>
            </w:pPr>
          </w:p>
        </w:tc>
        <w:tc>
          <w:tcPr>
            <w:tcW w:w="10040" w:type="dxa"/>
            <w:vAlign w:val="bottom"/>
            <w:gridSpan w:val="2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54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4"/>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Item 3.</w:t>
              </w:r>
            </w:hyperlink>
          </w:p>
        </w:tc>
        <w:tc>
          <w:tcPr>
            <w:tcW w:w="240" w:type="dxa"/>
            <w:vAlign w:val="bottom"/>
            <w:gridSpan w:val="2"/>
          </w:tcPr>
          <w:p>
            <w:pPr>
              <w:spacing w:after="0"/>
              <w:rPr>
                <w:sz w:val="17"/>
                <w:szCs w:val="17"/>
                <w:color w:val="auto"/>
              </w:rPr>
            </w:pPr>
          </w:p>
        </w:tc>
        <w:tc>
          <w:tcPr>
            <w:tcW w:w="10040" w:type="dxa"/>
            <w:vAlign w:val="bottom"/>
            <w:gridSpan w:val="2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 About Market Risk.</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6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4"/>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Item 4.</w:t>
              </w:r>
            </w:hyperlink>
          </w:p>
        </w:tc>
        <w:tc>
          <w:tcPr>
            <w:tcW w:w="240" w:type="dxa"/>
            <w:vAlign w:val="bottom"/>
            <w:gridSpan w:val="2"/>
          </w:tcPr>
          <w:p>
            <w:pPr>
              <w:spacing w:after="0"/>
              <w:rPr>
                <w:sz w:val="17"/>
                <w:szCs w:val="17"/>
                <w:color w:val="auto"/>
              </w:rPr>
            </w:pPr>
          </w:p>
        </w:tc>
        <w:tc>
          <w:tcPr>
            <w:tcW w:w="10040" w:type="dxa"/>
            <w:vAlign w:val="bottom"/>
            <w:gridSpan w:val="2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566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0" w:type="dxa"/>
            <w:vAlign w:val="bottom"/>
            <w:gridSpan w:val="3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Part II: OTHER INFORMATION</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4"/>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Item 1.</w:t>
              </w:r>
            </w:hyperlink>
          </w:p>
        </w:tc>
        <w:tc>
          <w:tcPr>
            <w:tcW w:w="240" w:type="dxa"/>
            <w:vAlign w:val="bottom"/>
            <w:tcBorders>
              <w:top w:val="single" w:sz="8" w:color="0000EE"/>
            </w:tcBorders>
            <w:gridSpan w:val="2"/>
          </w:tcPr>
          <w:p>
            <w:pPr>
              <w:spacing w:after="0"/>
              <w:rPr>
                <w:sz w:val="17"/>
                <w:szCs w:val="17"/>
                <w:color w:val="auto"/>
              </w:rPr>
            </w:pPr>
          </w:p>
        </w:tc>
        <w:tc>
          <w:tcPr>
            <w:tcW w:w="16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8360" w:type="dxa"/>
            <w:vAlign w:val="bottom"/>
            <w:gridSpan w:val="16"/>
          </w:tcPr>
          <w:p>
            <w:pPr>
              <w:spacing w:after="0"/>
              <w:rPr>
                <w:sz w:val="17"/>
                <w:szCs w:val="17"/>
                <w:color w:val="auto"/>
              </w:rPr>
            </w:pPr>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566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1A.</w:t>
              </w:r>
            </w:hyperlink>
          </w:p>
        </w:tc>
        <w:tc>
          <w:tcPr>
            <w:tcW w:w="10040" w:type="dxa"/>
            <w:vAlign w:val="bottom"/>
            <w:gridSpan w:val="2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566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4"/>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Item 2.</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740" w:type="dxa"/>
            <w:vAlign w:val="bottom"/>
            <w:gridSpan w:val="10"/>
            <w:shd w:val="clear" w:color="auto" w:fill="0000EE"/>
          </w:tcPr>
          <w:p>
            <w:pPr>
              <w:spacing w:after="0" w:line="20" w:lineRule="exact"/>
              <w:rPr>
                <w:sz w:val="1"/>
                <w:szCs w:val="1"/>
                <w:color w:val="auto"/>
              </w:rPr>
            </w:pPr>
          </w:p>
        </w:tc>
        <w:tc>
          <w:tcPr>
            <w:tcW w:w="566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4"/>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Item 6.</w:t>
              </w:r>
            </w:hyperlink>
          </w:p>
        </w:tc>
        <w:tc>
          <w:tcPr>
            <w:tcW w:w="240" w:type="dxa"/>
            <w:vAlign w:val="bottom"/>
            <w:gridSpan w:val="2"/>
          </w:tcPr>
          <w:p>
            <w:pPr>
              <w:spacing w:after="0"/>
              <w:rPr>
                <w:sz w:val="17"/>
                <w:szCs w:val="17"/>
                <w:color w:val="auto"/>
              </w:rPr>
            </w:pPr>
          </w:p>
        </w:tc>
        <w:tc>
          <w:tcPr>
            <w:tcW w:w="10040" w:type="dxa"/>
            <w:vAlign w:val="bottom"/>
            <w:gridSpan w:val="2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0" w:type="dxa"/>
            <w:vAlign w:val="bottom"/>
            <w:gridSpan w:val="2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EXHIBIT 31.1</w:t>
            </w:r>
          </w:p>
        </w:tc>
        <w:tc>
          <w:tcPr>
            <w:tcW w:w="9680" w:type="dxa"/>
            <w:vAlign w:val="bottom"/>
            <w:gridSpan w:val="21"/>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EXHIBIT 31.2</w:t>
            </w:r>
          </w:p>
        </w:tc>
        <w:tc>
          <w:tcPr>
            <w:tcW w:w="9680" w:type="dxa"/>
            <w:vAlign w:val="bottom"/>
            <w:gridSpan w:val="21"/>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EXHIBIT 32.1</w:t>
            </w:r>
          </w:p>
        </w:tc>
        <w:tc>
          <w:tcPr>
            <w:tcW w:w="9680" w:type="dxa"/>
            <w:vAlign w:val="bottom"/>
            <w:gridSpan w:val="21"/>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740" w:type="dxa"/>
            <w:vAlign w:val="bottom"/>
            <w:gridSpan w:val="29"/>
          </w:tcPr>
          <w:p>
            <w:pPr>
              <w:spacing w:after="0" w:line="196" w:lineRule="exact"/>
              <w:rPr>
                <w:sz w:val="20"/>
                <w:szCs w:val="20"/>
                <w:color w:val="auto"/>
              </w:rPr>
            </w:pPr>
            <w:r>
              <w:rPr>
                <w:rFonts w:ascii="Arial" w:cs="Arial" w:eastAsia="Arial" w:hAnsi="Arial"/>
                <w:sz w:val="18"/>
                <w:szCs w:val="18"/>
                <w:color w:val="0000EE"/>
              </w:rPr>
              <w:t>EXHIBIT 32.2</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gridSpan w:val="2"/>
          </w:tcPr>
          <w:p>
            <w:pPr>
              <w:spacing w:after="0"/>
              <w:rPr>
                <w:sz w:val="24"/>
                <w:szCs w:val="24"/>
                <w:color w:val="auto"/>
              </w:rPr>
            </w:pPr>
          </w:p>
        </w:tc>
        <w:tc>
          <w:tcPr>
            <w:tcW w:w="5300" w:type="dxa"/>
            <w:vAlign w:val="bottom"/>
            <w:gridSpan w:val="13"/>
          </w:tcPr>
          <w:p>
            <w:pPr>
              <w:jc w:val="right"/>
              <w:ind w:right="64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Condensed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TITLE GROUP,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2"/>
              </w:rPr>
              <w:t>(Unaudited)</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5380"/>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Fixed maturity securities available for sale, at fair value, at September 30, 2006 includes $289,770 and $263,660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of pledged fixed maturities related to secured trust deposits and the securities lending program, respectively,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at December 31, 2005 includes $305,717 and $116,781 of pledged fixed maturity securities related to</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secured trust deposits and the securities lending program, respectively</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2,529,626</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2,457,632</w:t>
            </w:r>
          </w:p>
        </w:tc>
        <w:tc>
          <w:tcPr>
            <w:tcW w:w="0" w:type="dxa"/>
            <w:vAlign w:val="bottom"/>
          </w:tcPr>
          <w:p>
            <w:pPr>
              <w:spacing w:after="0"/>
              <w:rPr>
                <w:sz w:val="1"/>
                <w:szCs w:val="1"/>
                <w:color w:val="auto"/>
              </w:rPr>
            </w:pPr>
          </w:p>
        </w:tc>
      </w:tr>
      <w:tr>
        <w:trPr>
          <w:trHeight w:val="202"/>
        </w:trPr>
        <w:tc>
          <w:tcPr>
            <w:tcW w:w="8900" w:type="dxa"/>
            <w:vAlign w:val="bottom"/>
          </w:tcPr>
          <w:p>
            <w:pPr>
              <w:ind w:left="220"/>
              <w:spacing w:after="0" w:line="201" w:lineRule="exact"/>
              <w:rPr>
                <w:sz w:val="20"/>
                <w:szCs w:val="20"/>
                <w:color w:val="auto"/>
              </w:rPr>
            </w:pPr>
            <w:r>
              <w:rPr>
                <w:rFonts w:ascii="Arial" w:cs="Arial" w:eastAsia="Arial" w:hAnsi="Arial"/>
                <w:sz w:val="18"/>
                <w:szCs w:val="18"/>
                <w:color w:val="auto"/>
              </w:rPr>
              <w:t>Equity securities, at fair value, at September 30, 2006 and December 31, 2005 includes $0 and $3,401,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420"/>
              <w:spacing w:after="0"/>
              <w:rPr>
                <w:sz w:val="20"/>
                <w:szCs w:val="20"/>
                <w:color w:val="auto"/>
              </w:rPr>
            </w:pPr>
            <w:r>
              <w:rPr>
                <w:rFonts w:ascii="Arial" w:cs="Arial" w:eastAsia="Arial" w:hAnsi="Arial"/>
                <w:sz w:val="18"/>
                <w:szCs w:val="18"/>
                <w:color w:val="auto"/>
              </w:rPr>
              <w:t>respectively, of pledged equity securities related to the securities lending program</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220,823</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176,987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54,926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21,037</w:t>
            </w:r>
          </w:p>
        </w:tc>
        <w:tc>
          <w:tcPr>
            <w:tcW w:w="0" w:type="dxa"/>
            <w:vAlign w:val="bottom"/>
          </w:tcPr>
          <w:p>
            <w:pPr>
              <w:spacing w:after="0"/>
              <w:rPr>
                <w:sz w:val="1"/>
                <w:szCs w:val="1"/>
                <w:color w:val="auto"/>
              </w:rPr>
            </w:pPr>
          </w:p>
        </w:tc>
      </w:tr>
      <w:tr>
        <w:trPr>
          <w:trHeight w:val="202"/>
        </w:trPr>
        <w:tc>
          <w:tcPr>
            <w:tcW w:w="8900" w:type="dxa"/>
            <w:vAlign w:val="bottom"/>
          </w:tcPr>
          <w:p>
            <w:pPr>
              <w:ind w:left="220"/>
              <w:spacing w:after="0" w:line="201" w:lineRule="exact"/>
              <w:rPr>
                <w:sz w:val="20"/>
                <w:szCs w:val="20"/>
                <w:color w:val="auto"/>
              </w:rPr>
            </w:pPr>
            <w:r>
              <w:rPr>
                <w:rFonts w:ascii="Arial" w:cs="Arial" w:eastAsia="Arial" w:hAnsi="Arial"/>
                <w:sz w:val="18"/>
                <w:szCs w:val="18"/>
                <w:color w:val="auto"/>
                <w:w w:val="99"/>
              </w:rPr>
              <w:t>Short-term investments, at fair value, at September 30, 2006 and December 31, 2005 includes $368,159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900" w:type="dxa"/>
            <w:vAlign w:val="bottom"/>
          </w:tcPr>
          <w:p>
            <w:pPr>
              <w:ind w:left="420"/>
              <w:spacing w:after="0"/>
              <w:rPr>
                <w:sz w:val="20"/>
                <w:szCs w:val="20"/>
                <w:color w:val="auto"/>
              </w:rPr>
            </w:pPr>
            <w:r>
              <w:rPr>
                <w:rFonts w:ascii="Arial" w:cs="Arial" w:eastAsia="Arial" w:hAnsi="Arial"/>
                <w:sz w:val="18"/>
                <w:szCs w:val="18"/>
                <w:color w:val="auto"/>
              </w:rPr>
              <w:t>$350,256, respectively, of pledged short-term investments related to secured trust deposits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577,050</w:t>
            </w:r>
          </w:p>
        </w:tc>
        <w:tc>
          <w:tcPr>
            <w:tcW w:w="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645,082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3,382,425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3,300,738</w:t>
            </w:r>
          </w:p>
        </w:tc>
        <w:tc>
          <w:tcPr>
            <w:tcW w:w="0" w:type="dxa"/>
            <w:vAlign w:val="bottom"/>
          </w:tcPr>
          <w:p>
            <w:pPr>
              <w:spacing w:after="0"/>
              <w:rPr>
                <w:sz w:val="1"/>
                <w:szCs w:val="1"/>
                <w:color w:val="auto"/>
              </w:rPr>
            </w:pPr>
          </w:p>
        </w:tc>
      </w:tr>
      <w:tr>
        <w:trPr>
          <w:trHeight w:val="202"/>
        </w:trPr>
        <w:tc>
          <w:tcPr>
            <w:tcW w:w="8900" w:type="dxa"/>
            <w:vAlign w:val="bottom"/>
          </w:tcPr>
          <w:p>
            <w:pPr>
              <w:spacing w:after="0" w:line="201" w:lineRule="exact"/>
              <w:rPr>
                <w:sz w:val="20"/>
                <w:szCs w:val="20"/>
                <w:color w:val="auto"/>
              </w:rPr>
            </w:pPr>
            <w:r>
              <w:rPr>
                <w:rFonts w:ascii="Arial" w:cs="Arial" w:eastAsia="Arial" w:hAnsi="Arial"/>
                <w:sz w:val="18"/>
                <w:szCs w:val="18"/>
                <w:color w:val="auto"/>
              </w:rPr>
              <w:t>Cash and cash equivalents at September 30, 2006 includes $239,567 and $271,780 of pledged cash related to</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secured trust deposits and the securities lending program, respectively, and at December 31, 2005 includes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w w:val="99"/>
              </w:rPr>
              <w:t>$234,709 and $124,339 of pledged cash related to secured trust deposits and the securities lending program,</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640,521</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462,157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 of allowance of $12,178 at September 30, 2006 and $13,583 at December 31, 2005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182,147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178,998</w:t>
            </w:r>
          </w:p>
        </w:tc>
        <w:tc>
          <w:tcPr>
            <w:tcW w:w="0" w:type="dxa"/>
            <w:vAlign w:val="bottom"/>
          </w:tcPr>
          <w:p>
            <w:pPr>
              <w:spacing w:after="0"/>
              <w:rPr>
                <w:sz w:val="1"/>
                <w:szCs w:val="1"/>
                <w:color w:val="auto"/>
              </w:rPr>
            </w:pPr>
          </w:p>
        </w:tc>
      </w:tr>
      <w:tr>
        <w:trPr>
          <w:trHeight w:val="202"/>
        </w:trPr>
        <w:tc>
          <w:tcPr>
            <w:tcW w:w="8900" w:type="dxa"/>
            <w:vAlign w:val="bottom"/>
          </w:tcPr>
          <w:p>
            <w:pPr>
              <w:spacing w:after="0" w:line="201" w:lineRule="exact"/>
              <w:rPr>
                <w:sz w:val="20"/>
                <w:szCs w:val="20"/>
                <w:color w:val="auto"/>
              </w:rPr>
            </w:pPr>
            <w:r>
              <w:rPr>
                <w:rFonts w:ascii="Arial" w:cs="Arial" w:eastAsia="Arial" w:hAnsi="Arial"/>
                <w:sz w:val="18"/>
                <w:szCs w:val="18"/>
                <w:color w:val="auto"/>
              </w:rPr>
              <w:t>Notes receivable, net of allowance of $741 at September 30, 2006 and $1,466 at December 31, 2005, including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220"/>
              <w:spacing w:after="0"/>
              <w:rPr>
                <w:sz w:val="20"/>
                <w:szCs w:val="20"/>
                <w:color w:val="auto"/>
              </w:rPr>
            </w:pPr>
            <w:r>
              <w:rPr>
                <w:rFonts w:ascii="Arial" w:cs="Arial" w:eastAsia="Arial" w:hAnsi="Arial"/>
                <w:sz w:val="18"/>
                <w:szCs w:val="18"/>
                <w:color w:val="auto"/>
              </w:rPr>
              <w:t>notes from related parties of $19,000 at September 30, 2006 and December 31, 2005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588"/>
              <w:spacing w:after="0"/>
              <w:rPr>
                <w:sz w:val="20"/>
                <w:szCs w:val="20"/>
                <w:color w:val="auto"/>
              </w:rPr>
            </w:pPr>
            <w:r>
              <w:rPr>
                <w:rFonts w:ascii="Arial" w:cs="Arial" w:eastAsia="Arial" w:hAnsi="Arial"/>
                <w:sz w:val="18"/>
                <w:szCs w:val="18"/>
                <w:color w:val="auto"/>
              </w:rPr>
              <w:t>25,884</w:t>
            </w: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31,749</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1,101,760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1,051,526</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362,487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377,049</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Title plants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320,549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308,675</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140,771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156,952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Due from FNF</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32,689</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6,156,544</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5,900,533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shd w:val="clear" w:color="auto" w:fill="CCEEFF"/>
          </w:tcPr>
          <w:p>
            <w:pPr>
              <w:ind w:left="4620"/>
              <w:spacing w:after="0"/>
              <w:rPr>
                <w:sz w:val="20"/>
                <w:szCs w:val="20"/>
                <w:color w:val="auto"/>
              </w:rPr>
            </w:pPr>
            <w:r>
              <w:rPr>
                <w:rFonts w:ascii="Arial" w:cs="Arial" w:eastAsia="Arial" w:hAnsi="Arial"/>
                <w:sz w:val="18"/>
                <w:szCs w:val="18"/>
                <w:color w:val="auto"/>
              </w:rPr>
              <w:t>LIABILITIES AND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Accounts payable and accrued liabilities at September 30, 2006 and December 31, 2005 include $271,780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$124,339, respectively, of security loans related to the securities lending program</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840,728</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790,598</w:t>
            </w:r>
          </w:p>
        </w:tc>
        <w:tc>
          <w:tcPr>
            <w:tcW w:w="0" w:type="dxa"/>
            <w:vAlign w:val="bottom"/>
          </w:tcPr>
          <w:p>
            <w:pPr>
              <w:spacing w:after="0"/>
              <w:rPr>
                <w:sz w:val="1"/>
                <w:szCs w:val="1"/>
                <w:color w:val="auto"/>
              </w:rPr>
            </w:pPr>
          </w:p>
        </w:tc>
      </w:tr>
      <w:tr>
        <w:trPr>
          <w:trHeight w:val="202"/>
        </w:trPr>
        <w:tc>
          <w:tcPr>
            <w:tcW w:w="8900" w:type="dxa"/>
            <w:vAlign w:val="bottom"/>
          </w:tcPr>
          <w:p>
            <w:pPr>
              <w:ind w:left="220"/>
              <w:spacing w:after="0" w:line="201" w:lineRule="exact"/>
              <w:rPr>
                <w:sz w:val="20"/>
                <w:szCs w:val="20"/>
                <w:color w:val="auto"/>
              </w:rPr>
            </w:pPr>
            <w:r>
              <w:rPr>
                <w:rFonts w:ascii="Arial" w:cs="Arial" w:eastAsia="Arial" w:hAnsi="Arial"/>
                <w:sz w:val="18"/>
                <w:szCs w:val="18"/>
                <w:color w:val="auto"/>
              </w:rPr>
              <w:t>Notes payable, including $6,640 and $497,800 of notes payable to FNF at September 30, 2006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420"/>
              <w:spacing w:after="0"/>
              <w:rPr>
                <w:sz w:val="20"/>
                <w:szCs w:val="20"/>
                <w:color w:val="auto"/>
              </w:rPr>
            </w:pPr>
            <w:r>
              <w:rPr>
                <w:rFonts w:ascii="Arial" w:cs="Arial" w:eastAsia="Arial" w:hAnsi="Arial"/>
                <w:sz w:val="18"/>
                <w:szCs w:val="18"/>
                <w:color w:val="auto"/>
              </w:rPr>
              <w:t>December 31, 2005, respectively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572,958</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603,262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for claim losses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1,146,669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1,063,857</w:t>
            </w:r>
          </w:p>
        </w:tc>
        <w:tc>
          <w:tcPr>
            <w:tcW w:w="0" w:type="dxa"/>
            <w:vAlign w:val="bottom"/>
          </w:tcPr>
          <w:p>
            <w:pPr>
              <w:spacing w:after="0"/>
              <w:rPr>
                <w:sz w:val="1"/>
                <w:szCs w:val="1"/>
                <w:color w:val="auto"/>
              </w:rPr>
            </w:pP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Secured trust deposits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875,317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882,602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51,646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75,839</w:t>
            </w:r>
          </w:p>
        </w:tc>
        <w:tc>
          <w:tcPr>
            <w:tcW w:w="0" w:type="dxa"/>
            <w:vAlign w:val="bottom"/>
          </w:tcPr>
          <w:p>
            <w:pPr>
              <w:spacing w:after="0"/>
              <w:rPr>
                <w:sz w:val="1"/>
                <w:szCs w:val="1"/>
                <w:color w:val="auto"/>
              </w:rPr>
            </w:pPr>
          </w:p>
        </w:tc>
      </w:tr>
      <w:tr>
        <w:trPr>
          <w:trHeight w:val="223"/>
        </w:trPr>
        <w:tc>
          <w:tcPr>
            <w:tcW w:w="8900" w:type="dxa"/>
            <w:vAlign w:val="bottom"/>
          </w:tcPr>
          <w:p>
            <w:pPr>
              <w:ind w:left="220"/>
              <w:spacing w:after="0"/>
              <w:rPr>
                <w:sz w:val="20"/>
                <w:szCs w:val="20"/>
                <w:color w:val="auto"/>
              </w:rPr>
            </w:pPr>
            <w:r>
              <w:rPr>
                <w:rFonts w:ascii="Arial" w:cs="Arial" w:eastAsia="Arial" w:hAnsi="Arial"/>
                <w:sz w:val="18"/>
                <w:szCs w:val="18"/>
                <w:color w:val="auto"/>
              </w:rPr>
              <w:t>Due to FNF and FIS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588"/>
              <w:spacing w:after="0"/>
              <w:rPr>
                <w:sz w:val="20"/>
                <w:szCs w:val="20"/>
                <w:color w:val="auto"/>
              </w:rPr>
            </w:pPr>
            <w:r>
              <w:rPr>
                <w:rFonts w:ascii="Arial" w:cs="Arial" w:eastAsia="Arial" w:hAnsi="Arial"/>
                <w:sz w:val="18"/>
                <w:szCs w:val="18"/>
                <w:color w:val="auto"/>
              </w:rPr>
              <w:t>27,739</w:t>
            </w: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3,515,057</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3,416,158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Minority interests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5,518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00" w:type="dxa"/>
            <w:vAlign w:val="bottom"/>
          </w:tcPr>
          <w:p>
            <w:pPr>
              <w:ind w:left="220"/>
              <w:spacing w:after="0" w:line="201" w:lineRule="exact"/>
              <w:rPr>
                <w:sz w:val="20"/>
                <w:szCs w:val="20"/>
                <w:color w:val="auto"/>
              </w:rPr>
            </w:pPr>
            <w:r>
              <w:rPr>
                <w:rFonts w:ascii="Arial" w:cs="Arial" w:eastAsia="Arial" w:hAnsi="Arial"/>
                <w:sz w:val="18"/>
                <w:szCs w:val="18"/>
                <w:color w:val="auto"/>
              </w:rPr>
              <w:t>Common stock, Class A, $0.0001 par value; authorized 300,000,000 shares as of September 30, 2006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420"/>
              <w:spacing w:after="0"/>
              <w:rPr>
                <w:sz w:val="20"/>
                <w:szCs w:val="20"/>
                <w:color w:val="auto"/>
              </w:rPr>
            </w:pPr>
            <w:r>
              <w:rPr>
                <w:rFonts w:ascii="Arial" w:cs="Arial" w:eastAsia="Arial" w:hAnsi="Arial"/>
                <w:sz w:val="18"/>
                <w:szCs w:val="18"/>
                <w:color w:val="auto"/>
              </w:rPr>
              <w:t>December 31, 2005; issued 31,147,357 shares as of September 30, 2006 and December 31, 2005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588"/>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Common stock, Class B, $0.0001 par value; authorized 300,000,000 shares as of September 30, 2006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December 31, 2005; issued 143,176,041 shares as of September 30, 2006 and December 31, 2005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2,486,220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2,492,312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230,354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82,771</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2,716,591</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2,575,100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(80,622)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(78,892)</w:t>
            </w:r>
          </w:p>
        </w:tc>
        <w:tc>
          <w:tcPr>
            <w:tcW w:w="0" w:type="dxa"/>
            <w:vAlign w:val="bottom"/>
          </w:tcPr>
          <w:p>
            <w:pPr>
              <w:spacing w:after="0"/>
              <w:rPr>
                <w:sz w:val="1"/>
                <w:szCs w:val="1"/>
                <w:color w:val="auto"/>
              </w:rPr>
            </w:pPr>
          </w:p>
        </w:tc>
      </w:tr>
      <w:tr>
        <w:trPr>
          <w:trHeight w:val="223"/>
        </w:trPr>
        <w:tc>
          <w:tcPr>
            <w:tcW w:w="8900" w:type="dxa"/>
            <w:vAlign w:val="bottom"/>
          </w:tcPr>
          <w:p>
            <w:pPr>
              <w:ind w:left="220"/>
              <w:spacing w:after="0"/>
              <w:rPr>
                <w:sz w:val="20"/>
                <w:szCs w:val="20"/>
                <w:color w:val="auto"/>
              </w:rPr>
            </w:pPr>
            <w:r>
              <w:rPr>
                <w:rFonts w:ascii="Arial" w:cs="Arial" w:eastAsia="Arial" w:hAnsi="Arial"/>
                <w:sz w:val="18"/>
                <w:szCs w:val="18"/>
                <w:color w:val="auto"/>
              </w:rPr>
              <w:t>Unearned compensation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(16,171)</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2,635,969</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2,480,037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6,156,544</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5,900,533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left="260" w:right="2520"/>
        <w:spacing w:after="0" w:line="264" w:lineRule="auto"/>
        <w:rPr>
          <w:sz w:val="20"/>
          <w:szCs w:val="20"/>
          <w:color w:val="auto"/>
        </w:rPr>
      </w:pPr>
      <w:r>
        <w:rPr>
          <w:rFonts w:ascii="Arial" w:cs="Arial" w:eastAsia="Arial" w:hAnsi="Arial"/>
          <w:sz w:val="18"/>
          <w:szCs w:val="18"/>
          <w:color w:val="auto"/>
        </w:rPr>
        <w:t>FIDELITY NATIONAL TITLE GROUP, INC. AND SUBSIDIARIES CONDENSED CONSOLIDATED AND COMBINED STATEMENTS OF EARNINGS (In thousands, except per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center"/>
              <w:ind w:right="74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23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center"/>
              <w:ind w:right="72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23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2006</w:t>
            </w:r>
          </w:p>
        </w:tc>
        <w:tc>
          <w:tcPr>
            <w:tcW w:w="640" w:type="dxa"/>
            <w:vAlign w:val="bottom"/>
            <w:tcBorders>
              <w:top w:val="single" w:sz="8" w:color="auto"/>
              <w:bottom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82"/>
              </w:rPr>
              <w:t>(Unaudited)</w:t>
            </w: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2005</w:t>
            </w:r>
          </w:p>
        </w:tc>
        <w:tc>
          <w:tcPr>
            <w:tcW w:w="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2006</w:t>
            </w:r>
          </w:p>
        </w:tc>
        <w:tc>
          <w:tcPr>
            <w:tcW w:w="6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2"/>
              </w:rPr>
              <w:t>(Unaudited)</w:t>
            </w: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Direct title insurance premiums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461,340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626,178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1,413,641</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1,643,574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Agency title insurance premiums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721,801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779,117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2,058,935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2,083,317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Escrow and other title related fees</w:t>
            </w:r>
          </w:p>
        </w:tc>
        <w:tc>
          <w:tcPr>
            <w:tcW w:w="100" w:type="dxa"/>
            <w:vAlign w:val="bottom"/>
          </w:tcPr>
          <w:p>
            <w:pPr>
              <w:spacing w:after="0"/>
              <w:rPr>
                <w:sz w:val="18"/>
                <w:szCs w:val="18"/>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269,188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324,910</w:t>
            </w:r>
          </w:p>
        </w:tc>
        <w:tc>
          <w:tcPr>
            <w:tcW w:w="100" w:type="dxa"/>
            <w:vAlign w:val="bottom"/>
          </w:tcPr>
          <w:p>
            <w:pPr>
              <w:spacing w:after="0"/>
              <w:rPr>
                <w:sz w:val="18"/>
                <w:szCs w:val="18"/>
                <w:color w:val="auto"/>
              </w:rPr>
            </w:pPr>
          </w:p>
        </w:tc>
        <w:tc>
          <w:tcPr>
            <w:tcW w:w="1380" w:type="dxa"/>
            <w:vAlign w:val="bottom"/>
            <w:gridSpan w:val="2"/>
          </w:tcPr>
          <w:p>
            <w:pPr>
              <w:jc w:val="right"/>
              <w:ind w:right="568"/>
              <w:spacing w:after="0"/>
              <w:rPr>
                <w:sz w:val="20"/>
                <w:szCs w:val="20"/>
                <w:color w:val="auto"/>
              </w:rPr>
            </w:pPr>
            <w:r>
              <w:rPr>
                <w:rFonts w:ascii="Arial" w:cs="Arial" w:eastAsia="Arial" w:hAnsi="Arial"/>
                <w:sz w:val="18"/>
                <w:szCs w:val="18"/>
                <w:color w:val="auto"/>
              </w:rPr>
              <w:t>810,845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868,375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investment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41,261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28,994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115,680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Realized gains and losses, net</w:t>
            </w:r>
          </w:p>
        </w:tc>
        <w:tc>
          <w:tcPr>
            <w:tcW w:w="100" w:type="dxa"/>
            <w:vAlign w:val="bottom"/>
          </w:tcPr>
          <w:p>
            <w:pPr>
              <w:spacing w:after="0"/>
              <w:rPr>
                <w:sz w:val="18"/>
                <w:szCs w:val="18"/>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1,478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3,583</w:t>
            </w:r>
          </w:p>
        </w:tc>
        <w:tc>
          <w:tcPr>
            <w:tcW w:w="100" w:type="dxa"/>
            <w:vAlign w:val="bottom"/>
          </w:tcPr>
          <w:p>
            <w:pPr>
              <w:spacing w:after="0"/>
              <w:rPr>
                <w:sz w:val="18"/>
                <w:szCs w:val="18"/>
                <w:color w:val="auto"/>
              </w:rPr>
            </w:pPr>
          </w:p>
        </w:tc>
        <w:tc>
          <w:tcPr>
            <w:tcW w:w="1380" w:type="dxa"/>
            <w:vAlign w:val="bottom"/>
            <w:gridSpan w:val="2"/>
          </w:tcPr>
          <w:p>
            <w:pPr>
              <w:jc w:val="right"/>
              <w:ind w:right="568"/>
              <w:spacing w:after="0"/>
              <w:rPr>
                <w:sz w:val="20"/>
                <w:szCs w:val="20"/>
                <w:color w:val="auto"/>
              </w:rPr>
            </w:pPr>
            <w:r>
              <w:rPr>
                <w:rFonts w:ascii="Arial" w:cs="Arial" w:eastAsia="Arial" w:hAnsi="Arial"/>
                <w:sz w:val="18"/>
                <w:szCs w:val="18"/>
                <w:color w:val="auto"/>
              </w:rPr>
              <w:t>22,091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11,964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11,461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34,393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60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1,507,032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1,774,243</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4,455,585</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4,723,401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Personnel costs</w:t>
            </w:r>
          </w:p>
        </w:tc>
        <w:tc>
          <w:tcPr>
            <w:tcW w:w="100" w:type="dxa"/>
            <w:vAlign w:val="bottom"/>
          </w:tcPr>
          <w:p>
            <w:pPr>
              <w:spacing w:after="0"/>
              <w:rPr>
                <w:sz w:val="18"/>
                <w:szCs w:val="18"/>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436,064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511,325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1,354,720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1,415,928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223,359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246,109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666,587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Agent commissions</w:t>
            </w:r>
          </w:p>
        </w:tc>
        <w:tc>
          <w:tcPr>
            <w:tcW w:w="100" w:type="dxa"/>
            <w:vAlign w:val="bottom"/>
          </w:tcPr>
          <w:p>
            <w:pPr>
              <w:spacing w:after="0"/>
              <w:rPr>
                <w:sz w:val="18"/>
                <w:szCs w:val="18"/>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555,010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612,139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1,587,547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1,617,260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29,881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23,818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83,312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Provision for claim losses</w:t>
            </w:r>
          </w:p>
        </w:tc>
        <w:tc>
          <w:tcPr>
            <w:tcW w:w="100" w:type="dxa"/>
            <w:vAlign w:val="bottom"/>
          </w:tcPr>
          <w:p>
            <w:pPr>
              <w:spacing w:after="0"/>
              <w:rPr>
                <w:sz w:val="18"/>
                <w:szCs w:val="18"/>
                <w:color w:val="auto"/>
              </w:rPr>
            </w:pPr>
          </w:p>
        </w:tc>
        <w:tc>
          <w:tcPr>
            <w:tcW w:w="1060" w:type="dxa"/>
            <w:vAlign w:val="bottom"/>
            <w:gridSpan w:val="2"/>
          </w:tcPr>
          <w:p>
            <w:pPr>
              <w:jc w:val="right"/>
              <w:ind w:right="248"/>
              <w:spacing w:after="0"/>
              <w:rPr>
                <w:sz w:val="20"/>
                <w:szCs w:val="20"/>
                <w:color w:val="auto"/>
              </w:rPr>
            </w:pPr>
            <w:r>
              <w:rPr>
                <w:rFonts w:ascii="Arial" w:cs="Arial" w:eastAsia="Arial" w:hAnsi="Arial"/>
                <w:sz w:val="18"/>
                <w:szCs w:val="18"/>
                <w:color w:val="auto"/>
              </w:rPr>
              <w:t>88,706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103,612</w:t>
            </w:r>
          </w:p>
        </w:tc>
        <w:tc>
          <w:tcPr>
            <w:tcW w:w="100" w:type="dxa"/>
            <w:vAlign w:val="bottom"/>
          </w:tcPr>
          <w:p>
            <w:pPr>
              <w:spacing w:after="0"/>
              <w:rPr>
                <w:sz w:val="18"/>
                <w:szCs w:val="18"/>
                <w:color w:val="auto"/>
              </w:rPr>
            </w:pPr>
          </w:p>
        </w:tc>
        <w:tc>
          <w:tcPr>
            <w:tcW w:w="1380" w:type="dxa"/>
            <w:vAlign w:val="bottom"/>
            <w:gridSpan w:val="2"/>
          </w:tcPr>
          <w:p>
            <w:pPr>
              <w:jc w:val="right"/>
              <w:ind w:right="568"/>
              <w:spacing w:after="0"/>
              <w:rPr>
                <w:sz w:val="20"/>
                <w:szCs w:val="20"/>
                <w:color w:val="auto"/>
              </w:rPr>
            </w:pPr>
            <w:r>
              <w:rPr>
                <w:rFonts w:ascii="Arial" w:cs="Arial" w:eastAsia="Arial" w:hAnsi="Arial"/>
                <w:sz w:val="18"/>
                <w:szCs w:val="18"/>
                <w:color w:val="auto"/>
              </w:rPr>
              <w:t>260,444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254,289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12,762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4,669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36,462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400"/>
              <w:spacing w:after="0"/>
              <w:rPr>
                <w:sz w:val="20"/>
                <w:szCs w:val="20"/>
                <w:color w:val="auto"/>
              </w:rPr>
            </w:pPr>
            <w:r>
              <w:rPr>
                <w:rFonts w:ascii="Arial" w:cs="Arial" w:eastAsia="Arial" w:hAnsi="Arial"/>
                <w:sz w:val="18"/>
                <w:szCs w:val="18"/>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1,345,782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1,501,672</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3,989,072</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4,060,004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 and minority interest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161,250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272,571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466,513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57,241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102,137</w:t>
            </w:r>
          </w:p>
        </w:tc>
        <w:tc>
          <w:tcPr>
            <w:tcW w:w="100" w:type="dxa"/>
            <w:vAlign w:val="bottom"/>
          </w:tcPr>
          <w:p>
            <w:pPr>
              <w:spacing w:after="0"/>
              <w:rPr>
                <w:sz w:val="18"/>
                <w:szCs w:val="18"/>
                <w:color w:val="auto"/>
              </w:rPr>
            </w:pPr>
          </w:p>
        </w:tc>
        <w:tc>
          <w:tcPr>
            <w:tcW w:w="1380" w:type="dxa"/>
            <w:vAlign w:val="bottom"/>
            <w:gridSpan w:val="2"/>
          </w:tcPr>
          <w:p>
            <w:pPr>
              <w:jc w:val="right"/>
              <w:ind w:right="568"/>
              <w:spacing w:after="0"/>
              <w:rPr>
                <w:sz w:val="20"/>
                <w:szCs w:val="20"/>
                <w:color w:val="auto"/>
              </w:rPr>
            </w:pPr>
            <w:r>
              <w:rPr>
                <w:rFonts w:ascii="Arial" w:cs="Arial" w:eastAsia="Arial" w:hAnsi="Arial"/>
                <w:sz w:val="18"/>
                <w:szCs w:val="18"/>
                <w:color w:val="auto"/>
              </w:rPr>
              <w:t>165,610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248,774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minority interest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170,434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300,903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1380" w:type="dxa"/>
            <w:vAlign w:val="bottom"/>
            <w:gridSpan w:val="2"/>
          </w:tcPr>
          <w:p>
            <w:pPr>
              <w:jc w:val="right"/>
              <w:ind w:right="568"/>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103,399</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169,734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299,014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412,631</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Basic net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basis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173,475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173,475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Diluted net earnings per share</w:t>
            </w: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diluted basis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173,643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173,648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Pro forma basic and 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rPr>
              <w:t>0.98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 average shares outstanding, basic and diluted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173,520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173,520</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Cash dividends paid per share</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tcPr>
          <w:p>
            <w:pPr>
              <w:jc w:val="right"/>
              <w:ind w:right="248"/>
              <w:spacing w:after="0"/>
              <w:rPr>
                <w:sz w:val="20"/>
                <w:szCs w:val="20"/>
                <w:color w:val="auto"/>
              </w:rPr>
            </w:pPr>
            <w:r>
              <w:rPr>
                <w:rFonts w:ascii="Arial" w:cs="Arial" w:eastAsia="Arial" w:hAnsi="Arial"/>
                <w:sz w:val="18"/>
                <w:szCs w:val="18"/>
                <w:color w:val="auto"/>
              </w:rPr>
              <w:t>0.29</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tcPr>
          <w:p>
            <w:pPr>
              <w:jc w:val="right"/>
              <w:ind w:right="568"/>
              <w:spacing w:after="0"/>
              <w:rPr>
                <w:sz w:val="20"/>
                <w:szCs w:val="20"/>
                <w:color w:val="auto"/>
              </w:rPr>
            </w:pPr>
            <w:r>
              <w:rPr>
                <w:rFonts w:ascii="Arial" w:cs="Arial" w:eastAsia="Arial" w:hAnsi="Arial"/>
                <w:sz w:val="18"/>
                <w:szCs w:val="18"/>
                <w:color w:val="auto"/>
              </w:rPr>
              <w:t>0.58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line="272" w:lineRule="auto"/>
        <w:rPr>
          <w:sz w:val="20"/>
          <w:szCs w:val="20"/>
          <w:color w:val="auto"/>
        </w:rPr>
      </w:pPr>
      <w:r>
        <w:rPr>
          <w:rFonts w:ascii="Arial" w:cs="Arial" w:eastAsia="Arial" w:hAnsi="Arial"/>
          <w:sz w:val="18"/>
          <w:szCs w:val="18"/>
          <w:color w:val="auto"/>
        </w:rPr>
        <w:t>FIDELITY NATIONAL TITLE GROUP, INC. AND SUBSIDIARIES CONDENSED CONSOLIDATED AND COMBINED STATEMENTS OF COMPREHENSIVE EARNINGS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6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1"/>
              </w:rPr>
              <w:t>Three months ended</w:t>
            </w:r>
          </w:p>
        </w:tc>
        <w:tc>
          <w:tcPr>
            <w:tcW w:w="21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1"/>
              </w:rPr>
              <w:t>September 30,</w:t>
            </w: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2"/>
                <w:szCs w:val="12"/>
                <w:color w:val="auto"/>
              </w:rPr>
            </w:pPr>
          </w:p>
        </w:tc>
        <w:tc>
          <w:tcPr>
            <w:tcW w:w="70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7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(Unaudited)</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88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$ 103,399</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$ 169,734</w:t>
            </w:r>
          </w:p>
        </w:tc>
        <w:tc>
          <w:tcPr>
            <w:tcW w:w="10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4"/>
              </w:rPr>
              <w:t>$ 299,014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$ 412,631</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comprehensive (loss) earnings:</w:t>
            </w:r>
          </w:p>
        </w:tc>
        <w:tc>
          <w:tcPr>
            <w:tcW w:w="1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(loss) on investments, net (1)</w:t>
            </w:r>
          </w:p>
        </w:tc>
        <w:tc>
          <w:tcPr>
            <w:tcW w:w="288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28,181</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(20,105)</w:t>
            </w:r>
          </w:p>
        </w:tc>
        <w:tc>
          <w:tcPr>
            <w:tcW w:w="10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(1,730)</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(29,807)</w:t>
            </w: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Other comprehensive (loss) gain</w:t>
            </w:r>
          </w:p>
        </w:tc>
        <w:tc>
          <w:tcPr>
            <w:tcW w:w="15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28,181</w:t>
            </w:r>
          </w:p>
        </w:tc>
        <w:tc>
          <w:tcPr>
            <w:tcW w:w="6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(20,105)</w:t>
            </w:r>
          </w:p>
        </w:tc>
        <w:tc>
          <w:tcPr>
            <w:tcW w:w="6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earnings</w:t>
            </w:r>
          </w:p>
        </w:tc>
        <w:tc>
          <w:tcPr>
            <w:tcW w:w="288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$ 131,580</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$ 149,629</w:t>
            </w:r>
          </w:p>
        </w:tc>
        <w:tc>
          <w:tcPr>
            <w:tcW w:w="10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4"/>
              </w:rPr>
              <w:t>$ 297,284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$ 382,824</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$15,510 and $(12,063) for the three months ended September 30, 2006 and 2005, respectively, and $(952) and $(17,884) for the nine months ended September 30, 2006 and 2005,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TITLE GROUP,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Common Stock</w:t>
            </w: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vMerge w:val="restart"/>
          </w:tcPr>
          <w:p>
            <w:pPr>
              <w:jc w:val="right"/>
              <w:ind w:right="400"/>
              <w:spacing w:after="0"/>
              <w:rPr>
                <w:sz w:val="20"/>
                <w:szCs w:val="20"/>
                <w:color w:val="auto"/>
              </w:rPr>
            </w:pPr>
            <w:r>
              <w:rPr>
                <w:rFonts w:ascii="Arial" w:cs="Arial" w:eastAsia="Arial" w:hAnsi="Arial"/>
                <w:sz w:val="14"/>
                <w:szCs w:val="14"/>
                <w:color w:val="auto"/>
              </w:rPr>
              <w:t>Accumulated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60" w:type="dxa"/>
            <w:vAlign w:val="bottom"/>
          </w:tcPr>
          <w:p>
            <w:pPr>
              <w:spacing w:after="0"/>
              <w:rPr>
                <w:sz w:val="11"/>
                <w:szCs w:val="11"/>
                <w:color w:val="auto"/>
              </w:rPr>
            </w:pPr>
          </w:p>
        </w:tc>
        <w:tc>
          <w:tcPr>
            <w:tcW w:w="1140" w:type="dxa"/>
            <w:vAlign w:val="bottom"/>
            <w:gridSpan w:val="3"/>
            <w:vMerge w:val="restart"/>
          </w:tcPr>
          <w:p>
            <w:pPr>
              <w:jc w:val="right"/>
              <w:ind w:right="108"/>
              <w:spacing w:after="0"/>
              <w:rPr>
                <w:sz w:val="20"/>
                <w:szCs w:val="20"/>
                <w:color w:val="auto"/>
              </w:rPr>
            </w:pPr>
            <w:r>
              <w:rPr>
                <w:rFonts w:ascii="Arial" w:cs="Arial" w:eastAsia="Arial" w:hAnsi="Arial"/>
                <w:sz w:val="14"/>
                <w:szCs w:val="14"/>
                <w:color w:val="auto"/>
              </w:rPr>
              <w:t>Class A</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vMerge w:val="restart"/>
          </w:tcPr>
          <w:p>
            <w:pPr>
              <w:ind w:left="560"/>
              <w:spacing w:after="0"/>
              <w:rPr>
                <w:sz w:val="20"/>
                <w:szCs w:val="20"/>
                <w:color w:val="auto"/>
              </w:rPr>
            </w:pPr>
            <w:r>
              <w:rPr>
                <w:rFonts w:ascii="Arial" w:cs="Arial" w:eastAsia="Arial" w:hAnsi="Arial"/>
                <w:sz w:val="14"/>
                <w:szCs w:val="14"/>
                <w:color w:val="auto"/>
                <w:w w:val="91"/>
              </w:rPr>
              <w:t>Class B</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60" w:type="dxa"/>
            <w:vAlign w:val="bottom"/>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Borders>
              <w:bottom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tcPr>
          <w:p>
            <w:pPr>
              <w:jc w:val="right"/>
              <w:ind w:right="440"/>
              <w:spacing w:after="0" w:line="154"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620"/>
              <w:spacing w:after="0" w:line="154" w:lineRule="exact"/>
              <w:rPr>
                <w:sz w:val="20"/>
                <w:szCs w:val="20"/>
                <w:color w:val="auto"/>
              </w:rPr>
            </w:pPr>
            <w:r>
              <w:rPr>
                <w:rFonts w:ascii="Arial" w:cs="Arial" w:eastAsia="Arial" w:hAnsi="Arial"/>
                <w:sz w:val="14"/>
                <w:szCs w:val="14"/>
                <w:color w:val="auto"/>
              </w:rPr>
              <w:t>Other</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2"/>
          </w:tcPr>
          <w:p>
            <w:pPr>
              <w:jc w:val="right"/>
              <w:ind w:right="540"/>
              <w:spacing w:after="0" w:line="123" w:lineRule="exact"/>
              <w:rPr>
                <w:sz w:val="20"/>
                <w:szCs w:val="20"/>
                <w:color w:val="auto"/>
              </w:rPr>
            </w:pPr>
            <w:r>
              <w:rPr>
                <w:rFonts w:ascii="Arial" w:cs="Arial" w:eastAsia="Arial" w:hAnsi="Arial"/>
                <w:sz w:val="14"/>
                <w:szCs w:val="14"/>
                <w:color w:val="auto"/>
              </w:rPr>
              <w:t>Paid-In</w:t>
            </w:r>
          </w:p>
        </w:tc>
        <w:tc>
          <w:tcPr>
            <w:tcW w:w="120" w:type="dxa"/>
            <w:vAlign w:val="bottom"/>
          </w:tcPr>
          <w:p>
            <w:pPr>
              <w:spacing w:after="0"/>
              <w:rPr>
                <w:sz w:val="10"/>
                <w:szCs w:val="10"/>
                <w:color w:val="auto"/>
              </w:rPr>
            </w:pPr>
          </w:p>
        </w:tc>
        <w:tc>
          <w:tcPr>
            <w:tcW w:w="840" w:type="dxa"/>
            <w:vAlign w:val="bottom"/>
            <w:gridSpan w:val="2"/>
          </w:tcPr>
          <w:p>
            <w:pPr>
              <w:jc w:val="right"/>
              <w:ind w:right="320"/>
              <w:spacing w:after="0" w:line="123" w:lineRule="exact"/>
              <w:rPr>
                <w:sz w:val="20"/>
                <w:szCs w:val="20"/>
                <w:color w:val="auto"/>
              </w:rPr>
            </w:pPr>
            <w:r>
              <w:rPr>
                <w:rFonts w:ascii="Arial" w:cs="Arial" w:eastAsia="Arial" w:hAnsi="Arial"/>
                <w:sz w:val="14"/>
                <w:szCs w:val="14"/>
                <w:color w:val="auto"/>
                <w:w w:val="89"/>
              </w:rPr>
              <w:t>Retained</w:t>
            </w:r>
          </w:p>
        </w:tc>
        <w:tc>
          <w:tcPr>
            <w:tcW w:w="1380" w:type="dxa"/>
            <w:vAlign w:val="bottom"/>
            <w:gridSpan w:val="4"/>
          </w:tcPr>
          <w:p>
            <w:pPr>
              <w:ind w:left="140"/>
              <w:spacing w:after="0" w:line="123" w:lineRule="exact"/>
              <w:rPr>
                <w:sz w:val="20"/>
                <w:szCs w:val="20"/>
                <w:color w:val="auto"/>
              </w:rPr>
            </w:pPr>
            <w:r>
              <w:rPr>
                <w:rFonts w:ascii="Arial" w:cs="Arial" w:eastAsia="Arial" w:hAnsi="Arial"/>
                <w:sz w:val="14"/>
                <w:szCs w:val="14"/>
                <w:color w:val="auto"/>
              </w:rPr>
              <w:t>Comprehensive</w:t>
            </w:r>
          </w:p>
        </w:tc>
        <w:tc>
          <w:tcPr>
            <w:tcW w:w="120" w:type="dxa"/>
            <w:vAlign w:val="bottom"/>
          </w:tcPr>
          <w:p>
            <w:pPr>
              <w:spacing w:after="0"/>
              <w:rPr>
                <w:sz w:val="10"/>
                <w:szCs w:val="10"/>
                <w:color w:val="auto"/>
              </w:rPr>
            </w:pPr>
          </w:p>
        </w:tc>
        <w:tc>
          <w:tcPr>
            <w:tcW w:w="1080" w:type="dxa"/>
            <w:vAlign w:val="bottom"/>
            <w:gridSpan w:val="2"/>
          </w:tcPr>
          <w:p>
            <w:pPr>
              <w:jc w:val="right"/>
              <w:ind w:right="500"/>
              <w:spacing w:after="0" w:line="123" w:lineRule="exact"/>
              <w:rPr>
                <w:sz w:val="20"/>
                <w:szCs w:val="20"/>
                <w:color w:val="auto"/>
              </w:rPr>
            </w:pPr>
            <w:r>
              <w:rPr>
                <w:rFonts w:ascii="Arial" w:cs="Arial" w:eastAsia="Arial" w:hAnsi="Arial"/>
                <w:sz w:val="14"/>
                <w:szCs w:val="14"/>
                <w:color w:val="auto"/>
                <w:w w:val="91"/>
              </w:rPr>
              <w:t>Unearned</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60" w:type="dxa"/>
            <w:vAlign w:val="bottom"/>
          </w:tcPr>
          <w:p>
            <w:pPr>
              <w:spacing w:after="0"/>
              <w:rPr>
                <w:sz w:val="14"/>
                <w:szCs w:val="14"/>
                <w:color w:val="auto"/>
              </w:rPr>
            </w:pPr>
          </w:p>
        </w:tc>
        <w:tc>
          <w:tcPr>
            <w:tcW w:w="600" w:type="dxa"/>
            <w:vAlign w:val="bottom"/>
          </w:tcPr>
          <w:p>
            <w:pPr>
              <w:jc w:val="right"/>
              <w:ind w:right="34"/>
              <w:spacing w:after="0"/>
              <w:rPr>
                <w:sz w:val="20"/>
                <w:szCs w:val="20"/>
                <w:color w:val="auto"/>
              </w:rPr>
            </w:pPr>
            <w:r>
              <w:rPr>
                <w:rFonts w:ascii="Arial" w:cs="Arial" w:eastAsia="Arial" w:hAnsi="Arial"/>
                <w:sz w:val="14"/>
                <w:szCs w:val="14"/>
                <w:color w:val="auto"/>
              </w:rPr>
              <w:t>Shares</w:t>
            </w:r>
          </w:p>
        </w:tc>
        <w:tc>
          <w:tcPr>
            <w:tcW w:w="34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Amount</w:t>
            </w:r>
          </w:p>
        </w:tc>
        <w:tc>
          <w:tcPr>
            <w:tcW w:w="1020" w:type="dxa"/>
            <w:vAlign w:val="bottom"/>
            <w:gridSpan w:val="2"/>
          </w:tcPr>
          <w:p>
            <w:pPr>
              <w:ind w:left="140"/>
              <w:spacing w:after="0"/>
              <w:rPr>
                <w:sz w:val="20"/>
                <w:szCs w:val="20"/>
                <w:color w:val="auto"/>
              </w:rPr>
            </w:pPr>
            <w:r>
              <w:rPr>
                <w:rFonts w:ascii="Arial" w:cs="Arial" w:eastAsia="Arial" w:hAnsi="Arial"/>
                <w:sz w:val="14"/>
                <w:szCs w:val="14"/>
                <w:color w:val="auto"/>
              </w:rPr>
              <w:t>Shares</w:t>
            </w:r>
          </w:p>
        </w:tc>
        <w:tc>
          <w:tcPr>
            <w:tcW w:w="880" w:type="dxa"/>
            <w:vAlign w:val="bottom"/>
            <w:gridSpan w:val="3"/>
          </w:tcPr>
          <w:p>
            <w:pPr>
              <w:ind w:left="40"/>
              <w:spacing w:after="0"/>
              <w:rPr>
                <w:sz w:val="20"/>
                <w:szCs w:val="20"/>
                <w:color w:val="auto"/>
              </w:rPr>
            </w:pPr>
            <w:r>
              <w:rPr>
                <w:rFonts w:ascii="Arial" w:cs="Arial" w:eastAsia="Arial" w:hAnsi="Arial"/>
                <w:sz w:val="14"/>
                <w:szCs w:val="14"/>
                <w:color w:val="auto"/>
              </w:rPr>
              <w:t>Amount</w:t>
            </w:r>
          </w:p>
        </w:tc>
        <w:tc>
          <w:tcPr>
            <w:tcW w:w="1160" w:type="dxa"/>
            <w:vAlign w:val="bottom"/>
            <w:gridSpan w:val="2"/>
          </w:tcPr>
          <w:p>
            <w:pPr>
              <w:jc w:val="right"/>
              <w:ind w:right="540"/>
              <w:spacing w:after="0"/>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w w:val="90"/>
              </w:rPr>
              <w:t>Earnings</w:t>
            </w:r>
          </w:p>
        </w:tc>
        <w:tc>
          <w:tcPr>
            <w:tcW w:w="1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Earnings(Loss)</w:t>
            </w:r>
          </w:p>
        </w:tc>
        <w:tc>
          <w:tcPr>
            <w:tcW w:w="1200" w:type="dxa"/>
            <w:vAlign w:val="bottom"/>
            <w:gridSpan w:val="3"/>
          </w:tcPr>
          <w:p>
            <w:pPr>
              <w:spacing w:after="0"/>
              <w:rPr>
                <w:sz w:val="20"/>
                <w:szCs w:val="20"/>
                <w:color w:val="auto"/>
              </w:rPr>
            </w:pPr>
            <w:r>
              <w:rPr>
                <w:rFonts w:ascii="Arial" w:cs="Arial" w:eastAsia="Arial" w:hAnsi="Arial"/>
                <w:sz w:val="14"/>
                <w:szCs w:val="14"/>
                <w:color w:val="auto"/>
              </w:rPr>
              <w:t>Compensation</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5"/>
        </w:trPr>
        <w:tc>
          <w:tcPr>
            <w:tcW w:w="2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December 31,</w:t>
            </w:r>
          </w:p>
        </w:tc>
        <w:tc>
          <w:tcPr>
            <w:tcW w:w="6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31,147</w:t>
            </w:r>
          </w:p>
        </w:tc>
        <w:tc>
          <w:tcPr>
            <w:tcW w:w="5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143,176</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$ 2,492,312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82,771</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(78,892)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(16,171)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$ 2,480,037</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20"/>
              <w:spacing w:after="0"/>
              <w:rPr>
                <w:sz w:val="20"/>
                <w:szCs w:val="20"/>
                <w:color w:val="auto"/>
              </w:rPr>
            </w:pPr>
            <w:r>
              <w:rPr>
                <w:rFonts w:ascii="Arial" w:cs="Arial" w:eastAsia="Arial" w:hAnsi="Arial"/>
                <w:sz w:val="18"/>
                <w:szCs w:val="18"/>
                <w:color w:val="auto"/>
              </w:rPr>
              <w:t>loss — unrealized</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20"/>
              <w:spacing w:after="0"/>
              <w:rPr>
                <w:sz w:val="20"/>
                <w:szCs w:val="20"/>
                <w:color w:val="auto"/>
              </w:rPr>
            </w:pPr>
            <w:r>
              <w:rPr>
                <w:rFonts w:ascii="Arial" w:cs="Arial" w:eastAsia="Arial" w:hAnsi="Arial"/>
                <w:sz w:val="18"/>
                <w:szCs w:val="18"/>
                <w:color w:val="auto"/>
              </w:rPr>
              <w:t>loss on investments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20"/>
              <w:spacing w:after="0"/>
              <w:rPr>
                <w:sz w:val="20"/>
                <w:szCs w:val="20"/>
                <w:color w:val="auto"/>
              </w:rPr>
            </w:pPr>
            <w:r>
              <w:rPr>
                <w:rFonts w:ascii="Arial" w:cs="Arial" w:eastAsia="Arial" w:hAnsi="Arial"/>
                <w:sz w:val="18"/>
                <w:szCs w:val="18"/>
                <w:color w:val="auto"/>
              </w:rPr>
              <w:t>— net of tax</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10,079</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10,079</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Adoption of SFAS 123R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(16,171)</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16,171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paid to</w:t>
            </w: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A shareholders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(26,868)</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(26,868)</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Dividends paid to FNF</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(124,563)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(124,563)</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299,014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299,014</w:t>
            </w:r>
          </w:p>
        </w:tc>
        <w:tc>
          <w:tcPr>
            <w:tcW w:w="0" w:type="dxa"/>
            <w:vAlign w:val="bottom"/>
          </w:tcPr>
          <w:p>
            <w:pPr>
              <w:spacing w:after="0"/>
              <w:rPr>
                <w:sz w:val="1"/>
                <w:szCs w:val="1"/>
                <w:color w:val="auto"/>
              </w:rPr>
            </w:pPr>
          </w:p>
        </w:tc>
      </w:tr>
      <w:tr>
        <w:trPr>
          <w:trHeight w:val="209"/>
        </w:trPr>
        <w:tc>
          <w:tcPr>
            <w:tcW w:w="2060" w:type="dxa"/>
            <w:vAlign w:val="bottom"/>
          </w:tcPr>
          <w:p>
            <w:pPr>
              <w:spacing w:after="0"/>
              <w:rPr>
                <w:sz w:val="20"/>
                <w:szCs w:val="20"/>
                <w:color w:val="auto"/>
              </w:rPr>
            </w:pPr>
            <w:r>
              <w:rPr>
                <w:rFonts w:ascii="Arial" w:cs="Arial" w:eastAsia="Arial" w:hAnsi="Arial"/>
                <w:sz w:val="18"/>
                <w:szCs w:val="18"/>
                <w:color w:val="auto"/>
              </w:rPr>
              <w:t>Balance, September 30,</w:t>
            </w: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20"/>
              <w:spacing w:after="0"/>
              <w:rPr>
                <w:sz w:val="20"/>
                <w:szCs w:val="20"/>
                <w:color w:val="auto"/>
              </w:rPr>
            </w:pPr>
            <w:r>
              <w:rPr>
                <w:rFonts w:ascii="Arial" w:cs="Arial" w:eastAsia="Arial" w:hAnsi="Arial"/>
                <w:sz w:val="18"/>
                <w:szCs w:val="18"/>
                <w:color w:val="auto"/>
              </w:rPr>
              <w:t>2006</w:t>
            </w:r>
          </w:p>
        </w:tc>
        <w:tc>
          <w:tcPr>
            <w:tcW w:w="600" w:type="dxa"/>
            <w:vAlign w:val="bottom"/>
          </w:tcPr>
          <w:p>
            <w:pPr>
              <w:jc w:val="right"/>
              <w:spacing w:after="0"/>
              <w:rPr>
                <w:sz w:val="20"/>
                <w:szCs w:val="20"/>
                <w:color w:val="auto"/>
              </w:rPr>
            </w:pPr>
            <w:r>
              <w:rPr>
                <w:rFonts w:ascii="Arial" w:cs="Arial" w:eastAsia="Arial" w:hAnsi="Arial"/>
                <w:sz w:val="18"/>
                <w:szCs w:val="18"/>
                <w:color w:val="auto"/>
              </w:rPr>
              <w:t>31,147</w:t>
            </w:r>
          </w:p>
        </w:tc>
        <w:tc>
          <w:tcPr>
            <w:tcW w:w="5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143,176</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$ 2,486,220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230,354</w:t>
            </w:r>
          </w:p>
        </w:tc>
        <w:tc>
          <w:tcPr>
            <w:tcW w:w="200" w:type="dxa"/>
            <w:vAlign w:val="bottom"/>
          </w:tcPr>
          <w:p>
            <w:pPr>
              <w:spacing w:after="0"/>
              <w:rPr>
                <w:sz w:val="20"/>
                <w:szCs w:val="20"/>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(80,622)</w:t>
            </w:r>
          </w:p>
        </w:tc>
        <w:tc>
          <w:tcPr>
            <w:tcW w:w="12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$ 2,635,969</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FIDELITY NATIONAL TITLE GROUP, INC. AND SUBSIDIARIES CONDENSED CONSOLIDATED AND COMBINED STATEMENTS OF CASH FLOWS (In thousands)</w:t>
      </w:r>
    </w:p>
    <w:p>
      <w:pPr>
        <w:spacing w:after="0" w:line="173"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Nine months ended</w:t>
      </w:r>
    </w:p>
    <w:p>
      <w:pPr>
        <w:jc w:val="center"/>
        <w:ind w:left="87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2"/>
              </w:rPr>
              <w:t>(Unaudited)</w:t>
            </w: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299,014</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Reconciliation of net earnings to net cash provided by operating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8"/>
              <w:spacing w:after="0"/>
              <w:rPr>
                <w:sz w:val="20"/>
                <w:szCs w:val="20"/>
                <w:color w:val="auto"/>
              </w:rPr>
            </w:pPr>
            <w:r>
              <w:rPr>
                <w:rFonts w:ascii="Arial" w:cs="Arial" w:eastAsia="Arial" w:hAnsi="Arial"/>
                <w:sz w:val="18"/>
                <w:szCs w:val="18"/>
                <w:color w:val="auto"/>
              </w:rPr>
              <w:t>83,312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increase in reserve for claim losses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82,812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00"/>
              <w:spacing w:after="0"/>
              <w:rPr>
                <w:sz w:val="20"/>
                <w:szCs w:val="20"/>
                <w:color w:val="auto"/>
              </w:rPr>
            </w:pPr>
            <w:r>
              <w:rPr>
                <w:rFonts w:ascii="Arial" w:cs="Arial" w:eastAsia="Arial" w:hAnsi="Arial"/>
                <w:sz w:val="18"/>
                <w:szCs w:val="18"/>
                <w:color w:val="auto"/>
              </w:rPr>
              <w:t>Gain on sales of assets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(22,091)</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cost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10,079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00"/>
              <w:spacing w:after="0"/>
              <w:rPr>
                <w:sz w:val="20"/>
                <w:szCs w:val="20"/>
                <w:color w:val="auto"/>
              </w:rPr>
            </w:pPr>
            <w:r>
              <w:rPr>
                <w:rFonts w:ascii="Arial" w:cs="Arial" w:eastAsia="Arial" w:hAnsi="Arial"/>
                <w:sz w:val="18"/>
                <w:szCs w:val="18"/>
                <w:color w:val="auto"/>
              </w:rPr>
              <w:t>Minority interest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assets and liabilities, net of effects from acquisitions: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00"/>
              <w:spacing w:after="0"/>
              <w:rPr>
                <w:sz w:val="20"/>
                <w:szCs w:val="20"/>
                <w:color w:val="auto"/>
              </w:rPr>
            </w:pPr>
            <w:r>
              <w:rPr>
                <w:rFonts w:ascii="Arial" w:cs="Arial" w:eastAsia="Arial" w:hAnsi="Arial"/>
                <w:sz w:val="18"/>
                <w:szCs w:val="18"/>
                <w:color w:val="auto"/>
              </w:rPr>
              <w:t>Net (increase) decrease in secured trust deposits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(9,002)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increase in trade receivables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(3,149)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00"/>
              <w:spacing w:after="0"/>
              <w:rPr>
                <w:sz w:val="20"/>
                <w:szCs w:val="20"/>
                <w:color w:val="auto"/>
              </w:rPr>
            </w:pPr>
            <w:r>
              <w:rPr>
                <w:rFonts w:ascii="Arial" w:cs="Arial" w:eastAsia="Arial" w:hAnsi="Arial"/>
                <w:sz w:val="18"/>
                <w:szCs w:val="18"/>
                <w:color w:val="auto"/>
              </w:rPr>
              <w:t>Net decrease (increase) in prepaid expenses and other assets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8"/>
              <w:spacing w:after="0"/>
              <w:rPr>
                <w:sz w:val="20"/>
                <w:szCs w:val="20"/>
                <w:color w:val="auto"/>
              </w:rPr>
            </w:pPr>
            <w:r>
              <w:rPr>
                <w:rFonts w:ascii="Arial" w:cs="Arial" w:eastAsia="Arial" w:hAnsi="Arial"/>
                <w:sz w:val="18"/>
                <w:szCs w:val="18"/>
                <w:color w:val="auto"/>
              </w:rPr>
              <w:t>30,248</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(decrease) increase in accounts payable and accrued liabilities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(37,697)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400"/>
              <w:spacing w:after="0"/>
              <w:rPr>
                <w:sz w:val="20"/>
                <w:szCs w:val="20"/>
                <w:color w:val="auto"/>
              </w:rPr>
            </w:pPr>
            <w:r>
              <w:rPr>
                <w:rFonts w:ascii="Arial" w:cs="Arial" w:eastAsia="Arial" w:hAnsi="Arial"/>
                <w:sz w:val="18"/>
                <w:szCs w:val="18"/>
                <w:color w:val="auto"/>
              </w:rPr>
              <w:t>Net (decrease) increase in income taxes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(15,637)</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145,335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419,778</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investment securities available for sale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1,238,415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1,883,026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Proceeds from maturities of investment securities available for sale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210,569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assets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Cash received as collateral on loaned securities, 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(5,097)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Collections of notes receivable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26,177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Additions to title plants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(13,750)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and equipment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(39,415)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Additions to capitalized software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(17,478)</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investment securities available for sale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1"/>
              </w:rPr>
              <w:t>(1,459,185)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(2,154,842)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Net proceeds of short-term investment securities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8"/>
              <w:spacing w:after="0"/>
              <w:rPr>
                <w:sz w:val="20"/>
                <w:szCs w:val="20"/>
                <w:color w:val="auto"/>
              </w:rPr>
            </w:pPr>
            <w:r>
              <w:rPr>
                <w:rFonts w:ascii="Arial" w:cs="Arial" w:eastAsia="Arial" w:hAnsi="Arial"/>
                <w:sz w:val="18"/>
                <w:szCs w:val="18"/>
                <w:color w:val="auto"/>
              </w:rPr>
              <w:t>68,132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(232,280)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notes receivable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(19,438)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(57,015)</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(135,438)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(64,195)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(410,663)</w:t>
            </w: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Debt service payments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(30,646)</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 to FNF</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(124,563)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(807,575)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Dividends paid to Class A shareholders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(26,868)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distribution to/ contribution from FNF</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135,722</w:t>
            </w:r>
          </w:p>
        </w:tc>
        <w:tc>
          <w:tcPr>
            <w:tcW w:w="0" w:type="dxa"/>
            <w:vAlign w:val="bottom"/>
          </w:tcPr>
          <w:p>
            <w:pPr>
              <w:spacing w:after="0"/>
              <w:rPr>
                <w:sz w:val="1"/>
                <w:szCs w:val="1"/>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(182,077)</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 excluding pledged cash related to secured trust deposits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173,506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w w:val="96"/>
              </w:rPr>
              <w:t>Cash and cash equivalents, excluding pledged cash related to secured trust deposits at beginning of period</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227,448</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excluding pledged cash related to secured trust deposits at end of period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400,954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226,529</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44,285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FIDELITY NATIONAL TITLE GROUP, INC. AND SUBSIDIARIES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The unaudited condensed consolidated and combined financial information included in this report includes the accounts of Fidelity National Title Group, Inc. (“FNT” or the “Company”) and subsidiaries and has been prepared in accordance with generally accepted accounting principles and the instructions to Form 10-Q and Article 10 of Regulation S-X. All adjustments considered necessary for a fair presentation have been included. This report should be read in conjunction with the Company’s consolidated and combined financial statements included in its Annual Report on Form 10-K for the year ended December 31, 2005.</w:t>
      </w:r>
    </w:p>
    <w:p>
      <w:pPr>
        <w:spacing w:after="0" w:line="80" w:lineRule="exact"/>
        <w:rPr>
          <w:sz w:val="20"/>
          <w:szCs w:val="20"/>
          <w:color w:val="auto"/>
        </w:rPr>
      </w:pPr>
    </w:p>
    <w:p>
      <w:pPr>
        <w:ind w:right="220" w:firstLine="222"/>
        <w:spacing w:after="0" w:line="297" w:lineRule="auto"/>
        <w:rPr>
          <w:sz w:val="20"/>
          <w:szCs w:val="20"/>
          <w:color w:val="auto"/>
        </w:rPr>
      </w:pPr>
      <w:r>
        <w:rPr>
          <w:rFonts w:ascii="Arial" w:cs="Arial" w:eastAsia="Arial" w:hAnsi="Arial"/>
          <w:sz w:val="16"/>
          <w:szCs w:val="16"/>
          <w:color w:val="auto"/>
        </w:rPr>
        <w:t>The Company made a reclassification adjustment to the Consolidated Statements of Income, included within this Quarterly Report on Form10-Q, with regard to the presentation of interest and investment income and other operating expenses. This adjustment was necessary to properly reflect certain credits earned as a reduction of other operating expenses as opposed to an increase in investment income. The adjustment resulted in a reduction of interest and investment income of $2.6 million for the quarter ended September 30, 2005 and $10.3 million and $5.9 million for the nine month periods ended September 30, 2006 and 2005, respectively, and a corresponding reduction of other operating expenses. This adjustment had no effect on net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FNT, through its principal subsidiaries, is one of the largest title insurance companies in the United States, with an approximate 29.0% national market share in 2005. The Company’s title insurance underwriters — Fidelity National Title, Chicago Title, Ticor Title, Security Union Title and Alamo Title — together issue all of the Company’s title insurance policies in 49 states, the District of Columbia, Guam, Puerto Rico, the U.S. Virgin Islands, and in Canada and Mexico. The Company operates its business through a single segment, title and escrow, and does not generate significant revenue outside the United States. Although the Company earns title premiums on residential and commercial sale and refinance real estate transactions, the Company does not separately track its revenues from these various types of transactions.</w:t>
      </w:r>
    </w:p>
    <w:p>
      <w:pPr>
        <w:spacing w:after="0" w:line="85"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Prior to October 17, 2005, FNT, representing the title insurance segment of Fidelity National Financial, Inc. (“FNF”), was a wholly-owned subsidiary of FNF. FNF subsequently contributed to FNT all of the legal entities that are consolidated and combined for presentation in FNT’s financial statements, other than any entities acquired after October 17, 2005. On October 17, 2005, FNF distributed a dividend to its stockholders of record as of October 6, 2005 which resulted in a pro rata distribution of 17.5% (31.1 million shares) of its interest in FNT. FNF stockholders received 0.175 shares of FNT Class A common stock for each share of FNF common stock held on the record date. From October 17, 2005, through October 24, 2006, FNF beneficially owned 100% of the FNT Class B common stock representing 82.1% of the Company’s outstanding common stock (143.2 million shares). FNT Class B common stock had ten votes per share, while FNT Class A common stock has one vote per share. As a result, FNF controlled 97.9% of the voting rights of FNT.</w:t>
      </w:r>
    </w:p>
    <w:p>
      <w:pPr>
        <w:spacing w:after="0" w:line="59"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On October 24, 2006, FNF transferred certain assets to FNT in return for the issuance of 45,265,956 shares of FNT Class A common stock to FNF. FNF then converted its Class B holdings to Class A shares and distributed to its shareholders all of its shares of FNT common stock. FNT is now a stand alone public company. (See “Recent Developments”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Combination and Basis of Presentation</w:t>
      </w:r>
    </w:p>
    <w:p>
      <w:pPr>
        <w:spacing w:after="0" w:line="117"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Prior to October 17, 2005, the accompanying Condensed Combined Financial Statements included those assets, liabilities, revenues, and expenses directly attributable to the Company’s operations and allocations of certain FNF corporate assets, liabilities and expenses to the Company. These amounts were allocated to the Company on a basis that was considered by management to reflect most fairly or reasonably the utilization of services provided to, or the benefit obtained by, the Company. Management believes the methods used to allocate these amounts were reasonable. Beginning on October 17, 2005, the entities that made up the Company as of that date were consolidated under a holding company structure and the accompanying Condensed Consolidated Financial Statements reflect activity of that company and its subsidiaries subsequent to October 17, 2005. All significant intercompany profits, transactions and balances were eliminated in consolidation and combination. The financial information included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herein does not necessarily reflect what the financial position and results of operations of the Company would have been had it operated as a stand alone entity during the periods prior to October 17, 2005. The Company’s investments in non-majority-owned partnerships and affiliates are accounted for using the equity method. The Company records minority interest liabilities related to minority shareholders’ interest in consolidated affiliates. All dollars presented herein are in thousands of dollars unless otherwise noted.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 and Unaudited Proforma Net Earnings Per Share</w:t>
      </w:r>
    </w:p>
    <w:p>
      <w:pPr>
        <w:spacing w:after="0" w:line="117" w:lineRule="exact"/>
        <w:rPr>
          <w:sz w:val="20"/>
          <w:szCs w:val="20"/>
          <w:color w:val="auto"/>
        </w:rPr>
      </w:pPr>
    </w:p>
    <w:p>
      <w:pPr>
        <w:ind w:right="260" w:firstLine="225"/>
        <w:spacing w:after="0" w:line="302" w:lineRule="auto"/>
        <w:rPr>
          <w:sz w:val="20"/>
          <w:szCs w:val="20"/>
          <w:color w:val="auto"/>
        </w:rPr>
      </w:pPr>
      <w:r>
        <w:rPr>
          <w:rFonts w:ascii="Arial" w:cs="Arial" w:eastAsia="Arial" w:hAnsi="Arial"/>
          <w:sz w:val="16"/>
          <w:szCs w:val="16"/>
          <w:color w:val="auto"/>
        </w:rPr>
        <w:t>Basic earnings per share is computed by dividing net earnings available to common stockholders by the weighted average number of common shares outstanding during the period. Diluted earnings per share is calculated by dividing net earnings available to common stockholders by the weighted average number of shares outstanding plus the impact of assumed conversions of potentially dilutive common stock equivalents. The Company has granted certain shares of restricted stock, which have been treated as common share equivalents for purposes of calculating diluted earnings per share.</w:t>
      </w:r>
    </w:p>
    <w:p>
      <w:pPr>
        <w:spacing w:after="0" w:line="46" w:lineRule="exact"/>
        <w:rPr>
          <w:sz w:val="20"/>
          <w:szCs w:val="20"/>
          <w:color w:val="auto"/>
        </w:rPr>
      </w:pPr>
    </w:p>
    <w:p>
      <w:pPr>
        <w:ind w:right="60" w:firstLine="222"/>
        <w:spacing w:after="0" w:line="279" w:lineRule="auto"/>
        <w:rPr>
          <w:sz w:val="20"/>
          <w:szCs w:val="20"/>
          <w:color w:val="auto"/>
        </w:rPr>
      </w:pPr>
      <w:r>
        <w:rPr>
          <w:rFonts w:ascii="Arial" w:cs="Arial" w:eastAsia="Arial" w:hAnsi="Arial"/>
          <w:sz w:val="17"/>
          <w:szCs w:val="17"/>
          <w:color w:val="auto"/>
        </w:rPr>
        <w:t>The following table presents the computation of basic and diluted earnings per share for the three month and nine month periods ended September 30, 2006 (in thousands except per share data). Prior to October 17, 2005, the historical financial statements of the Company were combined and thus presentation of earnings per share for the three month and nine month periods ended September 30, 2005 was computed on a pro forma basis, using the number of outstanding shares of FNF common stock as of a date prior to the 2005 distribution of FNT stock by FNF.</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56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71"/>
        </w:trPr>
        <w:tc>
          <w:tcPr>
            <w:tcW w:w="8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 2006</w:t>
            </w:r>
          </w:p>
        </w:tc>
        <w:tc>
          <w:tcPr>
            <w:tcW w:w="3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September 30, 2006</w:t>
            </w:r>
          </w:p>
        </w:tc>
        <w:tc>
          <w:tcPr>
            <w:tcW w:w="0" w:type="dxa"/>
            <w:vAlign w:val="bottom"/>
          </w:tcPr>
          <w:p>
            <w:pPr>
              <w:spacing w:after="0"/>
              <w:rPr>
                <w:sz w:val="1"/>
                <w:szCs w:val="1"/>
                <w:color w:val="auto"/>
              </w:rPr>
            </w:pPr>
          </w:p>
        </w:tc>
      </w:tr>
      <w:tr>
        <w:trPr>
          <w:trHeight w:val="142"/>
        </w:trPr>
        <w:tc>
          <w:tcPr>
            <w:tcW w:w="8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(In thousands,</w:t>
            </w:r>
          </w:p>
        </w:tc>
        <w:tc>
          <w:tcPr>
            <w:tcW w:w="6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5"/>
              </w:rPr>
              <w:t>except per</w:t>
            </w:r>
          </w:p>
        </w:tc>
        <w:tc>
          <w:tcPr>
            <w:tcW w:w="12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earnings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103,399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299,014</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during the year, basic basis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173,475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Plus: Common stock equivalent shares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Arial" w:cs="Arial" w:eastAsia="Arial" w:hAnsi="Arial"/>
                <w:sz w:val="18"/>
                <w:szCs w:val="18"/>
                <w:color w:val="auto"/>
              </w:rPr>
              <w:t>Weighted average shares outstanding during the year, diluted basis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173,643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Company has granted options to purchase 2,246,500 shares of the Company’s common stock, all of which were excluded from the computation of diluted earnings per share in the 2006 periods because they were anti-dilutive.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17"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Company’s financial statements reflect transactions with other businesses and operations of FNF, including those being conducted by another FNF subsidiary, Fidelity National Information Services, Inc. (“FIS”).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detail of related party items included in revenues and expenses is as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jc w:val="center"/>
              <w:ind w:right="74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center"/>
              <w:ind w:left="313"/>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7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Agency title premiums earned</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Rental income earned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Agency title commissions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Data processing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20.4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Corporate services allocated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Title insurance information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real-estate related information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Software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Rental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License and cost sharing agreements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3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Total pretax impact of related party activity</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(31.2</w:t>
            </w:r>
          </w:p>
        </w:tc>
        <w:tc>
          <w:tcPr>
            <w:tcW w:w="380" w:type="dxa"/>
            <w:vAlign w:val="bottom"/>
            <w:gridSpan w:val="2"/>
          </w:tcPr>
          <w:p>
            <w:pPr>
              <w:jc w:val="right"/>
              <w:ind w:right="3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(21.8</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(90.7</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15"/>
        <w:spacing w:after="0" w:line="272" w:lineRule="auto"/>
        <w:rPr>
          <w:sz w:val="20"/>
          <w:szCs w:val="20"/>
          <w:color w:val="auto"/>
        </w:rPr>
      </w:pPr>
      <w:r>
        <w:rPr>
          <w:rFonts w:ascii="Arial" w:cs="Arial" w:eastAsia="Arial" w:hAnsi="Arial"/>
          <w:sz w:val="17"/>
          <w:szCs w:val="17"/>
          <w:color w:val="auto"/>
        </w:rPr>
        <w:t>An FIS subsidiary acts as the title agent in the issuance of title insurance policies by a title insurance underwriter owned by the Company and in connection with certain trustee sales guarantees, a form of title insurance issued as part of the foreclosure process. As a result, the Company’s title insurance subsidiaries pay commissions on title insurance policies sold through FIS. These FIS operations generated revenues of $24.8 million and $26.8 million for the three month periods ended September 30, 2006 and 2005, respectively, and $66.7 million and $69.7 million for the nine month periods ended September 30, 2006 and 2005, respectively, for the Company, which the Company records as agency title premiums. The Company paid FIS commissions at the rate of 88% of premiums generated, equal to $21.8 million and $23.2 million for the three month periods ended September 30, 2006 and 2005, respectively, and $58.7 million and $60.6 million for the nine month periods ended September 30, 2006 and 2005, respectively.</w:t>
      </w:r>
    </w:p>
    <w:p>
      <w:pPr>
        <w:spacing w:after="0" w:line="70"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Through June 30, 2005, the Company leased equipment to a subsidiary of FIS. Revenue relating to these leases for the nine months ended September 30, 2005 was $5.0 million.</w:t>
      </w:r>
    </w:p>
    <w:p>
      <w:pPr>
        <w:spacing w:after="0" w:line="62" w:lineRule="exact"/>
        <w:rPr>
          <w:sz w:val="20"/>
          <w:szCs w:val="20"/>
          <w:color w:val="auto"/>
        </w:rPr>
      </w:pPr>
    </w:p>
    <w:p>
      <w:pPr>
        <w:ind w:right="60" w:firstLine="225"/>
        <w:spacing w:after="0" w:line="288" w:lineRule="auto"/>
        <w:rPr>
          <w:sz w:val="20"/>
          <w:szCs w:val="20"/>
          <w:color w:val="auto"/>
        </w:rPr>
      </w:pPr>
      <w:r>
        <w:rPr>
          <w:rFonts w:ascii="Arial" w:cs="Arial" w:eastAsia="Arial" w:hAnsi="Arial"/>
          <w:sz w:val="16"/>
          <w:szCs w:val="16"/>
          <w:color w:val="auto"/>
        </w:rPr>
        <w:t>Included in the Company’s expenses for the periods presented are amounts paid to a subsidiary of FIS for the provision by FIS to FNT of information technology infrastructure support, data center management and related IT support services. The amounts included in the Company’s expenses to FIS for these services were $20.4 million and $16.7 million for the three month periods ended September 30, 2006 and 2005, respectively, and $55.0 million and</w:t>
      </w:r>
    </w:p>
    <w:p>
      <w:pPr>
        <w:ind w:right="160"/>
        <w:spacing w:after="0" w:line="277" w:lineRule="auto"/>
        <w:rPr>
          <w:sz w:val="20"/>
          <w:szCs w:val="20"/>
          <w:color w:val="auto"/>
        </w:rPr>
      </w:pPr>
      <w:r>
        <w:rPr>
          <w:rFonts w:ascii="Arial" w:cs="Arial" w:eastAsia="Arial" w:hAnsi="Arial"/>
          <w:sz w:val="17"/>
          <w:szCs w:val="17"/>
          <w:color w:val="auto"/>
        </w:rPr>
        <w:t>$41.4 million for the nine month periods ended September 30, 2006 and 2005, respectively. In addition, the Company incurred software expenses relating to an agreement with a subsidiary of FIS that amounted to expenses of $2.1 million for each of the three month periods ended September 30, 2006 and 2005, respectively and $7.0 million and $5.7 million for the nine month periods ended September 30, 2006 and 2005, respectively.</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Historically, the Company has provided corporate services to FNF and FIS and received corporate services provided by FNF. These corporate services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include accounting, internal audit, treasury, payroll, human resources, tax, legal, purchasing, risk management, mergers and acquisitions and general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management. For the three month and nine month periods ended September 30, 2006, the Company’s expenses included $1.7 million and $5.6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respectively, related to the provision of corporate services by FNF to the Company. There were no corporate services provided to the Company by FNF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 or nine month periods ended September 30, 2005. The Company’s expenses were reduced by $1.3 million and $2.6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month periods ended September 30, 2006 and 2005, respectively, and $1.5 million and $7.1 million for the nine month periods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2006 and 2005, respectively, related to the provision of corporate services by the Company to FNF and its subsidiaries (other than FIS subsidiaries).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Company’s expenses were reduced by $1.2 million and $6.6 million for the three month periods ended September 30, 2006 and 2005, respectively,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 million and $20.4 million for the nine month periods ended September 30, 2006 and 2005, respectively, related to the provision of corporate services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to FIS subsidiaries.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86" w:lineRule="auto"/>
        <w:rPr>
          <w:sz w:val="20"/>
          <w:szCs w:val="20"/>
          <w:color w:val="auto"/>
        </w:rPr>
      </w:pPr>
      <w:r>
        <w:rPr>
          <w:rFonts w:ascii="Arial" w:cs="Arial" w:eastAsia="Arial" w:hAnsi="Arial"/>
          <w:sz w:val="16"/>
          <w:szCs w:val="16"/>
          <w:color w:val="auto"/>
        </w:rPr>
        <w:t>The title plant assets of several of the Company’s title insurance subsidiaries are managed or maintained by a subsidiary of FIS. The underlying title plant information and software continues to be owned by each of the Company’s title insurance underwriters, but FIS manages and updates the information in return for either (i) a cash management fee or (ii) the right to sell that information to title insurers, including title insurance underwriters that the Company owns and other third party customers. In most cases, FIS is responsible for keeping the title plant assets current and fully functioning, for which the Company pays a fee to FIS based on the Company’s use of, or access to, the title plant. The Company’s payments to FIS under these arrangements were $5.9 million and $7.7 million for the three month periods ended September 30, 2006 and 2005, respectively, and $17.7 million and $21.8 million for the nine month periods ended September 30, 2006 and 2005, respectively. In addition, each applicable title insurance underwriter in turn receives a royalty on sales of access to its title plant assets. The revenues from these title plant royalties were $0.6 million and $0.7 million for the three month periods ended September 30, 2006 and 2005, respectively, and $2.4 million and $2.1 million for the nine month periods ended September 30, 2006 and 2005, respectively. The Company has also entered into agreements with FIS that permit FIS and certain of its subsidiaries to access and use (but not re-sell) the starters databases and back plant databases of the Company’s title insurance subsidiaries. Starters databases are the Company’s databases of previously issued title policies and back plant databases contain historical records relating to title that are not regularly updated. Each of the Company’s applicable title insurance subsidiaries receives a fee for any access to or use of its starters and back plant databases by FIS. The Company also does business with additional entities of FIS that provide real estate information to the Company’s operations, for which the Company recorded expenses of $3.6 million and $4.9 million for the three month periods ended September 30, 2006 and 2005, respectively, and $8.5 and $10.8 million for the nine month periods ended September 30, 2006 and 2005, respectively.</w:t>
      </w:r>
    </w:p>
    <w:p>
      <w:pPr>
        <w:spacing w:after="0" w:line="61" w:lineRule="exact"/>
        <w:rPr>
          <w:sz w:val="20"/>
          <w:szCs w:val="20"/>
          <w:color w:val="auto"/>
        </w:rPr>
      </w:pPr>
    </w:p>
    <w:p>
      <w:pPr>
        <w:jc w:val="both"/>
        <w:ind w:right="120" w:firstLine="222"/>
        <w:spacing w:after="0" w:line="264" w:lineRule="auto"/>
        <w:rPr>
          <w:sz w:val="20"/>
          <w:szCs w:val="20"/>
          <w:color w:val="auto"/>
        </w:rPr>
      </w:pPr>
      <w:r>
        <w:rPr>
          <w:rFonts w:ascii="Arial" w:cs="Arial" w:eastAsia="Arial" w:hAnsi="Arial"/>
          <w:sz w:val="18"/>
          <w:szCs w:val="18"/>
          <w:color w:val="auto"/>
        </w:rPr>
        <w:t>The Company also has certain license and cost sharing agreements with FIS. The Company recorded expense relating to these agreements of $2.9 million and $3.4 million for the three month periods ended September 30, 2006 and 2005, respectively, and $8.0 million and $9.1 million for the nine month periods ended September 30, 2006 and 2005, respectively.</w:t>
      </w:r>
    </w:p>
    <w:p>
      <w:pPr>
        <w:spacing w:after="0" w:line="73" w:lineRule="exact"/>
        <w:rPr>
          <w:sz w:val="20"/>
          <w:szCs w:val="20"/>
          <w:color w:val="auto"/>
        </w:rPr>
      </w:pPr>
    </w:p>
    <w:p>
      <w:pPr>
        <w:jc w:val="both"/>
        <w:ind w:right="60" w:firstLine="222"/>
        <w:spacing w:after="0" w:line="264" w:lineRule="auto"/>
        <w:rPr>
          <w:sz w:val="20"/>
          <w:szCs w:val="20"/>
          <w:color w:val="auto"/>
        </w:rPr>
      </w:pPr>
      <w:r>
        <w:rPr>
          <w:rFonts w:ascii="Arial" w:cs="Arial" w:eastAsia="Arial" w:hAnsi="Arial"/>
          <w:sz w:val="18"/>
          <w:szCs w:val="18"/>
          <w:color w:val="auto"/>
        </w:rPr>
        <w:t>The Company’s financial statements reflect allocations for a lease of office space to us from FIS for our corporate headquarters and business operations in the amounts of $0.7 million and $0.8 million for the three month periods ended September 30, 2006 and 2005, respectively, and $3.0 million and $2.5 million for the nine month periods ended September 30, 2006 and 2005, respectively.</w:t>
      </w:r>
    </w:p>
    <w:p>
      <w:pPr>
        <w:spacing w:after="0" w:line="73"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believes the amounts earned by the Company or charged to the Company under each of the foregoing arrangements are fair and reasonable. Although the commission rate paid on the title insurance premiums written by the FIS title agencies was set without negotiation, the Company believes the commissions earned are consistent with the average rate that would be available to a third party title agent given the amount and the geographic distribution of the business produced and the low risk of loss profile of the business placed. In connection with the title plant management and maintenance services provided by FIS, the Company believes that the fees charged to the Company by FIS are at approximately the same rates that FIS and other similar vendors charge unaffiliated title insurers. The information technology infrastructure support and data center management services provided to the Company by FIS are priced within the range of prices that FIS offers to its unaffiliated third party customers for the same types of services. However, the amounts the Company earned or was charged under these arrangements were not negotiated at arm’s-length, and may not represent the terms that the Company might have obtained from an unrelated third party.</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Amounts due from/ (to) FNF and FIS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1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3"/>
          </w:tcPr>
          <w:p>
            <w:pPr>
              <w:ind w:left="620"/>
              <w:spacing w:after="0" w:line="142" w:lineRule="exact"/>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FNF</w:t>
            </w:r>
          </w:p>
        </w:tc>
        <w:tc>
          <w:tcPr>
            <w:tcW w:w="5020" w:type="dxa"/>
            <w:vAlign w:val="bottom"/>
            <w:gridSpan w:val="2"/>
            <w:shd w:val="clear" w:color="auto" w:fill="CCEEFF"/>
          </w:tcPr>
          <w:p>
            <w:pPr>
              <w:ind w:left="48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Due (to) from FNF and FIS</w:t>
            </w:r>
          </w:p>
        </w:tc>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FNF (See Note E)</w:t>
            </w:r>
          </w:p>
        </w:tc>
        <w:tc>
          <w:tcPr>
            <w:tcW w:w="4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(497.8)</w:t>
            </w:r>
          </w:p>
        </w:tc>
      </w:tr>
      <w:tr>
        <w:trPr>
          <w:trHeight w:val="405"/>
        </w:trPr>
        <w:tc>
          <w:tcPr>
            <w:tcW w:w="4100" w:type="dxa"/>
            <w:vAlign w:val="bottom"/>
          </w:tcPr>
          <w:p>
            <w:pPr>
              <w:spacing w:after="0"/>
              <w:rPr>
                <w:sz w:val="24"/>
                <w:szCs w:val="24"/>
                <w:color w:val="auto"/>
              </w:rPr>
            </w:pPr>
          </w:p>
        </w:tc>
        <w:tc>
          <w:tcPr>
            <w:tcW w:w="4820" w:type="dxa"/>
            <w:vAlign w:val="bottom"/>
          </w:tcPr>
          <w:p>
            <w:pPr>
              <w:jc w:val="right"/>
              <w:ind w:right="303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4100" w:type="dxa"/>
            <w:vAlign w:val="bottom"/>
            <w:tcBorders>
              <w:bottom w:val="single" w:sz="8" w:color="808080"/>
            </w:tcBorders>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215"/>
        <w:spacing w:after="0" w:line="276" w:lineRule="auto"/>
        <w:rPr>
          <w:sz w:val="20"/>
          <w:szCs w:val="20"/>
          <w:color w:val="auto"/>
        </w:rPr>
      </w:pPr>
      <w:r>
        <w:rPr>
          <w:rFonts w:ascii="Arial" w:cs="Arial" w:eastAsia="Arial" w:hAnsi="Arial"/>
          <w:sz w:val="17"/>
          <w:szCs w:val="17"/>
          <w:color w:val="auto"/>
        </w:rPr>
        <w:t>At September 30, 2006, the Company has a note receivable balance of $19.0 million due from a subsidiary of FNF. The Company earned interest revenue of less than $0.1 million on these notes for t he three months ended September 30, 2006. Until the second quarter of 2006, the Company had notes receivable from FNF relating to agreements between its title underwriters and FNF. At December 31, 2005, the balance on these notes receivable was $19.0 million. The Company earned interest revenue relating to these notes of $0.3 million for the three months ended September 30, 2005, and $0.5 million and $0.7 million for the nine month periods ended September 30, 2006 and 2005, respectively.</w:t>
      </w:r>
    </w:p>
    <w:p>
      <w:pPr>
        <w:spacing w:after="0" w:line="64"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Company is included in FNF’s consolidated tax returns and thus any income tax liability or receivable is due to/from FNF. Due (to)/from FNF at September 30, 2006 and December 31, 2005 includes receivables from FNF relating to overpayments of taxes of $4.7 million and $11.5 million at September 30, 2006 and December 31, 2005, respectively. The Company made tax-related payments to FNF, net of refunds received, of $129.0 million and $71.9 million during the three month periods ended September 30, 2006 and 2005, respectively, and $166.4 million and $111.3 million during the nine month periods ended September 30, 2006 and 2005, respectively.</w:t>
      </w:r>
    </w:p>
    <w:p>
      <w:pPr>
        <w:spacing w:after="0" w:line="80" w:lineRule="exact"/>
        <w:rPr>
          <w:sz w:val="20"/>
          <w:szCs w:val="20"/>
          <w:color w:val="auto"/>
        </w:rPr>
      </w:pPr>
    </w:p>
    <w:p>
      <w:pPr>
        <w:ind w:right="140" w:firstLine="225"/>
        <w:spacing w:after="0" w:line="297" w:lineRule="auto"/>
        <w:rPr>
          <w:sz w:val="20"/>
          <w:szCs w:val="20"/>
          <w:color w:val="auto"/>
        </w:rPr>
      </w:pPr>
      <w:r>
        <w:rPr>
          <w:rFonts w:ascii="Arial" w:cs="Arial" w:eastAsia="Arial" w:hAnsi="Arial"/>
          <w:sz w:val="16"/>
          <w:szCs w:val="16"/>
          <w:color w:val="auto"/>
        </w:rPr>
        <w:t>During the periods presented, the Company paid amounts to a subsidiary of FIS for capitalized software development and for title plant construction. These amounts included capitalized software development costs of $1.6 million and $0.9 million during the three month periods ended September 30, 2006 and 2005, respectively, and $4.3 million and $2.6 million during the nine month periods ended September 30, 2006 and 2005, respectively. Amounts paid to FIS for capitalized title plant construction costs were $4.2 million and $1.5 million during the three month periods ended September 30, 2006 and 2005, respectively, and $13.4 million and $2.7 million during the nine month periods ended September 30, 2006 and 2005, respectively.</w:t>
      </w:r>
    </w:p>
    <w:p>
      <w:pPr>
        <w:spacing w:after="0" w:line="50" w:lineRule="exact"/>
        <w:rPr>
          <w:sz w:val="20"/>
          <w:szCs w:val="20"/>
          <w:color w:val="auto"/>
        </w:rPr>
      </w:pPr>
    </w:p>
    <w:p>
      <w:pPr>
        <w:ind w:right="240" w:firstLine="225"/>
        <w:spacing w:after="0" w:line="342" w:lineRule="auto"/>
        <w:rPr>
          <w:sz w:val="20"/>
          <w:szCs w:val="20"/>
          <w:color w:val="auto"/>
        </w:rPr>
      </w:pPr>
      <w:r>
        <w:rPr>
          <w:rFonts w:ascii="Arial" w:cs="Arial" w:eastAsia="Arial" w:hAnsi="Arial"/>
          <w:sz w:val="16"/>
          <w:szCs w:val="16"/>
          <w:color w:val="auto"/>
        </w:rPr>
        <w:t>Included in investments at September 30, 2006 are 1,432,000 shares of FIS common stock at a market value of $53.0 million, which is $3.1 million less than the Company’s cost basis. These were subsequently sold to FIS on October 23, 2006, for $56.4 million, resulting in a loss of $0.4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0" w:firstLine="225"/>
        <w:spacing w:after="0" w:line="254" w:lineRule="auto"/>
        <w:rPr>
          <w:sz w:val="20"/>
          <w:szCs w:val="20"/>
          <w:color w:val="auto"/>
        </w:rPr>
      </w:pPr>
      <w:r>
        <w:rPr>
          <w:rFonts w:ascii="Arial" w:cs="Arial" w:eastAsia="Arial" w:hAnsi="Arial"/>
          <w:sz w:val="18"/>
          <w:szCs w:val="18"/>
          <w:color w:val="auto"/>
        </w:rPr>
        <w:t>In September 2006, the Securities and Exchange Commission (SEC) issued Staff Accounting Bulletin No. 108 (Topic 1N), “Considering the Effects of Prior Year Misstatements when Quantifying Misstatements in Current Year Financial Statements” (SAB 108). This SAB addresses how the effects of prior-year uncorrected misstatements should be considered when quantifying misstatements in current-year financial statements. SAB 108 requires registrants to quantify misstatements using both the balance sheet and income statement approaches and to evaluate whether either approach results in quantifying an error that is material in light of relevant quantitative and qualitative factors. When the effect of initial adoption is determined to be material, the SAB allows registrants to record that effect as a cumulative effect adjustment to beginning-of-year retained earnings. SAB 108 is effective for annual financial statements covering the first fiscal year ending after November 15, 2006. Management is currently evaluating the impact of SAB 108 on the Company’s statements of financial position and operations.</w:t>
      </w:r>
    </w:p>
    <w:p>
      <w:pPr>
        <w:spacing w:after="0" w:line="84"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In September 2006, the Financial Accounting Standards Board (“FASB”) issued Statement of Financial Accounting Standards (“SFAS”) No. 158, “Employers’ Accounting for Defined Benefit Pension and Other Post Retirement Plans” (“SFAS 158”). SFAS 158 requires entities to recognize on their balance sheets the funded status of pension and other postretirement benefit plans. Entities are required to recognize actuarial gains and losses, prior service cost, and any remaining transition amounts from the initial application of Statement of Financial Accounting Standards No. 87, “Employers’ Accounting for Pensions,” and Statement of Financial Accounting Standards No. 106, “Employers’ Accounting for Postretirement Benefits Other Than Pensions,” when recognizing a plan’s funded status, with the offset to accumulated other comprehensive income. SFAS 158 will not change the amounts recognized in the income statement as net periodic benefit cost. All of the requirements of SFAS 158 are effective as of December 31, 2006 for calendar-year public companies, except for a requirement for fiscal-year-end measurements of plan assets and benefit obligations with which the Company is already in compliance. Management is currently evaluating the impact of SFAS 158 on the Company’s statements of financial position and operations.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253" w:lineRule="auto"/>
        <w:rPr>
          <w:sz w:val="20"/>
          <w:szCs w:val="20"/>
          <w:color w:val="auto"/>
        </w:rPr>
      </w:pPr>
      <w:r>
        <w:rPr>
          <w:rFonts w:ascii="Arial" w:cs="Arial" w:eastAsia="Arial" w:hAnsi="Arial"/>
          <w:sz w:val="18"/>
          <w:szCs w:val="18"/>
          <w:color w:val="auto"/>
        </w:rPr>
        <w:t>In June 2006, the FASB issued Interpretation No. 48, “Accounting for Uncertainty in Income Taxes — an interpretation of FASB Statement No. 109” (“FIN 48”). FIN 48 requires an evaluation to determine the likelihood that an uncertain tax position will be sustained upon examination, including resolution of any related appeals or litigation processes. If it is determined that it is more likely than not that an uncertain tax position will be sustained upon examination, the next step is to determine the amount to be recognized. FIN 48 prescribes recognition of the largest amount of tax benefit that is greater than 50 percent likely of being recognized upon ultimate settlement of an uncertain tax position. Such amounts are to be recognized as of the first financial reporting period during which the more-likely-than-not recognition threshold is met. Similarly, an amount that has previously been recognized will be derecognized as of the first financial reporting period during which the more-likely-than-not recognition threshold is not met. FIN 48 is effective for fiscal years beginning after December 15, 2006. Management is currently evaluating the impact of FIN 48 on the Company’s statements of financial position and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Transaction with FNF</w:t>
      </w:r>
    </w:p>
    <w:p>
      <w:pPr>
        <w:spacing w:after="0" w:line="117"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On June 25, 2006, the Company entered into a Securities Exchange and Distribution Agreement (the “SEDA”) with FNF (amended and restated as of September 18, 2006), providing for the elimination of FNF’s holding company structure, the sale of certain of FNF’s assets and liabilities to FNT in exchange for shares of FNT stock, and the distribution of FNF’s ownership stake in FNT to FNF shareholders. Pursuant to the SEDA, on October 24, 2006, FNT completed the acquisition of substantially all of the assets and liabilities of FNF (other than FNF’s interests in FIS and in FNF Capital Leasing, Inc., a small leasing subsidiary) in exchange for 45,265,956 shares of FNT’s Class A common stock (the “Asset Contribution”). The assets transferred included FNF’s specialty insurance business, its interest in certain claims management operations, certain timber and real estate holdings and certain smaller operations, together with all cash and certain investment assets held by FNF as of October 24, 2006. In connection with the Asset Contribution, FNF converted all of the FNT Class B common stock held by FNF into FNT Class A common stock and distributed the shares acquired by FNF from FNT, together with the converted shares, to holders of record of FNF common stock as of October 17, 2006 in a tax-free distribution (the “2006 Distribution”). As a result of the 2006 Distribution, FNF no longer owns any common stock of FNT and FNT is now a stand alone public company with all of its approximately 218.7 million shares held by the public. Also, on November 9, 2006, FNF will merge with and into FIS, after which FNT will legally change its name to Fidelity National Financial, Inc. (“New FNF”). Beginning on November 10, 2006, FNT’s common stock will trade on the New York Stock Exchange under the trading symbol FNF. FNF’s current chairman of the board and chief executive officer has assumed the same positions in New FNF and the position of executive chairman of the board of FIS. Other key members of FNF’s senior management will also continue their involvement in both New FNF and FIS in executive capacities.</w:t>
      </w:r>
    </w:p>
    <w:p>
      <w:pPr>
        <w:spacing w:after="0" w:line="64" w:lineRule="exact"/>
        <w:rPr>
          <w:sz w:val="20"/>
          <w:szCs w:val="20"/>
          <w:color w:val="auto"/>
        </w:rPr>
      </w:pPr>
    </w:p>
    <w:p>
      <w:pPr>
        <w:ind w:right="40" w:firstLine="215"/>
        <w:spacing w:after="0" w:line="254" w:lineRule="auto"/>
        <w:rPr>
          <w:sz w:val="20"/>
          <w:szCs w:val="20"/>
          <w:color w:val="auto"/>
        </w:rPr>
      </w:pPr>
      <w:r>
        <w:rPr>
          <w:rFonts w:ascii="Arial" w:cs="Arial" w:eastAsia="Arial" w:hAnsi="Arial"/>
          <w:sz w:val="18"/>
          <w:szCs w:val="18"/>
          <w:color w:val="auto"/>
        </w:rPr>
        <w:t xml:space="preserve">Acquisitions among entities under common control such as the Asset Contribution are not considered business combinations and are to be accounted for at historical cost in accordance with </w:t>
      </w:r>
      <w:r>
        <w:rPr>
          <w:rFonts w:ascii="Arial" w:cs="Arial" w:eastAsia="Arial" w:hAnsi="Arial"/>
          <w:sz w:val="18"/>
          <w:szCs w:val="18"/>
          <w:i w:val="1"/>
          <w:iCs w:val="1"/>
          <w:color w:val="auto"/>
        </w:rPr>
        <w:t>EITF 90-5, Exchanges of Ownership Interests between Enterprises under Common Control.</w:t>
      </w:r>
      <w:r>
        <w:rPr>
          <w:rFonts w:ascii="Arial" w:cs="Arial" w:eastAsia="Arial" w:hAnsi="Arial"/>
          <w:sz w:val="18"/>
          <w:szCs w:val="18"/>
          <w:color w:val="auto"/>
        </w:rPr>
        <w:t xml:space="preserve"> Furthermore, the substance of the proposed transactions and the merger is effectively a reverse spin-off of FIS by FNF in accordance with </w:t>
      </w:r>
      <w:r>
        <w:rPr>
          <w:rFonts w:ascii="Arial" w:cs="Arial" w:eastAsia="Arial" w:hAnsi="Arial"/>
          <w:sz w:val="18"/>
          <w:szCs w:val="18"/>
          <w:i w:val="1"/>
          <w:iCs w:val="1"/>
          <w:color w:val="auto"/>
        </w:rPr>
        <w:t>EITF 02-11, Accounting for Reverse Spinoffs.</w:t>
      </w:r>
      <w:r>
        <w:rPr>
          <w:rFonts w:ascii="Arial" w:cs="Arial" w:eastAsia="Arial" w:hAnsi="Arial"/>
          <w:sz w:val="18"/>
          <w:szCs w:val="18"/>
          <w:color w:val="auto"/>
        </w:rPr>
        <w:t xml:space="preserve"> Accordingly, the historical financial statements of FNF will become those of FNT; however, the criteria to account for FIS as discontinued operations as prescribed by </w:t>
      </w:r>
      <w:r>
        <w:rPr>
          <w:rFonts w:ascii="Arial" w:cs="Arial" w:eastAsia="Arial" w:hAnsi="Arial"/>
          <w:sz w:val="18"/>
          <w:szCs w:val="18"/>
          <w:i w:val="1"/>
          <w:iCs w:val="1"/>
          <w:color w:val="auto"/>
        </w:rPr>
        <w:t>SFAS No. 144, Accounting for the Impairment or Disposal of Long-Lived Assets</w:t>
      </w:r>
      <w:r>
        <w:rPr>
          <w:rFonts w:ascii="Arial" w:cs="Arial" w:eastAsia="Arial" w:hAnsi="Arial"/>
          <w:sz w:val="18"/>
          <w:szCs w:val="18"/>
          <w:color w:val="auto"/>
        </w:rPr>
        <w:t xml:space="preserve"> will not be met. This is primarily due to the continuing involvement of FNT with FIS and significant influence that FNT will have over FIS subsequent to the merger through common board members, common senior management and continuing business relationships. It is expected that FIS will continue to be included in FNF’s consolidated financial statements through the date of completion of the SEDA.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Acquisitions</w:t>
      </w:r>
    </w:p>
    <w:p>
      <w:pPr>
        <w:spacing w:after="0" w:line="121"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results of operations and financial position of the entities acquired during any period are included in the Condensed Consolidated and Combined Financial Statements from and after the date of acquisition. These acquisitions were either made by the Company or made by FNF and then contributed to the Company by FNF. The acquisitions made by FNF and contributed to FNT are included in the related Condensed Consolidated and Combined Financial Statements as capital contributions. Based on the acquired entities’ valuation, any difference between the fair value of the identifiable assets and liabilities and the purchase price paid is recorded as goodwill.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 forma disclosures for acquisitions are considered immaterial to the results of operations for all periods presented.</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Service Link L.P.</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On August 1, 2005, the Company acquired Service Link, L.P. (“Service Link”), a national provider of centralized mortgage and residential real estate title and closing services to major financial institutions and institutional lenders. The initial acquisition price was approximately $110 million in cash. During the third quarter of 2006, the Company paid additional contingent consideration of $57.0 million related to this purchase, based on Service Link’s operations meeting certain performance measures over a 12-month period ending in July 2006.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Investments</w:t>
      </w:r>
    </w:p>
    <w:p>
      <w:pPr>
        <w:spacing w:after="0" w:line="121"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During the second quarter of 2005, the Company began lending fixed maturity and equity securities to financial institutions in short-term security lending transactions. The Company’s security lending policy requires that the cash received as collateral be 102% or more of the fair value of the loaned securities. These short-term security lending arrangements increase investment income with minimal risk. At September 30, 2006 and December 31, 2005, the Company had short-term security loans outstanding with values of $271.8 million and $124.3 million, respectively, included in accounts payable and accrued liabilities and the Company held cash in the same amounts as collateral for the loaned securities.</w:t>
      </w:r>
    </w:p>
    <w:p>
      <w:pPr>
        <w:spacing w:after="0" w:line="64" w:lineRule="exact"/>
        <w:rPr>
          <w:sz w:val="20"/>
          <w:szCs w:val="20"/>
          <w:color w:val="auto"/>
        </w:rPr>
      </w:pPr>
    </w:p>
    <w:p>
      <w:pPr>
        <w:ind w:right="420" w:firstLine="225"/>
        <w:spacing w:after="0" w:line="308" w:lineRule="auto"/>
        <w:rPr>
          <w:sz w:val="20"/>
          <w:szCs w:val="20"/>
          <w:color w:val="auto"/>
        </w:rPr>
      </w:pPr>
      <w:r>
        <w:rPr>
          <w:rFonts w:ascii="Arial" w:cs="Arial" w:eastAsia="Arial" w:hAnsi="Arial"/>
          <w:sz w:val="17"/>
          <w:szCs w:val="17"/>
          <w:color w:val="auto"/>
        </w:rPr>
        <w:t>Gross unrealized losses on investment securities and the fair value of the related securities, aggregated by investment category and length of time that individual securities have been in a continuous unrealized loss position at September 30, 2006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Less than 12 Months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660" w:type="dxa"/>
            <w:vAlign w:val="bottom"/>
            <w:tcBorders>
              <w:top w:val="single" w:sz="8" w:color="auto"/>
            </w:tcBorders>
            <w:gridSpan w:val="2"/>
            <w:vMerge w:val="restart"/>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4"/>
                <w:szCs w:val="14"/>
                <w:b w:val="1"/>
                <w:bCs w:val="1"/>
                <w:color w:val="auto"/>
                <w:w w:val="92"/>
              </w:rPr>
              <w:t>Fair Value</w:t>
            </w:r>
          </w:p>
        </w:tc>
        <w:tc>
          <w:tcPr>
            <w:tcW w:w="660" w:type="dxa"/>
            <w:vAlign w:val="bottom"/>
            <w:tcBorders>
              <w:top w:val="single" w:sz="8" w:color="auto"/>
            </w:tcBorders>
            <w:vMerge w:val="restart"/>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Unrealized</w:t>
            </w: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4"/>
                <w:szCs w:val="14"/>
                <w:b w:val="1"/>
                <w:bCs w:val="1"/>
                <w:color w:val="auto"/>
                <w:w w:val="92"/>
              </w:rPr>
              <w:t>Fair Value</w:t>
            </w:r>
          </w:p>
        </w:tc>
        <w:tc>
          <w:tcPr>
            <w:tcW w:w="40" w:type="dxa"/>
            <w:vAlign w:val="bottom"/>
            <w:tcBorders>
              <w:top w:val="single" w:sz="8" w:color="auto"/>
            </w:tcBorders>
            <w:vMerge w:val="restart"/>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6"/>
              </w:rPr>
              <w:t>Losses</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Losses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25,305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719,674</w:t>
            </w: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 (12,663)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744,979</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(12,746)</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States and political subdivisions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152,775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569,536</w:t>
            </w:r>
          </w:p>
        </w:tc>
        <w:tc>
          <w:tcPr>
            <w:tcW w:w="66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(7,964)</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722,311</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(8,629)</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and agencies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18,652</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24,630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Corporate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131,543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(1,127)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373,095</w:t>
            </w:r>
          </w:p>
        </w:tc>
        <w:tc>
          <w:tcPr>
            <w:tcW w:w="66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(10,348)</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504,638</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(11,475)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180,359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(25,579)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180,359</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(25,579)</w:t>
            </w:r>
          </w:p>
        </w:tc>
        <w:tc>
          <w:tcPr>
            <w:tcW w:w="0" w:type="dxa"/>
            <w:vAlign w:val="bottom"/>
          </w:tcPr>
          <w:p>
            <w:pPr>
              <w:spacing w:after="0"/>
              <w:rPr>
                <w:sz w:val="1"/>
                <w:szCs w:val="1"/>
                <w:color w:val="auto"/>
              </w:rPr>
            </w:pPr>
          </w:p>
        </w:tc>
      </w:tr>
      <w:tr>
        <w:trPr>
          <w:trHeight w:val="223"/>
        </w:trPr>
        <w:tc>
          <w:tcPr>
            <w:tcW w:w="3620" w:type="dxa"/>
            <w:vAlign w:val="bottom"/>
          </w:tcPr>
          <w:p>
            <w:pPr>
              <w:ind w:left="220"/>
              <w:spacing w:after="0"/>
              <w:rPr>
                <w:sz w:val="20"/>
                <w:szCs w:val="20"/>
                <w:color w:val="auto"/>
              </w:rPr>
            </w:pPr>
            <w:r>
              <w:rPr>
                <w:rFonts w:ascii="Arial" w:cs="Arial" w:eastAsia="Arial" w:hAnsi="Arial"/>
                <w:sz w:val="18"/>
                <w:szCs w:val="18"/>
                <w:color w:val="auto"/>
              </w:rPr>
              <w:t>Total temporarily impaired securities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495,960</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(27,471</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1,680,957</w:t>
            </w: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(31,277</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2,176,917</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(58,748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Unrealized losses relating to U.S. government, state and political subdivision and fixed maturity corporate holdings were primarily caused by interest rate increases. Since the decline in fair value of these investments is attributable to changes in interest rates and not credit quality, and the Company has the intent and ability to hold these securities, the Company does not consider these investments other-than-temporarily impaired. The unrealized losses related to equity securities were caused by market changes that the Company considers to be temporary and thus the Company does not consider these investments other-than-temporarily impaired. During the third quarter of 2006, the Company recorded an impairment charge on an equity investment that it considered to be other-than-temporarily impaired, resulting in a charge of $8.4 million. During the third quarter of 2005, the Company recorded an impairment charge on two investments that it considered to be other-than-temporarily impaired, which resulted in a charge of $13.6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Stock Based Compensation Plans</w:t>
      </w:r>
    </w:p>
    <w:p>
      <w:pPr>
        <w:spacing w:after="0" w:line="121"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In connection with the 2005 distribution of FNT stock by FNF, the Company established the FNT 2005 Omnibus Incentive Plan (the “Omnibus Plan”) authorizing the issuance of up to 8 million shares of common stock, subject to the terms of the Omnibus Plan. On October 23, 2006, the stockholders of FNT approved an amendment to increase the number of shares available for issuance under the Omnibus Plan by 15.5 million shares. The Omnibus Plan provides for the grant of stock options, stock appreciation rights, restricted stock, restricted stock units and performance shares, performance units, other cash and stock-based awards and dividend equivalents. As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225"/>
        <w:spacing w:after="0" w:line="259" w:lineRule="auto"/>
        <w:rPr>
          <w:sz w:val="20"/>
          <w:szCs w:val="20"/>
          <w:color w:val="auto"/>
        </w:rPr>
      </w:pPr>
      <w:r>
        <w:rPr>
          <w:rFonts w:ascii="Arial" w:cs="Arial" w:eastAsia="Arial" w:hAnsi="Arial"/>
          <w:sz w:val="18"/>
          <w:szCs w:val="18"/>
          <w:color w:val="auto"/>
        </w:rPr>
        <w:t>September 30, 2006, there were 770,000 shares of restricted stock and 2,246,500 stock options outstanding. These shares and options vest over a four-year period. During the three month and nine month periods ended September 30, 2006, the Company recorded stock-based compensation expense of $1.1 million and $3.2 million, respectively, in connection with the issuance of FNT restricted stock and $0.7 million and $1.8 million, respectively, in connection with the issuance of FNT stock options.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 option transactions under the Omnibus Plan in the first nine months of 2006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Aggregate Intrinsic</w:t>
            </w: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 Average</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Value at September 30,</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Shares</w:t>
            </w:r>
          </w:p>
        </w:tc>
        <w:tc>
          <w:tcPr>
            <w:tcW w:w="540" w:type="dxa"/>
            <w:vAlign w:val="bottom"/>
            <w:vMerge w:val="restart"/>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60" w:type="dxa"/>
            <w:vAlign w:val="bottom"/>
            <w:vMerge w:val="restart"/>
          </w:tcPr>
          <w:p>
            <w:pPr>
              <w:spacing w:after="0"/>
              <w:rPr>
                <w:sz w:val="12"/>
                <w:szCs w:val="12"/>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9"/>
              </w:rPr>
              <w:t>Exercisable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2006</w:t>
            </w:r>
          </w:p>
        </w:tc>
        <w:tc>
          <w:tcPr>
            <w:tcW w:w="54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Exercise Price</w:t>
            </w:r>
          </w:p>
        </w:tc>
        <w:tc>
          <w:tcPr>
            <w:tcW w:w="26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(in thousands)</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Contractual Life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2,206,500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(2,074)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21.82</w:t>
            </w:r>
          </w:p>
        </w:tc>
        <w:tc>
          <w:tcPr>
            <w:tcW w:w="2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480"/>
              <w:spacing w:after="0"/>
              <w:rPr>
                <w:sz w:val="20"/>
                <w:szCs w:val="20"/>
                <w:color w:val="auto"/>
              </w:rPr>
            </w:pPr>
            <w:r>
              <w:rPr>
                <w:rFonts w:ascii="Arial" w:cs="Arial" w:eastAsia="Arial" w:hAnsi="Arial"/>
                <w:sz w:val="18"/>
                <w:szCs w:val="18"/>
                <w:color w:val="auto"/>
              </w:rPr>
              <w:t>(34)</w:t>
            </w:r>
          </w:p>
        </w:tc>
        <w:tc>
          <w:tcPr>
            <w:tcW w:w="11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2,246,500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(2,112)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215"/>
        <w:spacing w:after="0" w:line="277" w:lineRule="auto"/>
        <w:rPr>
          <w:sz w:val="20"/>
          <w:szCs w:val="20"/>
          <w:color w:val="auto"/>
        </w:rPr>
      </w:pPr>
      <w:r>
        <w:rPr>
          <w:rFonts w:ascii="Arial" w:cs="Arial" w:eastAsia="Arial" w:hAnsi="Arial"/>
          <w:sz w:val="18"/>
          <w:szCs w:val="18"/>
          <w:color w:val="auto"/>
        </w:rPr>
        <w:t>All options issued and outstanding at September 30, 2006, are unvested. There were no exercisable options outstanding at September 30, 2006. No stock options vested or were forfeited in the first nine months of 2006.</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Restricted stock transactions under the Omnibus Plan in the first nine months of 2006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ind w:left="640"/>
              <w:spacing w:after="0"/>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49"/>
        </w:trPr>
        <w:tc>
          <w:tcPr>
            <w:tcW w:w="8840" w:type="dxa"/>
            <w:vAlign w:val="bottom"/>
          </w:tcPr>
          <w:p>
            <w:pPr>
              <w:spacing w:after="0"/>
              <w:rPr>
                <w:sz w:val="12"/>
                <w:szCs w:val="12"/>
                <w:color w:val="auto"/>
              </w:rPr>
            </w:pPr>
          </w:p>
        </w:tc>
        <w:tc>
          <w:tcPr>
            <w:tcW w:w="7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12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71"/>
        </w:trPr>
        <w:tc>
          <w:tcPr>
            <w:tcW w:w="884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777,500</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6"/>
        </w:trPr>
        <w:tc>
          <w:tcPr>
            <w:tcW w:w="8840" w:type="dxa"/>
            <w:vAlign w:val="bottom"/>
          </w:tcPr>
          <w:p>
            <w:pPr>
              <w:ind w:left="220"/>
              <w:spacing w:after="0"/>
              <w:rPr>
                <w:sz w:val="20"/>
                <w:szCs w:val="20"/>
                <w:color w:val="auto"/>
              </w:rPr>
            </w:pPr>
            <w:r>
              <w:rPr>
                <w:rFonts w:ascii="Arial" w:cs="Arial" w:eastAsia="Arial" w:hAnsi="Arial"/>
                <w:sz w:val="18"/>
                <w:szCs w:val="18"/>
                <w:color w:val="auto"/>
              </w:rPr>
              <w:t>Granted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Cancelled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23"/>
        </w:trPr>
        <w:tc>
          <w:tcPr>
            <w:tcW w:w="8840" w:type="dxa"/>
            <w:vAlign w:val="bottom"/>
          </w:tcPr>
          <w:p>
            <w:pPr>
              <w:spacing w:after="0"/>
              <w:rPr>
                <w:sz w:val="20"/>
                <w:szCs w:val="20"/>
                <w:color w:val="auto"/>
              </w:rPr>
            </w:pPr>
            <w:r>
              <w:rPr>
                <w:rFonts w:ascii="Arial" w:cs="Arial" w:eastAsia="Arial" w:hAnsi="Arial"/>
                <w:sz w:val="18"/>
                <w:szCs w:val="18"/>
                <w:color w:val="auto"/>
              </w:rPr>
              <w:t>Balance, September 30, 2006</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772,500</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shares of restricted stock vested in the first nine months of 2006.</w:t>
      </w:r>
    </w:p>
    <w:p>
      <w:pPr>
        <w:spacing w:after="0" w:line="117" w:lineRule="exact"/>
        <w:rPr>
          <w:sz w:val="20"/>
          <w:szCs w:val="20"/>
          <w:color w:val="auto"/>
        </w:rPr>
      </w:pPr>
    </w:p>
    <w:p>
      <w:pPr>
        <w:ind w:right="80" w:firstLine="215"/>
        <w:spacing w:after="0" w:line="290" w:lineRule="auto"/>
        <w:rPr>
          <w:sz w:val="20"/>
          <w:szCs w:val="20"/>
          <w:color w:val="auto"/>
        </w:rPr>
      </w:pPr>
      <w:r>
        <w:rPr>
          <w:rFonts w:ascii="Arial" w:cs="Arial" w:eastAsia="Arial" w:hAnsi="Arial"/>
          <w:sz w:val="16"/>
          <w:szCs w:val="16"/>
          <w:color w:val="auto"/>
        </w:rPr>
        <w:t>As a result of stock-based compensation grants prior to the commencement of the Omnibus Plan, certain Company employees are also participants in FNF’s stock-based compensation plans (the “FNF Plans”), which provide for the granting of incentive and nonqualified stock options, restricted stock and other stock-based incentive awards for officers and key employees. Grants of incentive and nonqualified stock options under the FNF Plans have generally provided that options shall vest equally over three years and generally expire ten years after their original date of grant. All options granted under the FNF Plans had an exercise price equal to the market value of the underlying common stock on the date of grant. In connection with grants of FNF stock options to Company employees, the Company recorded stock-based compensation expense of $1.2 million and $2.6 million in the three month periods ended September 30, 2006 and 2005, respectively, and $3.7 million and $6.8 million in the nine month periods ended September 30, 2006 and 2005, respectively, which was based on an allocation of compensation expense to the Company for personnel who provided services to the Company.</w:t>
      </w:r>
    </w:p>
    <w:p>
      <w:pPr>
        <w:spacing w:after="0" w:line="58"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color w:val="auto"/>
        </w:rPr>
        <w:t>In 2003, FNF issued to certain Company employees and directors rights to purchase shares of FNF restricted common stock (the “FNF Restricted Shares”). A portion of the FNF Restricted Shares vest over a five-year period and a portion vest over a four-year period, of which one-fifth vested immediately on the date of grant. In connection with the issuance of the FNF Restricted Shares to FNT employees, the Company recorded stock-based compensation expense of $0.5 million and $0.7 million for the three month periods ended September 30, 2006 and 2005, respectively, and $1.4 million and $2.1 million for the nine month periods ended September 30, 2006 and 2005, respectively, which was based on an allocation of compensation expense to the Company for personnel who provided services to the Company.</w:t>
      </w:r>
    </w:p>
    <w:p>
      <w:pPr>
        <w:spacing w:after="0" w:line="85" w:lineRule="exact"/>
        <w:rPr>
          <w:sz w:val="20"/>
          <w:szCs w:val="20"/>
          <w:color w:val="auto"/>
        </w:rPr>
      </w:pPr>
    </w:p>
    <w:p>
      <w:pPr>
        <w:jc w:val="both"/>
        <w:ind w:firstLine="225"/>
        <w:spacing w:after="0" w:line="312" w:lineRule="auto"/>
        <w:rPr>
          <w:sz w:val="20"/>
          <w:szCs w:val="20"/>
          <w:color w:val="auto"/>
        </w:rPr>
      </w:pPr>
      <w:r>
        <w:rPr>
          <w:rFonts w:ascii="Arial" w:cs="Arial" w:eastAsia="Arial" w:hAnsi="Arial"/>
          <w:sz w:val="16"/>
          <w:szCs w:val="16"/>
          <w:color w:val="auto"/>
        </w:rPr>
        <w:t>In December 2004, the FASB issued Statement of Financial Accounting Standards No. 123R, “Share-Based Payment” (“SFAS 123R”), which requires that compensation cost relating to share-based payments be recognized in the Company’s financial statements. Effective as of the beginning of 2003, the Company adopted the fair value recognition provision of Statement of Financial Accounting Standards No. 123, “Accounting for Stock-Based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Compensation” (“SFAS 123”). Using the fair value method of accounting, compensation cost is measured based on the fair value of the award at the grant date and recognized over the service period. Upon adoption of SFAS 123, the Company elected to use the prospective method of transition, as permitted by Statement of Financial Accounting Standards No. 148, “Accounting for Stock- Based Compensation — Transition and Disclosure” (“SFAS 148”). Using this method, stock-based employee compensation cost was recognized from the beginning of 2003 as if the fair value method of accounting had been used to account for all employee awards granted, modified, or settled in years beginning after December 31, 2002. SFAS 123R does not allow for the prospective method, but requires the recording of expense relating to the vesting of all unvested options beginning in the first quarter of 2006. The adoption of SFAS 123R on January 1, 2006 had no material impact on the Company’s income before income taxes, net income, cash flow from operations, cash flow from financing activities, or basic or diluted earnings per share in the three month or nine month period ended September 30, 2006 due to the fact that all options accounted for using the intrinsic value method under Accounting Principles Board Opinion No. 25, “Accounting for Stock Issued to Employees,” were fully vested as of December 31, 2005. In accordance with the provisions of SFAS No. 123R, share-based compensation expense for the 2005 periods presented has not been restated. Net income reflects expense amounts of $3.5 million and $3.3 million for the three month periods ended September 30, 2006 and 2005, respectively, and $10.1 million and $8.9 million for the nine month periods ended September 30, 2006 and 2005, respectively, which are included in personnel costs in the reported financial results of each period. Included in these amounts are share-based compensation expense related to the Omnibus Plan of $1.8 million and $5.0 million in the three and nine month periods ended September 30, 2006, respectively, each of which includes a third quarter 2006 charge of $0.3 million for the accelerated vesting of stock options and restricted stock shares granted to a director who resigned from the board of directors in the third quarter of 2006 and approved by the compensation committee. Also included in total stock-based compensation is share-based compensation expense amounts related to the participation of Company employees in the FNF Plans of $1.7 million and $3.3 million for the three month periods ended September 30, 2006 and 2005, respectively, and $5.1 million and $8.9 million for the nine month periods ended September 30, 2006 and 2005, respectively.</w:t>
      </w:r>
    </w:p>
    <w:p>
      <w:pPr>
        <w:spacing w:after="0" w:line="65" w:lineRule="exact"/>
        <w:rPr>
          <w:sz w:val="20"/>
          <w:szCs w:val="20"/>
          <w:color w:val="auto"/>
        </w:rPr>
      </w:pPr>
    </w:p>
    <w:p>
      <w:pPr>
        <w:ind w:right="80" w:firstLine="222"/>
        <w:spacing w:after="0" w:line="272" w:lineRule="auto"/>
        <w:rPr>
          <w:sz w:val="20"/>
          <w:szCs w:val="20"/>
          <w:color w:val="auto"/>
        </w:rPr>
      </w:pPr>
      <w:r>
        <w:rPr>
          <w:rFonts w:ascii="Arial" w:cs="Arial" w:eastAsia="Arial" w:hAnsi="Arial"/>
          <w:sz w:val="17"/>
          <w:szCs w:val="17"/>
          <w:color w:val="auto"/>
        </w:rPr>
        <w:t>The fair values of all options were estimated at the date of grant using a Black-Scholes option-pricing model with the following weighted average assumptions. The risk free interest rate used in the calculation is the rate that corresponds to the weighted average expected life of an option. For purposes of valuing the options granted under the Omnibus Plan in 2006 or 2005, the Company used historical activity of FNF common stock shares and stock options to estimate the volatility rate of the FNT common stock and the expected life of the FNT options. FNT did not grant any options in the first nine months of 2005. The following assumptions were used in valuing FNT stock options granted during the first nine months of 2006: a risk free interest rate of 4.8%, a volatility factor for the expected market price of 27%, an expected dividend yield of 5.1%, and a weighted average expected life of 4.1 years. The weighted average fair value of each option granted by FNT during the first nine months of 2006 was $3.71.</w:t>
      </w:r>
    </w:p>
    <w:p>
      <w:pPr>
        <w:spacing w:after="0" w:line="70" w:lineRule="exact"/>
        <w:rPr>
          <w:sz w:val="20"/>
          <w:szCs w:val="20"/>
          <w:color w:val="auto"/>
        </w:rPr>
      </w:pPr>
    </w:p>
    <w:p>
      <w:pPr>
        <w:jc w:val="both"/>
        <w:ind w:right="80" w:firstLine="225"/>
        <w:spacing w:after="0" w:line="302" w:lineRule="auto"/>
        <w:rPr>
          <w:sz w:val="20"/>
          <w:szCs w:val="20"/>
          <w:color w:val="auto"/>
        </w:rPr>
      </w:pPr>
      <w:r>
        <w:rPr>
          <w:rFonts w:ascii="Arial" w:cs="Arial" w:eastAsia="Arial" w:hAnsi="Arial"/>
          <w:sz w:val="16"/>
          <w:szCs w:val="16"/>
          <w:color w:val="auto"/>
        </w:rPr>
        <w:t>Prior pro forma information regarding net earnings and earnings per share is required by SFAS No. 123R, and has been determined as if the Company had accounted for all of its employee stock options under the fair value method of that statement. For purposes of pro forma disclosures, the estimated fair value of the options is amortized into expense over the options’ vesting period. The following table illustrates the effect on net income and earnings per share if the Company had applied the fair value recognition provisions of SFAS No. 123R to all outstanding and unvested awards prior to the adoption of SFAS 123R:</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86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71"/>
        </w:trPr>
        <w:tc>
          <w:tcPr>
            <w:tcW w:w="7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2005</w:t>
            </w: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September 30, 2005</w:t>
            </w:r>
          </w:p>
        </w:tc>
        <w:tc>
          <w:tcPr>
            <w:tcW w:w="0" w:type="dxa"/>
            <w:vAlign w:val="bottom"/>
          </w:tcPr>
          <w:p>
            <w:pPr>
              <w:spacing w:after="0"/>
              <w:rPr>
                <w:sz w:val="1"/>
                <w:szCs w:val="1"/>
                <w:color w:val="auto"/>
              </w:rPr>
            </w:pPr>
          </w:p>
        </w:tc>
      </w:tr>
      <w:tr>
        <w:trPr>
          <w:trHeight w:val="142"/>
        </w:trPr>
        <w:tc>
          <w:tcPr>
            <w:tcW w:w="7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71"/>
              </w:rPr>
              <w:t>thousands)</w:t>
            </w:r>
          </w:p>
        </w:tc>
        <w:tc>
          <w:tcPr>
            <w:tcW w:w="3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earnings, as reported</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169,734</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412,631</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w w:val="99"/>
              </w:rPr>
              <w:t>Add: Stock-based compensation expense included in reported net earnings, net of related tax effects</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02"/>
        </w:trPr>
        <w:tc>
          <w:tcPr>
            <w:tcW w:w="7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Deduct: Total stock-based employee compensation expense determined under fair value based methods for</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 awards, net of related tax effects</w:t>
            </w: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(2,088)</w:t>
            </w: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Pro forma net earnings</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169,692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earnings per share — basic and diluted, as reported</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0.98</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8"/>
                <w:szCs w:val="18"/>
                <w:color w:val="auto"/>
              </w:rPr>
              <w:t>Pro forma net earnings per share — basic and diluted, adjusted for SFAS 123 effects</w:t>
            </w: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ind w:left="562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9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15"/>
        <w:spacing w:after="0" w:line="286" w:lineRule="auto"/>
        <w:rPr>
          <w:sz w:val="20"/>
          <w:szCs w:val="20"/>
          <w:color w:val="auto"/>
        </w:rPr>
      </w:pPr>
      <w:r>
        <w:rPr>
          <w:rFonts w:ascii="Arial" w:cs="Arial" w:eastAsia="Arial" w:hAnsi="Arial"/>
          <w:sz w:val="17"/>
          <w:szCs w:val="17"/>
          <w:color w:val="auto"/>
        </w:rPr>
        <w:t>At September 30, 2006, the total unrecognized compensation cost related to non-vested stock option grants was $6.8 million, which is expected to be recognized in pre-tax income over a weighted average period of 3.1 years and the total unrecognized compensation cost related to non-vested restricted stock grants was $12.8 million, which is expected to be recognized in pre-tax income over a weighted average period of 3.0 years.</w:t>
      </w:r>
    </w:p>
    <w:p>
      <w:pPr>
        <w:spacing w:after="0" w:line="57"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On October 24, 2006, as part of the closing of the SEDA and spin-off from FNF, FNT granted options and restricted stock to replace FNF options and FNF restricted stock to its employees. FNT issued approximately 10.1 million options with a weighted average strike price of $11.00 per share to replace</w:t>
      </w:r>
    </w:p>
    <w:p>
      <w:pPr>
        <w:jc w:val="both"/>
        <w:ind w:right="180"/>
        <w:spacing w:after="0" w:line="255" w:lineRule="auto"/>
        <w:rPr>
          <w:sz w:val="20"/>
          <w:szCs w:val="20"/>
          <w:color w:val="auto"/>
        </w:rPr>
      </w:pPr>
      <w:r>
        <w:rPr>
          <w:rFonts w:ascii="Arial" w:cs="Arial" w:eastAsia="Arial" w:hAnsi="Arial"/>
          <w:sz w:val="18"/>
          <w:szCs w:val="18"/>
          <w:color w:val="auto"/>
        </w:rPr>
        <w:t>5.1 million outstanding FNF options in an intrinsic value swap. FNT also issued approximately 0.6 million shares of restricted stock to employees as part of the distribution and to replace FNF restricted stock. Also, on October 23, 2006, FNT granted 785,000 shares of restricted stock to certain executive officers and the board of directors.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Notes Payable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Notes payable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 net of discount, interest payable semiannually at 7.3%, due August, 2011</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240,841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Unsecured notes, net of discount, interest payable semiannually at 5.25%, due March, 2013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248,818</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 due to FNF, net of discount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497,800</w:t>
            </w:r>
          </w:p>
        </w:tc>
      </w:tr>
      <w:tr>
        <w:trPr>
          <w:trHeight w:val="202"/>
        </w:trPr>
        <w:tc>
          <w:tcPr>
            <w:tcW w:w="8920" w:type="dxa"/>
            <w:vAlign w:val="bottom"/>
          </w:tcPr>
          <w:p>
            <w:pPr>
              <w:spacing w:after="0" w:line="201" w:lineRule="exact"/>
              <w:rPr>
                <w:sz w:val="20"/>
                <w:szCs w:val="20"/>
                <w:color w:val="auto"/>
              </w:rPr>
            </w:pPr>
            <w:r>
              <w:rPr>
                <w:rFonts w:ascii="Arial" w:cs="Arial" w:eastAsia="Arial" w:hAnsi="Arial"/>
                <w:sz w:val="18"/>
                <w:szCs w:val="18"/>
                <w:color w:val="auto"/>
              </w:rPr>
              <w:t>Syndicated credit agreement, unsecured, interest due monthly at LIBOR plus 0.40% (5.72% at September 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920" w:type="dxa"/>
            <w:vAlign w:val="bottom"/>
          </w:tcPr>
          <w:p>
            <w:pPr>
              <w:ind w:left="220"/>
              <w:spacing w:after="0"/>
              <w:rPr>
                <w:sz w:val="20"/>
                <w:szCs w:val="20"/>
                <w:color w:val="auto"/>
              </w:rPr>
            </w:pPr>
            <w:r>
              <w:rPr>
                <w:rFonts w:ascii="Arial" w:cs="Arial" w:eastAsia="Arial" w:hAnsi="Arial"/>
                <w:sz w:val="18"/>
                <w:szCs w:val="18"/>
                <w:color w:val="auto"/>
              </w:rPr>
              <w:t>2006), unused portion of $325,000 at September 30, 2006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75,000</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promissory notes with various interest rates and maturities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5,462</w:t>
            </w:r>
          </w:p>
        </w:tc>
      </w:tr>
      <w:tr>
        <w:trPr>
          <w:trHeight w:val="223"/>
        </w:trPr>
        <w:tc>
          <w:tcPr>
            <w:tcW w:w="89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572,958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603,262</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In connection with the 2005 distribution of FNT stock by FNF, the Company issued two $250 million intercompany notes payable to FNF (the “Mirror Notes”), with terms that mirrored FNF’s existing $250 million 7.30% public debentures due in August 2011 and $250 million 5.25% public debentures due in March 2013. Following issuance of the Mirror Notes, the Company filed a Registration Statement on Form S-4, pursuant to which the Company offered to exchange the outstanding FNF notes for notes FNT would issue having substantially the same terms and deliver the FNF notes received in such exchange to FNF in redemption of the debt under the Mirror Notes. On January 17, 2006, the exchange offers expired, with $241.3 million aggregate principal amount of the 7.30% notes due 2011 and the entire $250.0 million aggregate principal amount of the 5.25% notes due 2013 validly tendered and not withdrawn in the exchange offers. Following the completion of the exchange offers, the company issued a new 7.30% Mirror Note due in 2011 in the amount of $8.7 million, representing the principal amount of the portion of the original Mirror Notes that was not exchanged. A balance of $6.6 million of these notes remained outstanding at September 30, 2006, all of which was paid on October 23, 2006.</w:t>
      </w:r>
    </w:p>
    <w:p>
      <w:pPr>
        <w:spacing w:after="0" w:line="74" w:lineRule="exact"/>
        <w:rPr>
          <w:sz w:val="20"/>
          <w:szCs w:val="20"/>
          <w:color w:val="auto"/>
        </w:rPr>
      </w:pPr>
    </w:p>
    <w:p>
      <w:pPr>
        <w:jc w:val="both"/>
        <w:ind w:right="280" w:firstLine="225"/>
        <w:spacing w:after="0" w:line="288" w:lineRule="auto"/>
        <w:rPr>
          <w:sz w:val="20"/>
          <w:szCs w:val="20"/>
          <w:color w:val="auto"/>
        </w:rPr>
      </w:pPr>
      <w:r>
        <w:rPr>
          <w:rFonts w:ascii="Arial" w:cs="Arial" w:eastAsia="Arial" w:hAnsi="Arial"/>
          <w:sz w:val="16"/>
          <w:szCs w:val="16"/>
          <w:color w:val="auto"/>
        </w:rPr>
        <w:t>On October 17, 2005, the Company entered into a Credit Agreement with Bank of America, N.A. as Administrative Agent and Swing Line Lender (the “Previous Credit Agreement”), and the other financial institutions party thereto. The Previous Credit Agreement was repaid and terminated on October 24, 2006. The Previous Credit Agreement provided for a $400 million unsecured revolving credit facility maturing on the fifth anniversary of the closing date.</w:t>
      </w:r>
    </w:p>
    <w:p>
      <w:pPr>
        <w:jc w:val="both"/>
        <w:ind w:right="40"/>
        <w:spacing w:after="0" w:line="281" w:lineRule="auto"/>
        <w:rPr>
          <w:sz w:val="20"/>
          <w:szCs w:val="20"/>
          <w:color w:val="auto"/>
        </w:rPr>
      </w:pPr>
      <w:r>
        <w:rPr>
          <w:rFonts w:ascii="Arial" w:cs="Arial" w:eastAsia="Arial" w:hAnsi="Arial"/>
          <w:sz w:val="16"/>
          <w:szCs w:val="16"/>
          <w:color w:val="auto"/>
        </w:rPr>
        <w:t>Amounts under the revolving credit facility could be borrowed, repaid and reborrowed by the borrowers thereunder from time to time until the maturity of the revolving credit facility. Voluntary prepayment of the revolving credit facility under the Credit Agreement was permitted at any time without fee upon proper notice and subject to a minimum dollar requirement. Revolving loans under the credit facility bore interest at a variable rate based on either (i) the higher of</w:t>
      </w:r>
    </w:p>
    <w:p>
      <w:pPr>
        <w:spacing w:after="0" w:line="2" w:lineRule="exact"/>
        <w:rPr>
          <w:sz w:val="20"/>
          <w:szCs w:val="20"/>
          <w:color w:val="auto"/>
        </w:rPr>
      </w:pPr>
    </w:p>
    <w:p>
      <w:pPr>
        <w:ind w:right="20" w:firstLine="8"/>
        <w:spacing w:after="0" w:line="254"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rate per annum equal to one-half of one percent in excess of the Federal Reserve’s Federal Funds rate, or (b) Bank of America’s “prime rate;” or (ii) a rate per annum equal to the British Bankers Association London Interbank Offered Rate (“LIBOR”) plus a margin of between 0.35%-1.25%, all in, depending on the Company’s then current public debt credit rating from the rating agencies. Included in the 0.35%-1.25% margin was a related commitment fee on the entire facility.</w:t>
      </w:r>
    </w:p>
    <w:p>
      <w:pPr>
        <w:spacing w:after="0" w:line="82"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Previous Credit Agreement contained affirmative, negative and financial covenants customary for financings of this type, including, among other things, limits on the creation of liens, limits on the incurrence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indebtedness, restrictions on investments, and limitations on restricted payments and transactions with affiliates. The Previous Credit Agreement required the Company to maintain investment grade debt ratings, certain financial ratios related to liquidity and statutory surplus and certain levels of capitalization. The Previous Credit Agreement also included customary events of default for facilities of this type (with customary grace periods, as applicable) and provided that, upon the occurrence of an event of default, the interest rate on all outstanding obligations would be increased and payments of all outstanding loans could be accelerated and/or the lenders’ commitments could be terminated. In addition, upon the occurrence of certain insolvency or bankruptcy related events of default, all amounts payable under the Previous Credit Agreement would have automatically become immediately due and payable, and the lenders’ commitments would automatically terminate.</w:t>
      </w:r>
    </w:p>
    <w:p>
      <w:pPr>
        <w:spacing w:after="0" w:line="70" w:lineRule="exact"/>
        <w:rPr>
          <w:sz w:val="20"/>
          <w:szCs w:val="20"/>
          <w:color w:val="auto"/>
        </w:rPr>
      </w:pPr>
    </w:p>
    <w:p>
      <w:pPr>
        <w:ind w:right="20" w:firstLine="225"/>
        <w:spacing w:after="0" w:line="253" w:lineRule="auto"/>
        <w:rPr>
          <w:sz w:val="20"/>
          <w:szCs w:val="20"/>
          <w:color w:val="auto"/>
        </w:rPr>
      </w:pPr>
      <w:r>
        <w:rPr>
          <w:rFonts w:ascii="Arial" w:cs="Arial" w:eastAsia="Arial" w:hAnsi="Arial"/>
          <w:sz w:val="18"/>
          <w:szCs w:val="18"/>
          <w:color w:val="auto"/>
        </w:rPr>
        <w:t>Effective October 24, 2006, the Company entered into a credit agreement (the “New Credit Agreement”) with Bank of America, N.A. as Administrative Agent and Swing Line Lender, and the other financial institutions party thereto. The New Credit Agreement provides for an $800 million unsecured revolving credit facility maturing on the fifth anniversary of the closing date. The Company has the option to increase the size of the credit facility by an additional $300 million, subject to certain requirements. Amounts under the revolving credit facility may be borrowed, repaid and reborrowed by the borrower thereunder from time to time until the maturity of the revolving credit facility. Voluntary prepayment of the revolving credit facility under the New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 (b) Bank of America’s “prime rate” or (ii) a rate per annum equal to the British Bankers Association London Interbank Offered Rate (“LIBOR”) rate plus a margin of between .23%-.675%, depending on the Company’s then current senior unsecured long-term debt rating from the rating agencies. In addition, the Company will pay a commitment fee between .07%-.175% on the entire facility, also depending on the Company’s senior unsecured long-term debt rating.</w:t>
      </w:r>
    </w:p>
    <w:p>
      <w:pPr>
        <w:spacing w:after="0" w:line="85" w:lineRule="exact"/>
        <w:rPr>
          <w:sz w:val="20"/>
          <w:szCs w:val="20"/>
          <w:color w:val="auto"/>
        </w:rPr>
      </w:pPr>
    </w:p>
    <w:p>
      <w:pPr>
        <w:ind w:right="240" w:firstLine="222"/>
        <w:spacing w:after="0" w:line="291" w:lineRule="auto"/>
        <w:rPr>
          <w:sz w:val="20"/>
          <w:szCs w:val="20"/>
          <w:color w:val="auto"/>
        </w:rPr>
      </w:pPr>
      <w:r>
        <w:rPr>
          <w:rFonts w:ascii="Arial" w:cs="Arial" w:eastAsia="Arial" w:hAnsi="Arial"/>
          <w:sz w:val="16"/>
          <w:szCs w:val="16"/>
          <w:color w:val="auto"/>
        </w:rPr>
        <w:t>The New Credit Agreement contains affirmative, negative and financial covenants customary for financings of this type, including, among other things, limits on the creation of liens, sales of assets, the incurrence of indebtedness, restricted payments, transactions with affiliates, and certain amendments. The New Credit Agreement requires the Company to maintain certain financial ratios and levels of capitalization. The New Credit Agreement also includes customary events of default for facilities of this type (with customary grace periods, as applicable) and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New Credit Agreement shall automatically become immediately due and payable, and the lenders’ commitments will automatically terminate.</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Principal maturities of notes payable at September 30, 2006, were as follows (dollars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7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2007</w:t>
            </w: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2009</w:t>
            </w: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Thereafter</w:t>
            </w:r>
          </w:p>
        </w:tc>
        <w:tc>
          <w:tcPr>
            <w:tcW w:w="7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496,299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572,958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7400" w:type="dxa"/>
            <w:vAlign w:val="bottom"/>
            <w:vMerge w:val="restart"/>
          </w:tcPr>
          <w:p>
            <w:pPr>
              <w:jc w:val="right"/>
              <w:ind w:right="4710"/>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200" w:type="dxa"/>
            <w:vAlign w:val="bottom"/>
          </w:tcPr>
          <w:p>
            <w:pPr>
              <w:spacing w:after="0"/>
              <w:rPr>
                <w:sz w:val="24"/>
                <w:szCs w:val="24"/>
                <w:color w:val="auto"/>
              </w:rPr>
            </w:pPr>
          </w:p>
        </w:tc>
        <w:tc>
          <w:tcPr>
            <w:tcW w:w="7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200" w:type="dxa"/>
            <w:vAlign w:val="bottom"/>
            <w:tcBorders>
              <w:bottom w:val="single" w:sz="8" w:color="808080"/>
            </w:tcBorders>
          </w:tcPr>
          <w:p>
            <w:pPr>
              <w:spacing w:after="0"/>
              <w:rPr>
                <w:sz w:val="19"/>
                <w:szCs w:val="19"/>
                <w:color w:val="auto"/>
              </w:rPr>
            </w:pPr>
          </w:p>
        </w:tc>
        <w:tc>
          <w:tcPr>
            <w:tcW w:w="7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Pension and Postretirement Benefits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details the Company’s periodic expense for pension and postretirement benefits: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2005</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Pension Benefits</w:t>
            </w:r>
          </w:p>
        </w:tc>
        <w:tc>
          <w:tcPr>
            <w:tcW w:w="52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5"/>
          </w:tcPr>
          <w:p>
            <w:pPr>
              <w:jc w:val="right"/>
              <w:ind w:right="213"/>
              <w:spacing w:after="0" w:line="142" w:lineRule="exact"/>
              <w:rPr>
                <w:sz w:val="20"/>
                <w:szCs w:val="20"/>
                <w:color w:val="auto"/>
              </w:rPr>
            </w:pPr>
            <w:r>
              <w:rPr>
                <w:rFonts w:ascii="Arial" w:cs="Arial" w:eastAsia="Arial" w:hAnsi="Arial"/>
                <w:sz w:val="14"/>
                <w:szCs w:val="14"/>
                <w:b w:val="1"/>
                <w:bCs w:val="1"/>
                <w:color w:val="auto"/>
              </w:rPr>
              <w:t>Postretirement Benefits</w:t>
            </w:r>
          </w:p>
        </w:tc>
        <w:tc>
          <w:tcPr>
            <w:tcW w:w="100" w:type="dxa"/>
            <w:vAlign w:val="bottom"/>
          </w:tcPr>
          <w:p>
            <w:pPr>
              <w:spacing w:after="0"/>
              <w:rPr>
                <w:sz w:val="12"/>
                <w:szCs w:val="12"/>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center"/>
              <w:ind w:left="23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2,097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2,087</w:t>
            </w:r>
          </w:p>
        </w:tc>
        <w:tc>
          <w:tcPr>
            <w:tcW w:w="1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(2,453)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(1,959)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2,207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Total net periodic expense</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2005</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Pension Benefits</w:t>
            </w:r>
          </w:p>
        </w:tc>
        <w:tc>
          <w:tcPr>
            <w:tcW w:w="52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5"/>
          </w:tcPr>
          <w:p>
            <w:pPr>
              <w:jc w:val="right"/>
              <w:ind w:right="213"/>
              <w:spacing w:after="0" w:line="142" w:lineRule="exact"/>
              <w:rPr>
                <w:sz w:val="20"/>
                <w:szCs w:val="20"/>
                <w:color w:val="auto"/>
              </w:rPr>
            </w:pPr>
            <w:r>
              <w:rPr>
                <w:rFonts w:ascii="Arial" w:cs="Arial" w:eastAsia="Arial" w:hAnsi="Arial"/>
                <w:sz w:val="14"/>
                <w:szCs w:val="14"/>
                <w:b w:val="1"/>
                <w:bCs w:val="1"/>
                <w:color w:val="auto"/>
              </w:rPr>
              <w:t>Postretirement Benefits</w:t>
            </w:r>
          </w:p>
        </w:tc>
        <w:tc>
          <w:tcPr>
            <w:tcW w:w="100" w:type="dxa"/>
            <w:vAlign w:val="bottom"/>
          </w:tcPr>
          <w:p>
            <w:pPr>
              <w:spacing w:after="0"/>
              <w:rPr>
                <w:sz w:val="12"/>
                <w:szCs w:val="12"/>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center"/>
              <w:ind w:left="23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6,291</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6,261</w:t>
            </w:r>
          </w:p>
        </w:tc>
        <w:tc>
          <w:tcPr>
            <w:tcW w:w="1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814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888</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(7,359)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(5,877)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(2,215)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(1,152)</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6,621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Total net periodic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5,583</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7,005</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have been no material changes to the Company’s projected benefit payments under these plans since December 31,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Legal Proceedings</w:t>
      </w:r>
    </w:p>
    <w:p>
      <w:pPr>
        <w:spacing w:after="0" w:line="121"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In the ordinary course of business, the Company is involved in various pending and threatened litigation matters related to its operations, some of which include claims for punitive or exemplary damages. The Company believes that no actions, other than those listed below, depart from customary litigation incidental to its business. As background to the disclosure below, please note the following:</w:t>
      </w:r>
    </w:p>
    <w:p>
      <w:pPr>
        <w:spacing w:after="0" w:line="73" w:lineRule="exact"/>
        <w:rPr>
          <w:sz w:val="20"/>
          <w:szCs w:val="20"/>
          <w:color w:val="auto"/>
        </w:rPr>
      </w:pPr>
    </w:p>
    <w:p>
      <w:pPr>
        <w:ind w:left="540" w:hanging="316"/>
        <w:spacing w:after="0" w:line="272" w:lineRule="auto"/>
        <w:tabs>
          <w:tab w:leader="none" w:pos="54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83" w:lineRule="exact"/>
        <w:rPr>
          <w:rFonts w:ascii="Arial" w:cs="Arial" w:eastAsia="Arial" w:hAnsi="Arial"/>
          <w:sz w:val="17"/>
          <w:szCs w:val="17"/>
          <w:b w:val="1"/>
          <w:bCs w:val="1"/>
          <w:color w:val="auto"/>
        </w:rPr>
      </w:pPr>
    </w:p>
    <w:p>
      <w:pPr>
        <w:ind w:left="540" w:right="100" w:hanging="316"/>
        <w:spacing w:after="0" w:line="272" w:lineRule="auto"/>
        <w:tabs>
          <w:tab w:leader="none" w:pos="54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general, the dollar amount of damages sought is not specified. In those cases where plaintiffs have made a specific statement with regard to monetary damages, they often specify damages just below a jurisdictional limit regardless of the facts of the case. This represents the maximum they can seek without risking removal from state court to federal court. In the Company’s experience, monetary demands in plaintiffs’ court pleadings bear little relation to the ultimate loss, if any, it may experience.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 w:right="80" w:hanging="316"/>
        <w:spacing w:after="0" w:line="259" w:lineRule="auto"/>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For the reasons specified above, it is not possible to make meaningful estimates of the amount or range of loss that could result from these matters at this time. The Company reviews these matters on an on-going basis and follows the provisions of SFAS No. 5, “Accounting for Contingencies” when making accrual and disclosure decisions. When assessing reasonably possible and probable outcomes, the Company bases its decision on its assessment of the ultimate outcome following all appeals.</w:t>
      </w:r>
    </w:p>
    <w:p>
      <w:pPr>
        <w:spacing w:after="0" w:line="92" w:lineRule="exact"/>
        <w:rPr>
          <w:rFonts w:ascii="Arial" w:cs="Arial" w:eastAsia="Arial" w:hAnsi="Arial"/>
          <w:sz w:val="18"/>
          <w:szCs w:val="18"/>
          <w:b w:val="1"/>
          <w:bCs w:val="1"/>
          <w:color w:val="auto"/>
        </w:rPr>
      </w:pPr>
    </w:p>
    <w:p>
      <w:pPr>
        <w:ind w:left="540" w:right="400" w:hanging="316"/>
        <w:spacing w:after="0" w:line="277" w:lineRule="auto"/>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 the opinion of the Company’s management, while some of these matters may be material to the Company’s operating results for any particular period if an unfavorable outcome results, none will have a material adverse effect on its overall financial condition.</w:t>
      </w:r>
    </w:p>
    <w:p>
      <w:pPr>
        <w:spacing w:after="0" w:line="62"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Several class actions are pending in Ohio, Pennsylvania, Connecticut, New Hampshire and Florida alleging improper premiums were charged for title insurance. The cases allege that the named defendant companies failed to provide notice of premium discounts to consumers refinancing their mortgages, and failed to give discounts in refinancing transactions in violation of the filed rates. The actions seek refunds of the premiums charged and punitive damages. The Company intends to vigorously defend the actions.</w:t>
      </w:r>
    </w:p>
    <w:p>
      <w:pPr>
        <w:spacing w:after="0" w:line="79" w:lineRule="exact"/>
        <w:rPr>
          <w:sz w:val="20"/>
          <w:szCs w:val="20"/>
          <w:color w:val="auto"/>
        </w:rPr>
      </w:pPr>
    </w:p>
    <w:p>
      <w:pPr>
        <w:ind w:right="260" w:firstLine="215"/>
        <w:spacing w:after="0" w:line="286" w:lineRule="auto"/>
        <w:rPr>
          <w:sz w:val="20"/>
          <w:szCs w:val="20"/>
          <w:color w:val="auto"/>
        </w:rPr>
      </w:pPr>
      <w:r>
        <w:rPr>
          <w:rFonts w:ascii="Arial" w:cs="Arial" w:eastAsia="Arial" w:hAnsi="Arial"/>
          <w:sz w:val="17"/>
          <w:szCs w:val="17"/>
          <w:color w:val="auto"/>
        </w:rPr>
        <w:t>A class action in California alleges that the Company violated the Real Estate Settlement Procedures Act and state law by giving favorable discounts or rates to builders and developers for escrow fees and requiring purchasers to use Chicago Title Insurance Company for escrow services. The action seeks refunds of the premiums charged and additional damages. The Company intends to vigorously defend this action.</w:t>
      </w:r>
    </w:p>
    <w:p>
      <w:pPr>
        <w:spacing w:after="0" w:line="57"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 class action in Texas alleges that the Company overcharged for recording fees in Arizona, California, Colorado, Oklahoma and Texas. The suit seeks to recover the recording fees for the class that was overcharged, interest and attorney’s fees. The suit was filed in the United States District Court for the Western District of Texas, San Antonio Division on March 24, 2006. Similar suits are pending in Indiana, Kansas, and Missouri. The Company intends to vigorously defend these actions.</w:t>
      </w:r>
    </w:p>
    <w:p>
      <w:pPr>
        <w:spacing w:after="0" w:line="79"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 class action in New Mexico alleges the Company has engaged in anti-competitive price fixing in New Mexico. The suit seeks an injunction against price fixing and writs issued to the State regulators mandating the law be interpreted to provide a competitive market, compensatory damages, punitive damages, statutory damages, interest and attorney’s fees for the injured class. The suit was filed in State Court in Santa Fe, New Mexico on April 27, 2006. The Company intends to vigorously defend this action.</w:t>
      </w:r>
    </w:p>
    <w:p>
      <w:pPr>
        <w:spacing w:after="0" w:line="79"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Two class actions filed in Illinois allege the Company has paid attorneys to refer business to the Company by paying them for core title services in conjunction with orders when the attorneys, in fact, did not perform any core title services and the payments were to steer business to the Company. The suits seek compensatory damages, attorney’s fees and injunctive relief to terminate the practice. The suit was filed in state court in Chicago, Illinois on May 11, 2006. The Company intends to vigorously defend these actions.</w:t>
      </w:r>
    </w:p>
    <w:p>
      <w:pPr>
        <w:spacing w:after="0" w:line="79" w:lineRule="exact"/>
        <w:rPr>
          <w:sz w:val="20"/>
          <w:szCs w:val="20"/>
          <w:color w:val="auto"/>
        </w:rPr>
      </w:pPr>
    </w:p>
    <w:p>
      <w:pPr>
        <w:ind w:right="140" w:firstLine="225"/>
        <w:spacing w:after="0" w:line="342" w:lineRule="auto"/>
        <w:rPr>
          <w:sz w:val="20"/>
          <w:szCs w:val="20"/>
          <w:color w:val="auto"/>
        </w:rPr>
      </w:pPr>
      <w:r>
        <w:rPr>
          <w:rFonts w:ascii="Arial" w:cs="Arial" w:eastAsia="Arial" w:hAnsi="Arial"/>
          <w:sz w:val="16"/>
          <w:szCs w:val="16"/>
          <w:color w:val="auto"/>
        </w:rPr>
        <w:t>None of the cases described above includes a statement as to the dollar amount of damages demanded. Instead, each of the cases includes a demand in an amount to be proved at trial. One Ohio case states that the damages per class member are less than the jurisdictional limit for removal to federal court.</w:t>
      </w:r>
    </w:p>
    <w:p>
      <w:pPr>
        <w:spacing w:after="0" w:line="16"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Company receives inquiries and requests for information from state insurance departments, attorneys general and other regulatory agencies from time to time about various matters relating to its business. Sometimes these take the form of civil investigative subpoenas. The Company attempts to cooperate with all such inquiries. From time to time, the Company is assessed fines for violations of regulations or other matters or enters into settlements with such authorities which require the Company to pay money or take other actions.</w:t>
      </w:r>
    </w:p>
    <w:p>
      <w:pPr>
        <w:spacing w:after="0" w:line="79" w:lineRule="exact"/>
        <w:rPr>
          <w:sz w:val="20"/>
          <w:szCs w:val="20"/>
          <w:color w:val="auto"/>
        </w:rPr>
      </w:pPr>
    </w:p>
    <w:p>
      <w:pPr>
        <w:ind w:right="100" w:firstLine="222"/>
        <w:spacing w:after="0" w:line="293" w:lineRule="auto"/>
        <w:rPr>
          <w:sz w:val="20"/>
          <w:szCs w:val="20"/>
          <w:color w:val="auto"/>
        </w:rPr>
      </w:pPr>
      <w:r>
        <w:rPr>
          <w:rFonts w:ascii="Arial" w:cs="Arial" w:eastAsia="Arial" w:hAnsi="Arial"/>
          <w:sz w:val="16"/>
          <w:szCs w:val="16"/>
          <w:color w:val="auto"/>
        </w:rPr>
        <w:t>The National Association of Insurance Commissioners and various state insurance regulators have been investigating so called “captive reinsurance” agreements since 2004. The investigations have focused on arrangements in which title insurers would write title insurance generated by realtors, developers and lenders and cede a portion of the premiums to a reinsurance company affiliate of the entity that generated the business. The U.S. Department of Housing and Urban Development (“HUD”) also has made formal or informal inquiries of the Company regarding these matters. The Company has been cooperating and intends to continue to cooperate with all ongoing investigations. The Company has discontinued all captive reinsurance arrangements. The total amount of premiums the Company ceded to reinsurers was approximately $10 million over the existence of these agreements.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has settled most of the accusations of wrongdoing that arose from these investigations by discontinuing the practice and paying fines. Some investigations are continuing. The Company anticipates they will be settled in a similar manner.</w:t>
      </w:r>
    </w:p>
    <w:p>
      <w:pPr>
        <w:spacing w:after="0" w:line="62" w:lineRule="exact"/>
        <w:rPr>
          <w:sz w:val="20"/>
          <w:szCs w:val="20"/>
          <w:color w:val="auto"/>
        </w:rPr>
      </w:pPr>
    </w:p>
    <w:p>
      <w:pPr>
        <w:ind w:right="20" w:firstLine="215"/>
        <w:spacing w:after="0" w:line="273" w:lineRule="auto"/>
        <w:rPr>
          <w:sz w:val="20"/>
          <w:szCs w:val="20"/>
          <w:color w:val="auto"/>
        </w:rPr>
      </w:pPr>
      <w:r>
        <w:rPr>
          <w:rFonts w:ascii="Arial" w:cs="Arial" w:eastAsia="Arial" w:hAnsi="Arial"/>
          <w:sz w:val="17"/>
          <w:szCs w:val="17"/>
          <w:color w:val="auto"/>
        </w:rPr>
        <w:t>Additionally, the Company has received inquiries from regulators about its business involvement with title insurance agencies affiliated with builders, realtors and other traditional sources of title insurance business, some of which the Company participated in forming as joint ventures with its subsidiaries. These inquiries have focused on whether the placement of title insurance with the Company through these affiliated agencies is proper or an improper form of referral payment. Like most other title insurers, the Company participates in these affiliated business arrangements in a number of states. The Company has settled the accusations of wrongdoing that arose from some of these investigations by discontinuing the practice and paying fines. Other investigations are continuing. The Company anticipates they will be settled in a similar manner.</w:t>
      </w:r>
    </w:p>
    <w:p>
      <w:pPr>
        <w:spacing w:after="0" w:line="70" w:lineRule="exact"/>
        <w:rPr>
          <w:sz w:val="20"/>
          <w:szCs w:val="20"/>
          <w:color w:val="auto"/>
        </w:rPr>
      </w:pPr>
    </w:p>
    <w:p>
      <w:pPr>
        <w:ind w:right="20" w:firstLine="222"/>
        <w:spacing w:after="0" w:line="289" w:lineRule="auto"/>
        <w:rPr>
          <w:sz w:val="20"/>
          <w:szCs w:val="20"/>
          <w:color w:val="auto"/>
        </w:rPr>
      </w:pPr>
      <w:r>
        <w:rPr>
          <w:rFonts w:ascii="Arial" w:cs="Arial" w:eastAsia="Arial" w:hAnsi="Arial"/>
          <w:sz w:val="16"/>
          <w:szCs w:val="16"/>
          <w:color w:val="auto"/>
        </w:rPr>
        <w:t>The Company and its subsidiaries have settled all allegations of wrongdoing arising from a wide-ranging review of the title insurance industry by the New York State Attorney General (the “NYAG”). Under the terms of the settlement, the Company paid a $2 million fine and will immediately reduce premiums by 15% on owner’s policies under $1 million. Rate hearings will be conducted by the New York State Insurance Department (the “NYSID”) this year where all rates will be considered industry wide. The settlement clarifies practices considered wrongful under New York law by the NYAG and the NYSID, and the Company has agreed not to engage in those practices. The Company will take steps to assure that consumers are aware of the filed rates for premiums on title insurance products and that the products are correctly rated. The settlement also resolves all issues raised by the market conduct investigation of the Company and its subsidiaries by the NYSID except the issues of rating errors found by the NYSID. As part of the settlement, the Company and its subsidiaries denied any wrongdoing. Neither the fines nor the rate reductions are expected to have a material impact on earnings of the Company. The Company cooperated fully with the NYAG and NYSID inquiries into these matters and will continue to cooperate with the NYSID.</w:t>
      </w:r>
    </w:p>
    <w:p>
      <w:pPr>
        <w:spacing w:after="0" w:line="59"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In November 2006, the NYAG and NYSID raised an issue with respect to the applicability of the rate reduction to lenders’ policies. The Company and other defendants dispute this position.</w:t>
      </w:r>
    </w:p>
    <w:p>
      <w:pPr>
        <w:spacing w:after="0" w:line="6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Further, U.S. Representative Oxley, the Chairman of the House Financial Services Committee, recently asked the Government Accountability Office (the “GAO”) to investigate the title insurance industry. Representative Oxley stated that the Committee is concerned about payments that certain title insurers have made to developers, lenders and real estate agents for referrals of title insurance business. Representative Oxley asked the GAO to examine, among other things, the foregoing relationships and the levels of pricing and competition in the title insurance industry. A congressional hearing was held regarding title insurance practices on April 27, 2006. The Company is unable to predict the outcome of this inquiry or whether it will adversely affect the Company’s business or results of operations.</w:t>
      </w:r>
    </w:p>
    <w:p>
      <w:pPr>
        <w:spacing w:after="0" w:line="85" w:lineRule="exact"/>
        <w:rPr>
          <w:sz w:val="20"/>
          <w:szCs w:val="20"/>
          <w:color w:val="auto"/>
        </w:rPr>
      </w:pPr>
    </w:p>
    <w:p>
      <w:pPr>
        <w:ind w:right="40" w:firstLine="225"/>
        <w:spacing w:after="0" w:line="287" w:lineRule="auto"/>
        <w:rPr>
          <w:sz w:val="20"/>
          <w:szCs w:val="20"/>
          <w:color w:val="auto"/>
        </w:rPr>
      </w:pPr>
      <w:r>
        <w:rPr>
          <w:rFonts w:ascii="Arial" w:cs="Arial" w:eastAsia="Arial" w:hAnsi="Arial"/>
          <w:sz w:val="16"/>
          <w:szCs w:val="16"/>
          <w:color w:val="auto"/>
        </w:rPr>
        <w:t>On July 3, 2006, the California Insurance Commissioner (“Commissioner”) issued a Notice of Proposed Action and Notice of Public Hearing (the “Notice”) relating to proposed regulations governing rate-making for title insurance (the “Proposed Regulations”). A hearing on the Proposed Regulations took place on August 30, 2006. If implemented, the Proposed Regulations would result in significant reductions in title insurance rates, which are likely to have a significant negative impact on the company’s California revenues. In addition, the Proposed Regulations would give the Commissioner the ability to set maximum allowable title insurance rates on a going-forward basis. It is possible that such maximum rates would be lower than the rates that the company would otherwise set. In addition, the Florida Office of Insurance Regulation (the “OIR”) has recently released three studies of the title insurance industry which purport to demonstrate that title insurance rates in Florida are too high and that the Florida title insurance industry is overwhelmingly dominated by five firms, which includes FNT. The studies recommend tying premium rates to loss ratios thereby making the rates a reflection of the actual risks born by the insurer. The OIR is presently developing a rule to govern the upcoming rate analysis and rate setting process and has said that it will use the information to begin a full review of the title insurance rates charged in Florida. New York, Connecticut, Nevada, New Mexico, Texas and Washington insurance regulators have also announced similar inquiries (or other reviews of title insurance rates or practices) and other states could follow. At this stage, the Company is unable to predict what the outcome will be of these or any similar reviews.</w:t>
      </w:r>
    </w:p>
    <w:p>
      <w:pPr>
        <w:spacing w:after="0" w:line="61" w:lineRule="exact"/>
        <w:rPr>
          <w:sz w:val="20"/>
          <w:szCs w:val="20"/>
          <w:color w:val="auto"/>
        </w:rPr>
      </w:pPr>
    </w:p>
    <w:p>
      <w:pPr>
        <w:jc w:val="both"/>
        <w:ind w:firstLine="225"/>
        <w:spacing w:after="0" w:line="312" w:lineRule="auto"/>
        <w:rPr>
          <w:sz w:val="20"/>
          <w:szCs w:val="20"/>
          <w:color w:val="auto"/>
        </w:rPr>
      </w:pPr>
      <w:r>
        <w:rPr>
          <w:rFonts w:ascii="Arial" w:cs="Arial" w:eastAsia="Arial" w:hAnsi="Arial"/>
          <w:sz w:val="16"/>
          <w:szCs w:val="16"/>
          <w:color w:val="auto"/>
        </w:rPr>
        <w:t>Canadian lawyers who have traditionally played a role in real property transactions in Canada allege that the Company’s practices in processing residential mortgages are the unauthorized practice of law. Their Law Societies have demanded an end to the practice, and have begun investigations into those practices. In several provinces bills have been filed that ostensibly would affect the way the Company does business. The Company is unable to predict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outcome of this inquiry or whether it will adversely affect the Company’s business or results of operations. In Missouri a class action is pending alleging that certain acts performed by the Company in closing real estate transactions are the unlawful practice of law. The Company intends to vigorously defend this 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and Section 21E of the Securities Exchange Act of 1934,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contained herein due to many factors, including, but not limited to: changes in general economic, business, and political conditions, including changes in the financial markets; adverse changes in the level of real estate activity, which may be caused by, among other things, high or increasing interest rates, a limited supply of mortgage funding or a weak U.S. economy; compliance with extensive regulations; regulatory investigations of the title insurance industry; our business concentration in the State of California, the source of over 20% of our title insurance premiums; our dependence on distributions from our title insurance underwriters as our main source of cash flow; competition from other title insurance companies; and other risks detailed in our filings with the Securities and Exchange Commission.</w:t>
      </w:r>
    </w:p>
    <w:p>
      <w:pPr>
        <w:spacing w:after="0" w:line="59" w:lineRule="exact"/>
        <w:rPr>
          <w:sz w:val="20"/>
          <w:szCs w:val="20"/>
          <w:color w:val="auto"/>
        </w:rPr>
      </w:pPr>
    </w:p>
    <w:p>
      <w:pPr>
        <w:ind w:right="240" w:firstLine="222"/>
        <w:spacing w:after="0" w:line="297" w:lineRule="auto"/>
        <w:rPr>
          <w:sz w:val="20"/>
          <w:szCs w:val="20"/>
          <w:color w:val="auto"/>
        </w:rPr>
      </w:pPr>
      <w:r>
        <w:rPr>
          <w:rFonts w:ascii="Arial" w:cs="Arial" w:eastAsia="Arial" w:hAnsi="Arial"/>
          <w:sz w:val="16"/>
          <w:szCs w:val="16"/>
          <w:color w:val="auto"/>
        </w:rPr>
        <w:t>The Company made a reclassification adjustment to the Consolidated Statements of Income, included within this Quarterly Report on Form10-Q, with regard to the presentation of interest and investment income and other operating expenses. This adjustment was necessary to properly reflect certain credits earned as a reduction of other operating expenses as opposed to an increase in investment income. The adjustment resulted in a reduction of interest and investment income of $2.6 million for the quarter ended September 30, 2005 and $10.3 million and $5.9 million for the nine month periods ended September 30, 2006 and 2005, respectively, and a corresponding reduction of other operating expenses. This adjustment had no effect on net income.</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discussion should be read in conjunction with our Annual Report on Form 10-K for the year ended December 31,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Fidelity National Title Group (“FNT” or the “Company”) is one of the largest title insurance companies in the United States, with an approximate 29.0% national market share in 2005. Our title insurance underwriters — Fidelity National Title, Chicago Title, Ticor Title, Security Union Title and Alamo Title — together issue all of the Company’s title insurance policies in 49 states, the District of Columbia, Guam, Puerto Rico, the U.S. Virgin Islands, and in Canada and Mexico. We operate our business through a single segment, title and escrow, and do not generate significant revenue outside the United States.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Prior to October 17, 2005, we were a wholly-owned subsidiary of FNF. On that date, FNF distributed shares of our Class A Common Stock representing</w:t>
      </w:r>
    </w:p>
    <w:p>
      <w:pPr>
        <w:spacing w:after="0" w:line="46"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17.5% of our outstanding shares to its stockholders as a dividend. Until October 24, 2006, FNF continued to hold shares of our Class B Common Stock representing 82.1% of our outstanding stock and 97.9% of all voting rights of our common stock.</w:t>
      </w:r>
    </w:p>
    <w:p>
      <w:pPr>
        <w:spacing w:after="0" w:line="76" w:lineRule="exact"/>
        <w:rPr>
          <w:sz w:val="20"/>
          <w:szCs w:val="20"/>
          <w:color w:val="auto"/>
        </w:rPr>
      </w:pPr>
    </w:p>
    <w:p>
      <w:pPr>
        <w:ind w:right="40" w:firstLine="225"/>
        <w:spacing w:after="0" w:line="253" w:lineRule="auto"/>
        <w:rPr>
          <w:sz w:val="20"/>
          <w:szCs w:val="20"/>
          <w:color w:val="auto"/>
        </w:rPr>
      </w:pPr>
      <w:r>
        <w:rPr>
          <w:rFonts w:ascii="Arial" w:cs="Arial" w:eastAsia="Arial" w:hAnsi="Arial"/>
          <w:sz w:val="18"/>
          <w:szCs w:val="18"/>
          <w:color w:val="auto"/>
        </w:rPr>
        <w:t>Our financial statements for the periods presented include assets, liabilities, revenues and expenses directly attributable to our operations as well as transactions between us and FNF and other affiliated entities. For periods prior to the October 17, 2005, our financial statements include allocations of certain of our corporate expenses to FNF and Fidelity National Information Services, Inc. (“FIS”) and allocations to us of certain FNF expenses, allocated on a basis that management considers to reflect most fairly or reasonably the utilization of the services provided to or the benefit obtained by those businesses. These expense allocations from FNF reflect an allocation to us of a portion of the compensation of certain senior officers and other personnel of FNF who were not our employees after the 2005 distribution of FNT stock by FNF, but who have historically provided services to us. Our financial statements for periods prior to October 17, 2005, do not reflect the debt or interest expense we might have incurred if we had been a stand-alone entity. Subsequent to the 2005 distribution of FNT stock by FNF, we have incurred additional expenses as a result of being a separate public company. As a result, our financial statements for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periods prior to October 17, 2005, do not necessarily reflect what our financial position or results of operations would have been if we had been operated as a stand-alone public entity during the periods covered, and may not be indicative of our future results of operations or financial position.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Transaction with FNF</w:t>
      </w:r>
    </w:p>
    <w:p>
      <w:pPr>
        <w:spacing w:after="0" w:line="117"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On June 25, 2006, the Company entered into a Securities Exchange and Distribution Agreement (the “SEDA”) with FNF (amended and restated as of September 18, 2006), providing for the elimination of FNF’s holding company structure, the sale of certain of FNF’s assets and liabilities to FNT in exchange for shares of FNT stock, and the distribution of FNF’s ownership stake in FNT to FNF shareholders. Pursuant to the SEDA, on October 24, 2006, FNT completed the acquisition of substantially all of the assets and liabilities of FNF (other than FNF’s interests in FIS and in FNF Capital Leasing, Inc., a small subsidiary) in exchange for 45,265,956 shares of FNT’s Class A common stock (the “Asset Contribution”). The assets transferred included FNF’s specialty insurance business, its interest in certain claims management operations, certain timber and real estate holdings and certain smaller operations, together with all cash and certain investment assets held by FNF as of October 24, 2006. In connection with the Asset Contribution, FNF converted all of the FNT Class B common stock held by FNF into FNT Class A common stock and distributed the shares acquired by FNF from FNT, together with the converted shares, to holders of record of FNF common stock as of October 17, 2006 in a tax-free distribution (the “2006 Distribution”). As a result of the 2006 Distribution, FNF no longer owns any common stock of FNT and FNT is now a stand alone public company with all of its approximately 218.7 million shares held by the public. Also, on November 9, 2006, FNF will merge with and into FIS, after which FNT will legally change its name to Fidelity National Financial, Inc. (“New FNF”). Beginning on November 10, 2006, FNT’s common stock will trade on the New York Stock Exchange under the trading symbol FNF. FNF’s current chairman of the board and chief executive officer, William P. Foley, II, has assumed the same positions in New FNF and the position of executive chairman of the board of FIS. Other key members of FNF’s senior management will also continue their involvement in both New FNF and FIS in executive capacities.</w:t>
      </w:r>
    </w:p>
    <w:p>
      <w:pPr>
        <w:spacing w:after="0" w:line="75" w:lineRule="exact"/>
        <w:rPr>
          <w:sz w:val="20"/>
          <w:szCs w:val="20"/>
          <w:color w:val="auto"/>
        </w:rPr>
      </w:pPr>
    </w:p>
    <w:p>
      <w:pPr>
        <w:ind w:firstLine="215"/>
        <w:spacing w:after="0" w:line="254" w:lineRule="auto"/>
        <w:rPr>
          <w:sz w:val="20"/>
          <w:szCs w:val="20"/>
          <w:color w:val="auto"/>
        </w:rPr>
      </w:pPr>
      <w:r>
        <w:rPr>
          <w:rFonts w:ascii="Arial" w:cs="Arial" w:eastAsia="Arial" w:hAnsi="Arial"/>
          <w:sz w:val="18"/>
          <w:szCs w:val="18"/>
          <w:color w:val="auto"/>
        </w:rPr>
        <w:t xml:space="preserve">Acquisitions among entities under common control such as the Asset Contribution are not considered business combinations and are to be accounted for at historical cost in accordance with </w:t>
      </w:r>
      <w:r>
        <w:rPr>
          <w:rFonts w:ascii="Arial" w:cs="Arial" w:eastAsia="Arial" w:hAnsi="Arial"/>
          <w:sz w:val="18"/>
          <w:szCs w:val="18"/>
          <w:i w:val="1"/>
          <w:iCs w:val="1"/>
          <w:color w:val="auto"/>
        </w:rPr>
        <w:t>EITF 90-5, Exchanges of Ownership Interests between Enterprises under Common Control.</w:t>
      </w:r>
      <w:r>
        <w:rPr>
          <w:rFonts w:ascii="Arial" w:cs="Arial" w:eastAsia="Arial" w:hAnsi="Arial"/>
          <w:sz w:val="18"/>
          <w:szCs w:val="18"/>
          <w:color w:val="auto"/>
        </w:rPr>
        <w:t xml:space="preserve"> Furthermore, the substance of the proposed transactions and the merger is effectively a reverse spin-off of FIS by FNF in accordance with </w:t>
      </w:r>
      <w:r>
        <w:rPr>
          <w:rFonts w:ascii="Arial" w:cs="Arial" w:eastAsia="Arial" w:hAnsi="Arial"/>
          <w:sz w:val="18"/>
          <w:szCs w:val="18"/>
          <w:i w:val="1"/>
          <w:iCs w:val="1"/>
          <w:color w:val="auto"/>
        </w:rPr>
        <w:t>EITF 02-11, Accounting for Reverse Spinoffs.</w:t>
      </w:r>
      <w:r>
        <w:rPr>
          <w:rFonts w:ascii="Arial" w:cs="Arial" w:eastAsia="Arial" w:hAnsi="Arial"/>
          <w:sz w:val="18"/>
          <w:szCs w:val="18"/>
          <w:color w:val="auto"/>
        </w:rPr>
        <w:t xml:space="preserve"> Accordingly, the historical financial statements of FNF will become those of FNT; however, the criteria to account for FIS as discontinued operations as prescribed by </w:t>
      </w:r>
      <w:r>
        <w:rPr>
          <w:rFonts w:ascii="Arial" w:cs="Arial" w:eastAsia="Arial" w:hAnsi="Arial"/>
          <w:sz w:val="18"/>
          <w:szCs w:val="18"/>
          <w:i w:val="1"/>
          <w:iCs w:val="1"/>
          <w:color w:val="auto"/>
        </w:rPr>
        <w:t>SFAS No. 144, Accounting for the Impairment or Disposal of Long-Lived Assets</w:t>
      </w:r>
      <w:r>
        <w:rPr>
          <w:rFonts w:ascii="Arial" w:cs="Arial" w:eastAsia="Arial" w:hAnsi="Arial"/>
          <w:sz w:val="18"/>
          <w:szCs w:val="18"/>
          <w:color w:val="auto"/>
        </w:rPr>
        <w:t xml:space="preserve"> will not be met. This is primarily due to the continuing involvement of FNT with FIS and significant influence that FNT will have over FIS subsequent to the merger through common board members, common senior management and continuing business relationships. It is expected that FIS will continue to be included in FNF’s consolidated financial statements through the date of completion of the SEDA.</w:t>
      </w:r>
    </w:p>
    <w:p>
      <w:pPr>
        <w:spacing w:after="0" w:line="84"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Following the 2006 Distribution, the Company is no longer purely a title insurance company. Instead, the Company is a holding company which operates through its subsidiaries in the title insurance and specialty insurance industries. In addition, the Company expects to actively evaluate possible strategic transactions, including but not limited to potential acquisitions of other companies, business units and operating and investment assets. Any such acquisitions may or may not be in lines of business that are the same as or provide potential synergies with FNT’s existing operations. There can be no assurance, however, that any suitable acquisitions or other strategic opportunities will arise.</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Service Link Acquisition</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On August 1, 2005, the Company acquired Service Link, L.P. (“Service Link”), a national provider of centralized mortgage and residential real estate title and closing services to major financial institutions and institutional lenders. The initial acquisition price was approximately $110 million in cash. During the third quarter of 2006, the Company paid additional contingent consideration of $57.0 million related to this purchase, based on Service Link’s operations meeting certain performance measures over a 12-month period ending in July 2006.</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right"/>
              <w:ind w:right="10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right"/>
              <w:ind w:right="126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3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2006</w:t>
            </w: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2005</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9"/>
              </w:rPr>
              <w:t>(Unaudited)</w:t>
            </w: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2006</w:t>
            </w: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Direct title insurance premiums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461,340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626,178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1,413,641</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1,643,574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Agency title insurance premiums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721,801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779,117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2,058,935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2,083,317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Escrow and other title related fees</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269,188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324,910</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810,845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868,375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investment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41,261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28,994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115,680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Realized gains and losses, net</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3,583</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22,091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11,461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34,393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60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1,507,032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1,774,243</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4,455,585</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4,723,401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Personnel costs</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436,064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511,325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1,354,720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1,415,928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223,359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246,109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666,587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Agent commissions</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555,010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612,139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1,587,547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1,617,260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23,818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83,312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Provision for claim losses</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88,706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103,612</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260,444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254,289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4,669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36,462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400"/>
              <w:spacing w:after="0"/>
              <w:rPr>
                <w:sz w:val="20"/>
                <w:szCs w:val="20"/>
                <w:color w:val="auto"/>
              </w:rPr>
            </w:pPr>
            <w:r>
              <w:rPr>
                <w:rFonts w:ascii="Arial" w:cs="Arial" w:eastAsia="Arial" w:hAnsi="Arial"/>
                <w:sz w:val="18"/>
                <w:szCs w:val="18"/>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1,345,782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1,501,672</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3,989,072</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4,060,004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 and minority interest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161,250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272,571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466,513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57,241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102,137</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165,610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248,774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minority interest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170,434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300,903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103,399</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169,734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299,014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firstLine="222"/>
        <w:spacing w:after="0" w:line="277" w:lineRule="auto"/>
        <w:rPr>
          <w:sz w:val="20"/>
          <w:szCs w:val="20"/>
          <w:color w:val="auto"/>
        </w:rPr>
      </w:pPr>
      <w:r>
        <w:rPr>
          <w:rFonts w:ascii="Arial" w:cs="Arial" w:eastAsia="Arial" w:hAnsi="Arial"/>
          <w:sz w:val="18"/>
          <w:szCs w:val="18"/>
          <w:color w:val="auto"/>
        </w:rPr>
        <w:t>Total revenues decreased $267.2 million or 15.1% for the third quarter of 2006 to $1,507.0 million and decreased $267.8 million or 5.7% for the first nine months of 2006 to $4,455.6 million.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title insurance premiums for the three-month and nine-month periods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94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00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95"/>
        </w:trPr>
        <w:tc>
          <w:tcPr>
            <w:tcW w:w="2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Title premiums from direct</w:t>
            </w: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2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461,340</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626,178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$ 1,413,641</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40.7%</w:t>
            </w: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1,643,574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w:t>
            </w: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Title premiums from</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300" w:type="dxa"/>
            <w:vAlign w:val="bottom"/>
          </w:tcPr>
          <w:p>
            <w:pPr>
              <w:ind w:left="220"/>
              <w:spacing w:after="0"/>
              <w:rPr>
                <w:sz w:val="20"/>
                <w:szCs w:val="20"/>
                <w:color w:val="auto"/>
              </w:rPr>
            </w:pPr>
            <w:r>
              <w:rPr>
                <w:rFonts w:ascii="Arial" w:cs="Arial" w:eastAsia="Arial" w:hAnsi="Arial"/>
                <w:sz w:val="18"/>
                <w:szCs w:val="18"/>
                <w:color w:val="auto"/>
              </w:rPr>
              <w:t>agency operations</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721,801</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779,117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55.4%</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2,058,935</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59.3%</w:t>
            </w:r>
          </w:p>
        </w:tc>
        <w:tc>
          <w:tcPr>
            <w:tcW w:w="1400" w:type="dxa"/>
            <w:vAlign w:val="bottom"/>
            <w:gridSpan w:val="3"/>
          </w:tcPr>
          <w:p>
            <w:pPr>
              <w:jc w:val="right"/>
              <w:ind w:right="400"/>
              <w:spacing w:after="0"/>
              <w:rPr>
                <w:sz w:val="20"/>
                <w:szCs w:val="20"/>
                <w:color w:val="auto"/>
              </w:rPr>
            </w:pPr>
            <w:r>
              <w:rPr>
                <w:rFonts w:ascii="Arial" w:cs="Arial" w:eastAsia="Arial" w:hAnsi="Arial"/>
                <w:sz w:val="18"/>
                <w:szCs w:val="18"/>
                <w:color w:val="auto"/>
              </w:rPr>
              <w:t>2,083,317</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55.9%</w:t>
            </w:r>
          </w:p>
        </w:tc>
      </w:tr>
      <w:tr>
        <w:trPr>
          <w:trHeight w:val="27"/>
        </w:trPr>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1,183,141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1,405,295</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$ 3,472,576</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$ 3,726,891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222"/>
        <w:spacing w:after="0" w:line="302" w:lineRule="auto"/>
        <w:rPr>
          <w:sz w:val="20"/>
          <w:szCs w:val="20"/>
          <w:color w:val="auto"/>
        </w:rPr>
      </w:pPr>
      <w:r>
        <w:rPr>
          <w:rFonts w:ascii="Arial" w:cs="Arial" w:eastAsia="Arial" w:hAnsi="Arial"/>
          <w:sz w:val="16"/>
          <w:szCs w:val="16"/>
          <w:color w:val="auto"/>
        </w:rPr>
        <w:t>Title insurance premiums decreased 15.8% to $1,183.1 million in the third quarter of 2006 as compared with the third quarter of 2005. The decrease was made up of a $164.8 million, or 26.3%, decrease in direct premiums and a $57.3 million, or 7.4%, decrease in premiums from agency operations. Title insurance premiums decreased 6.8% to $3,472.6 million in the first nine months of 2006 as compared with the first nine months of 2005. The decrease was made up of a $229.9 million, or 14.0%, decrease in direct premiums and a $24.4 million, or 1.2%, decrease in premiums from agency operations.</w:t>
      </w:r>
    </w:p>
    <w:p>
      <w:pPr>
        <w:spacing w:after="0" w:line="46"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The decreased level of direct title premiums in the third quarter is the result of a 27.0% decrease in closed order volume and was partially offset by a 4.9% increase in fee per file, reflecting a declining refinance market and a slowing purchase market. Closed order volumes decreased to 440,200 in the third quarter of 2006 compared to 602,900 in the third quarter of 2005 and to 1,350,300 in the first nine months of 2006 compared to 1,651,800 in the first nine months of 2005. The average fee per file in our direct operations was $1,582 in the third quarter of 2006 compared to $1,508 in the third quarter of 2005 and $1,571 in the first nine months of 2006 compared to $1,469 in the first nine months of 2005, reflecting a strong commercial market, the decrease in refinance activity, and continued appreciation in home prices. The fee per file tends to increase as mortgage interest rates rise, and the mix of business changes from a predominantly refinance-driven market to more of a resale-driven market because resale transactions generally involve the issuance of both a lender’s policy and an owner’s policy whereas refinance transactions typically only require a lender’s policy.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2"/>
        <w:spacing w:after="0" w:line="291" w:lineRule="auto"/>
        <w:rPr>
          <w:sz w:val="20"/>
          <w:szCs w:val="20"/>
          <w:color w:val="auto"/>
        </w:rPr>
      </w:pPr>
      <w:r>
        <w:rPr>
          <w:rFonts w:ascii="Arial" w:cs="Arial" w:eastAsia="Arial" w:hAnsi="Arial"/>
          <w:sz w:val="16"/>
          <w:szCs w:val="16"/>
          <w:color w:val="auto"/>
        </w:rPr>
        <w:t>We are using accrual basis accounting to record agency premiums in a manner that is consistent with direct premium activity because our agents experience the same market conditions that other direct title insurance companies experience. The changes in agency premiums during the three-month and nine-month periods ended September 30, 2006 as compared to the corresponding 2005 periods were more favorable than the changes in direct premiums due to the fact that title insurance markets are currently stronger in geographic regions where title insurance business is more agency driven. During the third quarter and first nine months of 2006, agency premiums decreased 7.4% and 1.2%, respectively, compared to the corresponding 2005 periods, while direct title premiums decreased 26.3% and 14.0%, respectively, during the same periods. Agency revenues from FIS title agency businesses were $24.8 million and $26.8 million in the third quarter of 2006 and 2005, respectively, and $66.7 million and $69.7 million in the first nine months of 2006 and 2005, respectively.</w:t>
      </w:r>
    </w:p>
    <w:p>
      <w:pPr>
        <w:spacing w:after="0" w:line="59"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Trends in escrow and other title related fees are, to some extent, related to title insurance activity generated by our direct operations. Escrow and other title related fees were $269.2 million and $324.9 million for the third quarters of 2006 and 2005, respectively and $810.8 million and $868.4 million for the first nine months of 2006 and 2005, respectively. Escrow fees, which are more directly related to our direct operations than are other title related fees, decreased $52.3 million, or 23.9%, in the third quarter of 2006 compared to the third quarter of 2005, and $76.8 million, or 13.1%, in the first nine months of 2006 compared to the first nine months of 2005, consistent with the decrease in direct title premiums. Other title-related fees decreased $3.5 million, or 3.3%, for the third quarter of 2006 compared to the third quarter of 2005 and increased $19.2 million, or 6.8%, for the first nine months of 2006 compared to the first nine months of 2005, representing growth in the Canadian real estate market, including growth in our market share and the strength of the Canadian dollar, growth in other operations not directly related to title insurance, and acquisitions, including the acquisition of Service Link in August 2005.</w:t>
      </w:r>
    </w:p>
    <w:p>
      <w:pPr>
        <w:spacing w:after="0" w:line="58"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Interest and investment income levels are primarily a function of securities markets, interest rates and the amount of cash available for investment. Interest and investment income in the third quarter of 2006 was $41.3 million, compared with $29.0 million in the third quarter of 2005, an increase of $12.3 million, or 42.3%. Interest and investment income in the first nine months of 2006 was $115.7 million, compared with $71.1 million in the first nine months of 2005. The increases are primarily due to increases in interest rates for cash and short-term investments, increases in earnings from the securities lending program, increases in average balances and yield rates for long-term fixed income assets, and, for the nine month periods, a special dividend paid on our holdings of Certegy Inc. common stock in the first quarter of 2006 before its merger with FIS.</w:t>
      </w:r>
    </w:p>
    <w:p>
      <w:pPr>
        <w:spacing w:after="0" w:line="70"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Net realized gains for the third quarter of 2006 decreased to $1.5 million compared to $3.6 million for the third quarter of 2005, primarily due to a gain on sale of real estate in the 2005 period and capital losses in the 2006 period with no capital losses in the 2005 period, partially offset by higher capital gains and lower impairment charges in the 2006 period. During the third quarter of 2006, the Company recorded an impairment charge on an equity investment that it considered to be other-than-temporarily impaired, resulting in a charge of $8.4 million, compared to impairment charges totaling $13.6 million on two investments in the third quarter of 2005. Net realized gains for the first nine months of 2006 decreased to $22.1 million from $25.5 million in the first nine months of 2005, primarily due to lower net realized gains on other assets, including the 2005 sale of real estate mentioned above, partially offset by the lower third quarter impairment charges mentioned above and lower capital losses in 2006.</w:t>
      </w:r>
    </w:p>
    <w:p>
      <w:pPr>
        <w:spacing w:after="0" w:line="70"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Our operating expenses consist primarily of personnel costs and other operating expenses, which in our title insurance business are incurred as orders are received and processed, and agent commissions, which are incurred as revenue is recognized. Title insurance premiums, escrow and other title related fees are generally recognized as income at the time the underlying transaction closes. As a result, direct title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70"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Personnel costs include base salaries, commissions, benefits, bonuses and stock based compensation paid to employees and are one of our most significant operating expenses. Personnel costs totaled $436.1 million and $511.3 million for the third quarters of 2006 and 2005, respectively, and $1,354.7 million and $1,415.9 million for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first nine months of 2006 and 2005, respectively. Personnel costs as a percentage of total revenues from direct title premiums and escrow and other fees increased to 59.7% for the third quarter of 2006 from 53.8% for the third quarter of 2005 and to 60.9% for the first nine months of 2006 from 56.4% for the first nine months of 2005. The decrease in personnel costs in dollar terms for the third quarter of 2006 as compared to the third quarter of 2005 is primarily the result of the decreases in direct title premiums and escrow and other fees and a corresponding decrease in personnel costs relating thereto, partially offset by increased competition for personnel in the western part of the country, driving increases in compensation in certain geographic regions. Average employee count decreased to 18,120 in the third quarter of 2006 from 19,949 in the third quarter of 2005, primarily due to the decrease in orders, partially offset by the 2005 acquisition of Service Link. Average annualized personnel cost per employee decreased in the third quarter of 2006 compared to the third quarter of 2005, primarily due to decreases in variable personnel costs such as overtime, commissions and bonuses. The decrease in personnel costs for the first nine months of 2006 as compared to the first nine months of 2005 is primarily the result of decreases in direct title premiums and escrow and other fees as mentioned above, partially offset by increased salary and benefit costs due to competition. Average employee count decreased to 18,677 in the first nine months of 2006 from 19,115 in the first nine months of 2005, primarily due to the decrease in orders, partially offset by the acquisition of Service Link. Average annualized personnel cost per employee decreased in the first nine months of 2006 compared to the first nine months of 2005, primarily due to decreases in variable personnel costs such as overtime, commissions and bonuses, partially offset by increases in fixed personnel costs caused by competition. Stock-based compensation costs were $3.5 million and $3.3 million for the third quarters of 2006 and 2005, respectively, and $10.1 million and $8.9 million for the first nine months of 2006 and 2005, respectively. None of the additional expense relates to the Company’s adoption on January 1, 2006, of Statement of Financial Accounting Standards No. 123R, “Share Based Payment” (“SFAS 123R”) because all options that were not previously accounted for under the fair value method were fully vested as of December 31, 2005.</w:t>
      </w:r>
    </w:p>
    <w:p>
      <w:pPr>
        <w:spacing w:after="0" w:line="67"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advertising expenses, general insurance, travel expenses, legal costs and equipment costs. Other operating expenses totaled $223.4 million and $246.1 million for the third quarters of 2006 and 2005, respectively, and $666.6 million and $699.8 million for the first nine months of 2006 and 2005, respectively. Other operating expenses as a percentage of total revenues from direct title premiums and escrow and other fees were 30.6% and 25.9% for the third quarters of 2006 and 2005, respectively, and 30.0% and 27.6% for the first nine months of 2006 and 2005, respectively.</w:t>
      </w:r>
    </w:p>
    <w:p>
      <w:pPr>
        <w:spacing w:after="0" w:line="70" w:lineRule="exact"/>
        <w:rPr>
          <w:sz w:val="20"/>
          <w:szCs w:val="20"/>
          <w:color w:val="auto"/>
        </w:rPr>
      </w:pPr>
    </w:p>
    <w:p>
      <w:pPr>
        <w:ind w:right="260" w:firstLine="215"/>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illustrates the relationship of agent premiums and agent commissions: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440" w:type="dxa"/>
            <w:vAlign w:val="bottom"/>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7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66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00" w:type="dxa"/>
            <w:vAlign w:val="bottom"/>
            <w:gridSpan w:val="5"/>
          </w:tcPr>
          <w:p>
            <w:pPr>
              <w:jc w:val="right"/>
              <w:ind w:right="4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Agent premiums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$ 721,801</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$ 779,117</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2,058,935</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2,083,317</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Agent commissions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555,010</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76.9%</w:t>
            </w:r>
          </w:p>
        </w:tc>
        <w:tc>
          <w:tcPr>
            <w:tcW w:w="700" w:type="dxa"/>
            <w:vAlign w:val="bottom"/>
          </w:tcPr>
          <w:p>
            <w:pPr>
              <w:jc w:val="right"/>
              <w:spacing w:after="0"/>
              <w:rPr>
                <w:sz w:val="20"/>
                <w:szCs w:val="20"/>
                <w:color w:val="auto"/>
              </w:rPr>
            </w:pPr>
            <w:r>
              <w:rPr>
                <w:rFonts w:ascii="Arial" w:cs="Arial" w:eastAsia="Arial" w:hAnsi="Arial"/>
                <w:sz w:val="18"/>
                <w:szCs w:val="18"/>
                <w:color w:val="auto"/>
              </w:rPr>
              <w:t>612,139</w:t>
            </w:r>
          </w:p>
        </w:tc>
        <w:tc>
          <w:tcPr>
            <w:tcW w:w="4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1,587,547</w:t>
            </w:r>
          </w:p>
        </w:tc>
        <w:tc>
          <w:tcPr>
            <w:tcW w:w="140" w:type="dxa"/>
            <w:vAlign w:val="bottom"/>
          </w:tcPr>
          <w:p>
            <w:pPr>
              <w:spacing w:after="0"/>
              <w:rPr>
                <w:sz w:val="18"/>
                <w:szCs w:val="18"/>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1,617,260</w:t>
            </w:r>
          </w:p>
        </w:tc>
        <w:tc>
          <w:tcPr>
            <w:tcW w:w="4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77.6%</w:t>
            </w:r>
          </w:p>
        </w:tc>
      </w:tr>
      <w:tr>
        <w:trPr>
          <w:trHeight w:val="27"/>
        </w:trPr>
        <w:tc>
          <w:tcPr>
            <w:tcW w:w="2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$ 166,791</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$ 166,978</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471,388</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466,057</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r>
      <w:tr>
        <w:trPr>
          <w:trHeight w:val="20"/>
        </w:trPr>
        <w:tc>
          <w:tcPr>
            <w:tcW w:w="2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Net margin from agency title insurance premiums as a percentage of total agency premiums increased in the third quarter and first nine months of 2006 compared with the third quarter and nine months of 2005, respectively, due to differences in the percentages of premiums retained by agents as commissions vary across different geographic regions.</w:t>
      </w:r>
    </w:p>
    <w:p>
      <w:pPr>
        <w:spacing w:after="0" w:line="73"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Depreciation and amortization was $29.9 million in the third quarter of 2006 as compared to $23.8 million in the third quarter of 2005 and $83.3 million in the first nine months of 2006 as compared to $73.2 million in the first nine months of 2005.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provision for claim losses includes an estimate of anticipated title and title related claims and escrow losses. The estimate of anticipated title and title related claims is accrued as a percentage of title premium revenue based on our historical loss experience and other relevant factors. We monitor our claims loss experience on a continual basis and adjust the provision for claim losses accordingly as new information becomes known, new loss patterns emerge, or as other contributing factors are considered and incorporated into the analysis of the reserve for claim losses. The claim loss provision for title insurance was $88.7 million in the third quarter of 2006 as compared to $103.6 million in the third quarter of 2005 and $260.4 million in the first nine months of 2006 as compared to $254.3 million in the first nine months of 2005. Our claim loss provision as a percentage of total title premiums was 7.5% in the third quarter and first nine months of 2006 and 7.4% in the third quarter and 6.8% for the first nine months of 2005.</w:t>
      </w:r>
    </w:p>
    <w:p>
      <w:pPr>
        <w:spacing w:after="0" w:line="70" w:lineRule="exact"/>
        <w:rPr>
          <w:sz w:val="20"/>
          <w:szCs w:val="20"/>
          <w:color w:val="auto"/>
        </w:rPr>
      </w:pPr>
    </w:p>
    <w:p>
      <w:pPr>
        <w:ind w:right="100" w:firstLine="225"/>
        <w:spacing w:after="0" w:line="254" w:lineRule="auto"/>
        <w:rPr>
          <w:sz w:val="20"/>
          <w:szCs w:val="20"/>
          <w:color w:val="auto"/>
        </w:rPr>
      </w:pPr>
      <w:r>
        <w:rPr>
          <w:rFonts w:ascii="Arial" w:cs="Arial" w:eastAsia="Arial" w:hAnsi="Arial"/>
          <w:sz w:val="18"/>
          <w:szCs w:val="18"/>
          <w:color w:val="auto"/>
        </w:rPr>
        <w:t>Interest expense increased to $12.8 million in the third quarter of 2006 from $4.7 million in the third quarter of 2005 and to $36.5 million in the first nine months of 2006 from $5.4 million in the first nine months of 2005, due to increases in average debt. Average debt increased to approximately $573.1 million and $587.1 million in the third quarter and first nine months of 2006, respectively, from approximately $85.2 million and $11.7 million in the third quarter and first nine months of 2005, respectively. Increases in average debt during the 2006 periods as compared to the 2005 periods is primarily due to two January 2006 public bond issuances with balances at September 30, 2006 of $240,841 and $248,818 and interest payable at 7.3% and 5.25% respectively (collectively the “Public Bonds”). In January of 2006, we issued the Public Bonds in exchange for an equal amount of the outstanding FNF bonds with the same terms. We then delivered the FNF bonds to FNF in payment of two intercompany notes payable to FNF by us. (See Note E to the Condensed Financial Statements.)</w:t>
      </w:r>
    </w:p>
    <w:p>
      <w:pPr>
        <w:spacing w:after="0" w:line="84"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Income tax expense as a percentage of earnings before income taxes was 35.5% for the third quarter and first nine months of 2006 and 37.5% for the third quarter and first nine months of 2005. Income tax expense as a percentage of earnings before income taxes is attributable to our estimate of ultimate income tax liability, and changes in the characteristics of net earnings year to year. The decrease in the 2006 periods as compared to the 2005 periods is due to an increased proportion of tax-exempt interest income in the 2006 periods.</w:t>
      </w:r>
    </w:p>
    <w:p>
      <w:pPr>
        <w:spacing w:after="0" w:line="79"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Net earnings were $103.4 million and $169.7 million for the third quarters of 2006 and 2005, respectively, and $299.0 million and $412.6 million for the first nine months of 2006 and 2005,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Requirements</w:t>
      </w:r>
    </w:p>
    <w:p>
      <w:pPr>
        <w:spacing w:after="0" w:line="117" w:lineRule="exact"/>
        <w:rPr>
          <w:sz w:val="20"/>
          <w:szCs w:val="20"/>
          <w:color w:val="auto"/>
        </w:rPr>
      </w:pPr>
    </w:p>
    <w:p>
      <w:pPr>
        <w:ind w:right="80" w:firstLine="225"/>
        <w:spacing w:after="0" w:line="253" w:lineRule="auto"/>
        <w:rPr>
          <w:sz w:val="20"/>
          <w:szCs w:val="20"/>
          <w:color w:val="auto"/>
        </w:rPr>
      </w:pPr>
      <w:r>
        <w:rPr>
          <w:rFonts w:ascii="Arial" w:cs="Arial" w:eastAsia="Arial" w:hAnsi="Arial"/>
          <w:sz w:val="18"/>
          <w:szCs w:val="18"/>
          <w:color w:val="auto"/>
        </w:rPr>
        <w:t>Our cash requirements include operating expenses, taxes, payments of interest and principal on our debt, capital expenditures, business acquisitions and dividends on our common stock. Through September 30, 2006, we have paid a quarterly dividend of $0.29 on each share of our common stock, or an aggregate of $151.4 million year-to-date. After the 2006 Distribution, we intend to pay an annual dividend of $1.20 per share on our common stock, payable quarterly, or an aggregate of approximately $265 million per year, based on the number of shares outstanding subsequent to the 2006 Distribution, although the declaration of any future dividends is at the discretion of our board of directors. Total dividends paid in the full year 2006 are expected to be approximately $217.7 million. We believe that all anticipated cash requirements for current operations will be met from internally generated funds, through cash dividends from subsidiaries, cash generated by investment securities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these projections.</w:t>
      </w:r>
    </w:p>
    <w:p>
      <w:pPr>
        <w:spacing w:after="0" w:line="87"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claim loss reserves, we do not specifically match durations of our investments to the cash outflows required to pay claims, but do manage outflows on a shorter time frame.</w:t>
      </w:r>
    </w:p>
    <w:p>
      <w:pPr>
        <w:spacing w:after="0" w:line="57"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other distributions to us. As of December 31, 2005, $1.9 billion of our net assets were restricted from dividend payments without prior approval from the relevant departments of insurance. During the remainder of 2006, our first tier title subsidiaries can pay or make distributions to us of approximately $145 million without prior regulatory approval. Our underwritten title companies and non-title insurance subsidiaries collect revenue and pay operating expenses. However, they are not regulated to the same extent as our insurance subsidiaries.</w:t>
      </w:r>
    </w:p>
    <w:p>
      <w:pPr>
        <w:spacing w:after="0" w:line="85"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On October 25, 2006, our Board of Directors declared a quarterly cash dividend of $0.30 per share, payable December 28, 2006 to shareholders of record as of December 14, 2006. On July 20, 2006, our Board of Directors declared a quarterly cash dividend of $0.29 per share, which was paid on September 28, 2006 to shareholders of record as of September 14, 2006. On April 20, 2006, our Board of Directors declared a quarterly cash dividend of $0.29 per share, which was paid on June 27, 2006 to shareholders of record as of June 15, 2006. On February 8, 2006, our Board of Directors declared a quarterly cash dividend of $0.29 per share, which was paid on March 28, 2006, to shareholders of record as of March 15, 2006.</w:t>
      </w:r>
    </w:p>
    <w:p>
      <w:pPr>
        <w:spacing w:after="0" w:line="64"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color w:val="auto"/>
        </w:rPr>
        <w:t>On October 25, 2006, our Board of Directors approved a three-year stock repurchase program under which we can repurchase up to 25 million shares of our common stock. We may make purchases from time to time in the open market, in block purchases or in privately negotiated transactions, depending on market conditions and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In connection with the 2005 distribution of FNT stock by FNF, we issued two $250 million intercompany notes payable to FNF (the “Mirror Notes”), with terms that mirrored FNF’s existing $250 million 7.30% public debentures due in August 2011 and $250 million 5.25% public debentures due in March 2013. Following issuance of the Mirror Notes, we filed a Registration Statement on Form S-4, pursuant to which we offered to exchange the outstanding FNF notes for notes we would issue having substantially the same terms and deliver the FNF notes received to FNF to reduce our debt under the Mirror Notes. On January 17, 2006, the offers expired, with $241.3 million aggregate principal amount of the 7.30% notes due 2011 and the entire $250.0 million aggregate principal amount of the 5.25% notes due 2013 validly tendered and not withdrawn in the exchange offers. Following the completion of the exchange offers, we issued a new 7.30% Mirror Note due 2011 in the amount of $8.7 million, representing the principal amount of the portion of the original Mirror Notes that was not exchanged. A balance of $6.6 million of these notes remained outstanding at September 30, 2006, all of which was redeemed on October 23, 2006. Interest on the Mirror Notes accrued from the last date on which interest on the corresponding FNF notes was paid and at the same rate.</w:t>
      </w:r>
    </w:p>
    <w:p>
      <w:pPr>
        <w:spacing w:after="0" w:line="59"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On October 17, 2005, we entered into a credit agreement with Bank of America, N.A. as Administrative Agent and Swing Line Lender, and the other financial institutions party thereto (the “Previous Credit Agreement”). The Previous Credit Agreement provided for a $400 million unsecured revolving credit facility maturing on the fifth anniversary of the closing date. Amounts under the revolving credit facility could be borrowed, repaid and reborrowed by the borrowers thereunder from time to time until the maturity of the revolving credit facility. Voluntary prepayment of the revolving credit facility under the Previous Credit Agreement was permitted at any time without fee upon proper notice and subject to a minimum dollar requirement. Revolving loans under the credit facility bore interest at a variable rate based on either (i) the higher of (a) a rate per annum equal to one-half of one percent in excess of the Federal Reserve’s Federal Funds rate, or (b) Bank of America’s “prime rate;” or (ii) a rate per annum equal to the British Bankers Association London Interbank Offered Rate (“LIBOR”) plus a margin of between 0.35%-1.25%, all in, depending on the Company’s then current public debt credit rating from the rating agencies. Included in the 0.35%-1.25% margin was a related commitment fee on the entire facility. The Previous Credit Agreement was repaid and terminated on October 24, 2006.</w:t>
      </w:r>
    </w:p>
    <w:p>
      <w:pPr>
        <w:spacing w:after="0" w:line="70"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Previous Credit Agreement contained affirmative, negative and financial covenants customary for financings of this type, including, among other things, limits on the creation of liens, limits on the incurrence of indebtedness, restrictions on investments, and limitations on restricted payments and transactions with affiliates. The Previous Credit Agreement required the Company to maintain investment grade debt ratings, certain financial ratios related to liquidity and statutory surplus and certain levels of capitalization. The Previous Credit Agreement also</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included customary events of default for facilities of this type (with customary grace periods, as applicable) and provided that, upon the occurrence of an event of default, the interest rate on all outstanding obligations could be increased and payments of all outstanding loans could be accelerated and/or the lenders’ commitments could be terminated. In addition, upon the occurrence of certain insolvency or bankruptcy related events of default, all amounts payable under the Previous Credit Agreement would automatically become immediately due and payable, and the lenders’ commitments would automatically terminate.</w:t>
      </w:r>
    </w:p>
    <w:p>
      <w:pPr>
        <w:spacing w:after="0" w:line="80" w:lineRule="exact"/>
        <w:rPr>
          <w:sz w:val="20"/>
          <w:szCs w:val="20"/>
          <w:color w:val="auto"/>
        </w:rPr>
      </w:pPr>
    </w:p>
    <w:p>
      <w:pPr>
        <w:ind w:right="20" w:firstLine="215"/>
        <w:spacing w:after="0" w:line="286" w:lineRule="auto"/>
        <w:rPr>
          <w:sz w:val="20"/>
          <w:szCs w:val="20"/>
          <w:color w:val="auto"/>
        </w:rPr>
      </w:pPr>
      <w:r>
        <w:rPr>
          <w:rFonts w:ascii="Arial" w:cs="Arial" w:eastAsia="Arial" w:hAnsi="Arial"/>
          <w:sz w:val="17"/>
          <w:szCs w:val="17"/>
          <w:color w:val="auto"/>
        </w:rPr>
        <w:t>At September 30, 2006, we had $75 million in debt under this facility, bearing interest at LIBOR plus 0.4% (equal to 5.72%), which was subsequently paid in full upon termination of the Previous Credit Agreement on October 24, 2006. This debt was originally borrowed in October 2005 to repay a note previously paid as a dividend to FNF. In the first nine months of 2006, we repaid $25 million on this facility, net of borrowings.</w:t>
      </w:r>
    </w:p>
    <w:p>
      <w:pPr>
        <w:spacing w:after="0" w:line="57"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Effective October 24, 2006, we entered into a credit agreement (the “New Credit Agreement”) with Bank of America, N.A. as Administrative Agent and Swing Line Lender, and the other financial institutions party thereto. The New Credit Agreement, which replaces the Previous Credit Agreement, provides for an $800 million unsecured revolving credit facility maturing on the fifth anniversary of the closing date. We have the option to increase the size of the credit facility by an additional $300 million, subject to certain requirements. Amounts under the revolving credit facility may be borrowed, repaid and reborrowed by the borrower thereunder from time to time until the maturity of the revolving credit facility. Voluntary prepayment of the revolving credit facility under the New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 (b) Bank of America’s “prime rate” or (ii) a rate per annum equal to the British Bankers Association London Interbank Offered Rate (“LIBOR”) rate plus a margin of between 0.23%-0.675%, depending on our then current senior unsecured long-term debt rating from the rating agencies. In addition, we will pay a commitment fee between .07%-.175% on the entire facility, also depending on our senior unsecured long-term debt rating.</w:t>
      </w:r>
    </w:p>
    <w:p>
      <w:pPr>
        <w:spacing w:after="0" w:line="61" w:lineRule="exact"/>
        <w:rPr>
          <w:sz w:val="20"/>
          <w:szCs w:val="20"/>
          <w:color w:val="auto"/>
        </w:rPr>
      </w:pPr>
    </w:p>
    <w:p>
      <w:pPr>
        <w:ind w:right="20" w:firstLine="222"/>
        <w:spacing w:after="0" w:line="291" w:lineRule="auto"/>
        <w:rPr>
          <w:sz w:val="20"/>
          <w:szCs w:val="20"/>
          <w:color w:val="auto"/>
        </w:rPr>
      </w:pPr>
      <w:r>
        <w:rPr>
          <w:rFonts w:ascii="Arial" w:cs="Arial" w:eastAsia="Arial" w:hAnsi="Arial"/>
          <w:sz w:val="16"/>
          <w:szCs w:val="16"/>
          <w:color w:val="auto"/>
        </w:rPr>
        <w:t>The New Credit Agreement contains affirmative, negative and financial covenants customary for financings of this type, including, among other things, limits on the creation of liens, sales of assets, the incurrence of indebtedness, restricted payments, transactions with affiliates, and certain amendments. The New Credit Agreement requires us to maintain certain financial ratios and levels of capitalization. The New Credit Agreement also includes customary events of default for facilities of this type (with customary grace periods, as applicable) and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New Credit Agreement shall automatically become immediately due and payable, and the lenders’ commitments will automatically terminate.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20" w:firstLine="225"/>
        <w:spacing w:after="0" w:line="308" w:lineRule="auto"/>
        <w:rPr>
          <w:sz w:val="20"/>
          <w:szCs w:val="20"/>
          <w:color w:val="auto"/>
        </w:rPr>
      </w:pPr>
      <w:r>
        <w:rPr>
          <w:rFonts w:ascii="Arial" w:cs="Arial" w:eastAsia="Arial" w:hAnsi="Arial"/>
          <w:sz w:val="17"/>
          <w:szCs w:val="17"/>
          <w:color w:val="auto"/>
        </w:rPr>
        <w:t>Our long-term contractual obligations generally include our loss reserves, our long-term debt and operating lease payments on certain of our property and equipment. As of September 30, 2005, our required payments relating to our long-term contractual obligations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3"/>
              </w:rPr>
              <w:t>Thereafter</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496,299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Operating lease payments</w:t>
            </w: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32,507</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120,336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91,447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62,507</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36,820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23,347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366,964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Reserve for claim losses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50,751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199,543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163,609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127,701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100,264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504,801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1,146,669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Pension and postretirement</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obligations</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3,227</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12,140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16,544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14,169</w:t>
            </w: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14,634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110,717</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171,431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88,144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332,019</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271,600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204,377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226,718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1,135,164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2,258,022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ind w:right="193"/>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15"/>
        <w:spacing w:after="0" w:line="259" w:lineRule="auto"/>
        <w:rPr>
          <w:sz w:val="20"/>
          <w:szCs w:val="20"/>
          <w:color w:val="auto"/>
        </w:rPr>
      </w:pPr>
      <w:r>
        <w:rPr>
          <w:rFonts w:ascii="Arial" w:cs="Arial" w:eastAsia="Arial" w:hAnsi="Arial"/>
          <w:sz w:val="18"/>
          <w:szCs w:val="18"/>
          <w:color w:val="auto"/>
        </w:rPr>
        <w:t>As of September 30, 2006 we had reserves for claim losses of $1,146.7 million. The amounts and timing of these obligations are estimated and are not set contractually. Nonetheless, based on historical title insurance claim experience, we anticipate the above payment patterns. While we believe that historical loss payments are a reasonable source for projecting future claim payments, there is significant inherent uncertainty in this payment pattern estimate because of the potential impact of changes in:</w:t>
      </w:r>
    </w:p>
    <w:p>
      <w:pPr>
        <w:spacing w:after="0" w:line="79" w:lineRule="exact"/>
        <w:rPr>
          <w:sz w:val="20"/>
          <w:szCs w:val="20"/>
          <w:color w:val="auto"/>
        </w:rPr>
      </w:pPr>
    </w:p>
    <w:p>
      <w:pPr>
        <w:ind w:left="540" w:right="80" w:hanging="316"/>
        <w:spacing w:after="0" w:line="277" w:lineRule="auto"/>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future mortgage interest rates, which will affect the number of real estate and refinancing transactions and, therefore, the rate at which title insurance claims will emerge;</w:t>
      </w:r>
    </w:p>
    <w:p>
      <w:pPr>
        <w:spacing w:after="0" w:line="75" w:lineRule="exact"/>
        <w:rPr>
          <w:rFonts w:ascii="Arial" w:cs="Arial" w:eastAsia="Arial" w:hAnsi="Arial"/>
          <w:sz w:val="18"/>
          <w:szCs w:val="18"/>
          <w:b w:val="1"/>
          <w:bCs w:val="1"/>
          <w:color w:val="auto"/>
        </w:rPr>
      </w:pPr>
    </w:p>
    <w:p>
      <w:pPr>
        <w:ind w:left="540" w:right="500" w:hanging="316"/>
        <w:spacing w:after="0" w:line="277" w:lineRule="auto"/>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legal environment whereby court decisions and reinterpretations of title insurance policy language to broaden coverage could increase total obligations and influence claim payout patterns;</w:t>
      </w:r>
    </w:p>
    <w:p>
      <w:pPr>
        <w:spacing w:after="0" w:line="75" w:lineRule="exact"/>
        <w:rPr>
          <w:rFonts w:ascii="Arial" w:cs="Arial" w:eastAsia="Arial" w:hAnsi="Arial"/>
          <w:sz w:val="18"/>
          <w:szCs w:val="18"/>
          <w:b w:val="1"/>
          <w:bCs w:val="1"/>
          <w:color w:val="auto"/>
        </w:rPr>
      </w:pPr>
    </w:p>
    <w:p>
      <w:pPr>
        <w:ind w:left="540" w:right="140" w:hanging="316"/>
        <w:spacing w:after="0" w:line="277" w:lineRule="auto"/>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events such as fraud, defalcation, and multiple property title defects, that can substantially and unexpectedly cause increases in both the amount and timing of estimated title insurance loss payments;</w:t>
      </w:r>
    </w:p>
    <w:p>
      <w:pPr>
        <w:spacing w:after="0" w:line="75" w:lineRule="exact"/>
        <w:rPr>
          <w:rFonts w:ascii="Arial" w:cs="Arial" w:eastAsia="Arial" w:hAnsi="Arial"/>
          <w:sz w:val="18"/>
          <w:szCs w:val="18"/>
          <w:b w:val="1"/>
          <w:bCs w:val="1"/>
          <w:color w:val="auto"/>
        </w:rPr>
      </w:pPr>
    </w:p>
    <w:p>
      <w:pPr>
        <w:ind w:left="540" w:right="240" w:hanging="316"/>
        <w:spacing w:after="0" w:line="277" w:lineRule="auto"/>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loss cost trends whereby increases or decreases in inflationary factors (including the value of real estate) will influence the ultimate amount of title insurance loss payments; and</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claims staffing levels whereby claims may be settled at a different rate based on the future staffing levels of the claims department.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Prior to October 24, 2006, we did not engage in off-balance sheet financing activities. As of the closing under the SEDA on that date, we do not engage in off-balance sheet financing activities other than facility and equipment leasing arrangements. On June 29, 2004 FNF entered into an off-balance sheet financing arrangement (commonly referred to as a “synthetic lease”). The owner/lessor in this arrangement acquired land and various real property improvements associated with new construction of an office building in Jacksonville, Florida that will be part of our corporate campus and headquarters. The lease expires on June 28, 2011, with renewal subject to consent of the lessor and the lenders. The lessor is a third-party limited liability company. The synthetic lease facility provides for amounts up to $75.0 million. As of September 30, 2006, the full $75.0 million had been drawn on the facility to finance land costs and related fees and expenses. The leases include guarantees by us of up to 86.7% of the outstanding lease balance, and options to purchase the facilities at the outstanding lease balance. The guarantee becomes effective if we decline to purchase the facilities at the end of the lease and also decline to renew the lease. The lessor financed the acquisition of the facilities through funding provided by third-party financial institutions. We have no affiliation or relationship with the lessor or any of its employees, directors or affiliates, and our transactions with the lessor are limited to the operating lease agreements and the associated rent expense that will be included in other operating expenses in the Consolidated Statements of Earnings after the end of the construction period.</w:t>
      </w:r>
    </w:p>
    <w:p>
      <w:pPr>
        <w:spacing w:after="0" w:line="72"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do not believe the lessor is a variable interest entity, as defined in FASB Interpretation No. 46R, “Consolidation of Variable Interest Entities” (“FIN 46”). In addition, we have verified that even if the lessor was determined to be a variable interest entity, we would not be required to consolidate the lessor or the assets and liabilities associated with the assets leased to us. This is because the assets leased by us will not exceed 50% of the total fair value of the lessor’s assets excluding certain assets that should be excluded from such calculation under FIN 46, nor did the lessor finance 95% or more of the leased balance with non-recourse debt, target equity or similar funding.</w:t>
      </w:r>
    </w:p>
    <w:p>
      <w:pPr>
        <w:spacing w:after="0" w:line="80"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In conducting our operations, we routinely hold customers’ assets in escrow, pending completion of real estate transactions. Certain of these amounts are maintained in segregated bank accounts and have not been included in the Consolidated and Combined Balance Sheets. As a result of holding these customers’ assets in escrow, we have ongoing programs for realizing economic benefits during the year through favorable borrowing and vendor arrangements with various banks. There were no investments or loans outstanding as of September 30, 2006 related to these arrangements.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There have been no material changes to our critical accounting policies described in our Annual Report on Form 10-K for the year ended December 31,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In September 2006, the FASB issued Statement of Financial Accounting Standards (“SFAS”) No. 158, “Employers’ Accounting for Defined Benefit Pension and Other Post Retirement Plans” (“SFAS 158”). SFAS 158 requires entities to recognize on their balance sheets the funded status of pension and other postretirement benefit plans. Entities are required to recognize actuarial gains and losses, prior service cost, and any remaining transition amounts from the initial application of Statement of Financial Accounting Standards No. 87, “Employers’ Accounting for Pensions,” and Statement of Financial Accounting Standards No. 106, “Employers’ Accounting for Postretirement Benefits Other Than Pensions,” when recognizing a plan’s funded status, with the offset to accumulated other comprehensive income. SFAS 158 will not change the amounts recognized in the income statement as net periodic benefit cost. All of the requirements of SFAS 158 are effective as of December 31, 2006 for calendar-year public companies, except for a requirement for fiscal-year-end measurements of plan assets and benefit obligations with which the Company is already in compliance. Management is currently evaluating the impact on the Company’s statements of financial position and operations.</w:t>
      </w:r>
    </w:p>
    <w:p>
      <w:pPr>
        <w:spacing w:after="0" w:line="74" w:lineRule="exact"/>
        <w:rPr>
          <w:sz w:val="20"/>
          <w:szCs w:val="20"/>
          <w:color w:val="auto"/>
        </w:rPr>
      </w:pPr>
    </w:p>
    <w:p>
      <w:pPr>
        <w:ind w:right="80" w:firstLine="225"/>
        <w:spacing w:after="0" w:line="254" w:lineRule="auto"/>
        <w:rPr>
          <w:sz w:val="20"/>
          <w:szCs w:val="20"/>
          <w:color w:val="auto"/>
        </w:rPr>
      </w:pPr>
      <w:r>
        <w:rPr>
          <w:rFonts w:ascii="Arial" w:cs="Arial" w:eastAsia="Arial" w:hAnsi="Arial"/>
          <w:sz w:val="18"/>
          <w:szCs w:val="18"/>
          <w:color w:val="auto"/>
        </w:rPr>
        <w:t>In September 2006, the Securities and Exchange Commission (SEC) issued Staff Accounting Bulletin No. 108 (Topic 1N), “Considering the Effects of Prior Year Misstatements when Quantifying Misstatements in Current Year Financial Statements” (SAB 108). This SAB addresses how the effects of prior-year uncorrected misstatements should be considered when quantifying misstatements in current-year financial statements. SAB 108 requires registrants to quantify misstatements using both the balance sheet and income statement approaches and to evaluate whether either approach results in quantifying an error that is material in light of relevant quantitative and qualitative factors. When the effect of initial adoption is determined to be material, the SAB allows registrants to record that effect as a cumulative effect adjustment to beginning-of-year retained earnings. SAB 108 is effective for annual financial statements covering the first fiscal year ending after November 15, 2006. Management is currently evaluating the impact of SAB 108 on the Company’s statements of financial position and operations.</w:t>
      </w:r>
    </w:p>
    <w:p>
      <w:pPr>
        <w:spacing w:after="0" w:line="84"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In June 2006, the FASB issued Interpretation No. 48, “Accounting for Uncertainty in Income Taxes — an interpretation of FASB Statement No. 109” (“FIN 48”). FIN 48 requires an evaluation to determine the likelihood that an uncertain tax position will be sustained upon examination, including resolution of any related appeals or litigation processes. If it is determined that it is more likely than not that an uncertain tax position will be sustained upon examination, the next step is to determine the amount to be recognized. FIN 48 prescribes recognition of the largest amount of tax benefit that is greater than 50 percent likely of being recognized upon ultimate settlement of an uncertain tax position. Such amounts are to be recognized as of the first financial reporting period during which the more-likely-than-not recognition threshold is met. Similarly, an amount that has previously been recognized will be reversed as of the first financial reporting period during which the more-likely-than-not recognition threshold is not met. FIN 48 is effective for fiscal years beginning after December 15, 2006. Management is currently evaluating the impact on the Company’s statements of financial position and operations.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December 2004, the FASB issued SFAS No. 123R, which requires that compensation cost relating to share-based payments be recognized in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During 2003, we adopted the fair value recognition provision of Statement of Financial Accounting Standards No. 123, “Accounting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(“SFAS No. 123”), effective as of the beginning of 2003. Using the fair value method of accounting, compensation cost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measured based on the fair value of the award at the grant date and recognized over the service period. Upon adoption of SFAS No. 123, we elected to use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prospective method of transition, as permitted by Statement of Financial Accounting Standards No. 148, “Accounting for Stock-Based Compensation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Transition and Disclosure” (“SFAS No. 148”). Using this method, stock-based employee compensation cost has been recognized from the beginning of 2003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if the fair value method of accounting had been used to account for all employee awards granted, modified, or settled in years beginning after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2002. SFAS No. 123R does not allow for the prospective method, but requires the recording of expense relating to the vesting of all unvested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beginning in the first quarter of 2006. The adoption of SFAS No. 123R on January 1, 2006 had no significant impact on our financial condition or results of operations due to the fact that all options accounted for using the intrinsic value method under Accounting Principles Board Opinion No. 25,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Stock Issued to Employees</w:t>
      </w:r>
      <w:r>
        <w:rPr>
          <w:rFonts w:ascii="Arial" w:cs="Arial" w:eastAsia="Arial" w:hAnsi="Arial"/>
          <w:sz w:val="18"/>
          <w:szCs w:val="18"/>
          <w:color w:val="auto"/>
        </w:rPr>
        <w:t>, were fully vested at December 31, 2005. In accordance with the provisions of SFAS No. 123R, we have not restated our share-based compensation expense for the 2005 periods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 about Market Risk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2005.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principal executive officer and principal financial officer, of the effectiveness of the design and operation of our disclosure controls and procedures as of the end of the period covered by this report. Based on this evaluation, our principal executive officer and principal financial officer concluded that our disclosure controls and procedures are effective to provide reasonable assurance that our disclosure controls and procedures will timely alert them to material information required to be included in our periodic SEC reports.</w:t>
      </w:r>
    </w:p>
    <w:p>
      <w:pPr>
        <w:spacing w:after="0" w:line="46"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occurred during our last fiscal quarter that have materially affected or are reasonably likely to materially affect our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In the ordinary course of business, the Company is involved in various pending and threatened litigation matters related to its operations, some of which include claims for punitive or exemplary damages. The Company believes that no actions, other than those listed below, depart from customary litigation incidental to its business. As background to the disclosure below, please note the following:</w:t>
      </w:r>
    </w:p>
    <w:p>
      <w:pPr>
        <w:spacing w:after="0" w:line="73" w:lineRule="exact"/>
        <w:rPr>
          <w:sz w:val="20"/>
          <w:szCs w:val="20"/>
          <w:color w:val="auto"/>
        </w:rPr>
      </w:pPr>
    </w:p>
    <w:p>
      <w:pPr>
        <w:ind w:left="540" w:hanging="316"/>
        <w:spacing w:after="0" w:line="272" w:lineRule="auto"/>
        <w:tabs>
          <w:tab w:leader="none" w:pos="54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83" w:lineRule="exact"/>
        <w:rPr>
          <w:rFonts w:ascii="Arial" w:cs="Arial" w:eastAsia="Arial" w:hAnsi="Arial"/>
          <w:sz w:val="17"/>
          <w:szCs w:val="17"/>
          <w:b w:val="1"/>
          <w:bCs w:val="1"/>
          <w:color w:val="auto"/>
        </w:rPr>
      </w:pPr>
    </w:p>
    <w:p>
      <w:pPr>
        <w:ind w:left="540" w:right="100" w:hanging="316"/>
        <w:spacing w:after="0" w:line="272" w:lineRule="auto"/>
        <w:tabs>
          <w:tab w:leader="none" w:pos="54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general, the dollar amount of damages sought is not specified. In those cases where plaintiffs have made a specific statement with regard to monetary damages, they often specify damages just below a jurisdictional limit regardless of the facts of the case. This represents the maximum they can seek without risking removal from state court to federal court. In our experience, monetary demands in plaintiffs’ court pleadings bear little relation to the ultimate loss, if any, we may experience.</w:t>
      </w:r>
    </w:p>
    <w:p>
      <w:pPr>
        <w:spacing w:after="0" w:line="83" w:lineRule="exact"/>
        <w:rPr>
          <w:rFonts w:ascii="Arial" w:cs="Arial" w:eastAsia="Arial" w:hAnsi="Arial"/>
          <w:sz w:val="17"/>
          <w:szCs w:val="17"/>
          <w:b w:val="1"/>
          <w:bCs w:val="1"/>
          <w:color w:val="auto"/>
        </w:rPr>
      </w:pPr>
    </w:p>
    <w:p>
      <w:pPr>
        <w:ind w:left="540" w:right="100" w:hanging="316"/>
        <w:spacing w:after="0" w:line="264" w:lineRule="auto"/>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For the reasons specified above, it is not possible to make meaningful estimates of the amount or range of loss that could result from these matters at this time. The Company reviews these matters on an on-going basis and follows the provisions of SFAS No. 5, “Accounting for Contingencies” when making accrual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 w:right="260"/>
        <w:spacing w:after="0" w:line="277" w:lineRule="auto"/>
        <w:rPr>
          <w:sz w:val="20"/>
          <w:szCs w:val="20"/>
          <w:color w:val="auto"/>
        </w:rPr>
      </w:pPr>
      <w:r>
        <w:rPr>
          <w:rFonts w:ascii="Arial" w:cs="Arial" w:eastAsia="Arial" w:hAnsi="Arial"/>
          <w:sz w:val="18"/>
          <w:szCs w:val="18"/>
          <w:color w:val="auto"/>
        </w:rPr>
        <w:t>disclosure decisions. When assessing reasonably possible and probable outcomes, the Company bases its decision on its assessment of the ultimate outcome following all appeals.</w:t>
      </w:r>
    </w:p>
    <w:p>
      <w:pPr>
        <w:spacing w:after="0" w:line="62" w:lineRule="exact"/>
        <w:rPr>
          <w:sz w:val="20"/>
          <w:szCs w:val="20"/>
          <w:color w:val="auto"/>
        </w:rPr>
      </w:pPr>
    </w:p>
    <w:p>
      <w:pPr>
        <w:ind w:left="540" w:right="400" w:hanging="316"/>
        <w:spacing w:after="0" w:line="277" w:lineRule="auto"/>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In the opinion of the Company’s management, while some of these matters may be material to the Company’s operating results for any particular period if an unfavorable outcome results, none will have a material adverse effect on its overall financial condition.</w:t>
      </w:r>
    </w:p>
    <w:p>
      <w:pPr>
        <w:spacing w:after="0" w:line="62"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Several class actions are pending in Ohio, Pennsylvania, Connecticut, New Hampshire and Florida alleging improper premiums were charged for title insurance. The cases allege that the named defendant companies failed to provide notice of premium discounts to consumers refinancing their mortgages, and failed to give discounts in refinancing transactions in violation of the filed rates. The actions seek refunds of the premiums charged and punitive damages. The Company intends to vigorously defend the actions.</w:t>
      </w:r>
    </w:p>
    <w:p>
      <w:pPr>
        <w:spacing w:after="0" w:line="79" w:lineRule="exact"/>
        <w:rPr>
          <w:sz w:val="20"/>
          <w:szCs w:val="20"/>
          <w:color w:val="auto"/>
        </w:rPr>
      </w:pPr>
    </w:p>
    <w:p>
      <w:pPr>
        <w:ind w:right="260" w:firstLine="215"/>
        <w:spacing w:after="0" w:line="286" w:lineRule="auto"/>
        <w:rPr>
          <w:sz w:val="20"/>
          <w:szCs w:val="20"/>
          <w:color w:val="auto"/>
        </w:rPr>
      </w:pPr>
      <w:r>
        <w:rPr>
          <w:rFonts w:ascii="Arial" w:cs="Arial" w:eastAsia="Arial" w:hAnsi="Arial"/>
          <w:sz w:val="17"/>
          <w:szCs w:val="17"/>
          <w:color w:val="auto"/>
        </w:rPr>
        <w:t>A class action in California alleges that the Company violated the Real Estate Settlement Procedures Act and state law by giving favorable discounts or rates to builders and developers for escrow fees and requiring purchasers to use Chicago Title Insurance Company for escrow services. The action seeks refunds of the premiums charged and additional damages. The Company intends to vigorously defend this action.</w:t>
      </w:r>
    </w:p>
    <w:p>
      <w:pPr>
        <w:spacing w:after="0" w:line="57"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 class action in Texas alleges that the Company overcharged for recording fees in Arizona, California, Colorado, Oklahoma and Texas. The suit seeks to recover the recording fees for the class that was overcharged, interest and attorney’s fees. The suit was filed in the United States District Court for the Western District of Texas, San Antonio Division on March 24, 2006. Similar suits are pending in Indiana, Kansas, and Missouri. The Company intends to vigorously defend these actions.</w:t>
      </w:r>
    </w:p>
    <w:p>
      <w:pPr>
        <w:spacing w:after="0" w:line="79"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 class action in New Mexico alleges the Company has engaged in anti-competitive price fixing in New Mexico. The suit seeks an injunction against price fixing and writs issued to the State regulators mandating the law be interpreted to provide a competitive market, compensatory damages, punitive damages, statutory damages, interest and attorney’s fees for the injured class. The suit was filed in State Court in Santa Fe, New Mexico on April 27, 2006. The Company intends to vigorously defend this action.</w:t>
      </w:r>
    </w:p>
    <w:p>
      <w:pPr>
        <w:spacing w:after="0" w:line="79"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Two class actions filed in Illinois allege the Company has paid attorneys to refer business to the Company by paying them for core title services in conjunction with orders when the attorneys, in fact, did not perform any core title services and the payments were to steer business to the Company. The suits seek compensatory damages, attorney’s fees and injunctive relief to terminate the practice. The suit was filed in state court in Chicago, Illinois on May 11, 2006. The Company intends to vigorously defend these actions.</w:t>
      </w:r>
    </w:p>
    <w:p>
      <w:pPr>
        <w:spacing w:after="0" w:line="79" w:lineRule="exact"/>
        <w:rPr>
          <w:sz w:val="20"/>
          <w:szCs w:val="20"/>
          <w:color w:val="auto"/>
        </w:rPr>
      </w:pPr>
    </w:p>
    <w:p>
      <w:pPr>
        <w:ind w:right="140" w:firstLine="225"/>
        <w:spacing w:after="0" w:line="342" w:lineRule="auto"/>
        <w:rPr>
          <w:sz w:val="20"/>
          <w:szCs w:val="20"/>
          <w:color w:val="auto"/>
        </w:rPr>
      </w:pPr>
      <w:r>
        <w:rPr>
          <w:rFonts w:ascii="Arial" w:cs="Arial" w:eastAsia="Arial" w:hAnsi="Arial"/>
          <w:sz w:val="16"/>
          <w:szCs w:val="16"/>
          <w:color w:val="auto"/>
        </w:rPr>
        <w:t>None of the cases described above includes a statement as to the dollar amount of damages demanded. Instead, each of the cases includes a demand in an amount to be proved at trial. One Ohio case states that the damages per class member are less than the jurisdictional limit for removal to federal court.</w:t>
      </w:r>
    </w:p>
    <w:p>
      <w:pPr>
        <w:spacing w:after="0" w:line="16"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Company receives inquiries and requests for information from state insurance departments, attorneys general and other regulatory agencies from time to time about various matters relating to its business. Sometimes these take the form of civil investigative subpoenas. The Company attempts to cooperate with all such inquiries. From time to time, the Company is assessed fines for violations of regulations or other matters or enters into settlements with such authorities which require the Company to pay money or take other actions.</w:t>
      </w:r>
    </w:p>
    <w:p>
      <w:pPr>
        <w:spacing w:after="0" w:line="79" w:lineRule="exact"/>
        <w:rPr>
          <w:sz w:val="20"/>
          <w:szCs w:val="20"/>
          <w:color w:val="auto"/>
        </w:rPr>
      </w:pPr>
    </w:p>
    <w:p>
      <w:pPr>
        <w:ind w:right="100" w:firstLine="222"/>
        <w:spacing w:after="0" w:line="271" w:lineRule="auto"/>
        <w:rPr>
          <w:sz w:val="20"/>
          <w:szCs w:val="20"/>
          <w:color w:val="auto"/>
        </w:rPr>
      </w:pPr>
      <w:r>
        <w:rPr>
          <w:rFonts w:ascii="Arial" w:cs="Arial" w:eastAsia="Arial" w:hAnsi="Arial"/>
          <w:sz w:val="17"/>
          <w:szCs w:val="17"/>
          <w:color w:val="auto"/>
        </w:rPr>
        <w:t>The National Association of Insurance Commissioners and various state insurance regulators have been investigating so called “captive reinsurance” agreements since 2004. The investigations have focused on arrangements in which title insurers would write title insurance generated by realtors, developers and lenders and cede a portion of the premiums to a reinsurance company affiliate of the entity that generated the business. The U.S. Department of Housing and Urban Development (“HUD”) also has made formal or informal inquiries of the Company regarding these matters. The Company has been cooperating and intends to continue to cooperate with all ongoing investigations. The Company has discontinued all captive reinsurance arrangements. The total amount of premiums the Company ceded to reinsurers was approximately $10 million over the existence of these agreements. The Company has settled most of the accusations of wrongdoing that arose from these investigations by discontinuing the practice and paying fines. Some investigations are continuing. The Company anticipates they will be settled in a similar manner.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15"/>
        <w:spacing w:after="0" w:line="273" w:lineRule="auto"/>
        <w:rPr>
          <w:sz w:val="20"/>
          <w:szCs w:val="20"/>
          <w:color w:val="auto"/>
        </w:rPr>
      </w:pPr>
      <w:r>
        <w:rPr>
          <w:rFonts w:ascii="Arial" w:cs="Arial" w:eastAsia="Arial" w:hAnsi="Arial"/>
          <w:sz w:val="17"/>
          <w:szCs w:val="17"/>
          <w:color w:val="auto"/>
        </w:rPr>
        <w:t>Additionally, the Company has received inquiries from regulators about its business involvement with title insurance agencies affiliated with builders, realtors and other traditional sources of title insurance business, some of which the Company participated in forming as joint ventures with its subsidiaries. These inquiries have focused on whether the placement of title insurance with the Company through these affiliated agencies is proper or an improper form of referral payment. Like most other title insurers, the Company participates in these affiliated business arrangements in a number of states. The Company has settled the accusations of wrongdoing that arose from some of these investigations by discontinuing the practice and paying fines. Other investigations are continuing. The Company anticipates they will be settled in a similar manner.</w:t>
      </w:r>
    </w:p>
    <w:p>
      <w:pPr>
        <w:spacing w:after="0" w:line="70" w:lineRule="exact"/>
        <w:rPr>
          <w:sz w:val="20"/>
          <w:szCs w:val="20"/>
          <w:color w:val="auto"/>
        </w:rPr>
      </w:pPr>
    </w:p>
    <w:p>
      <w:pPr>
        <w:ind w:right="20" w:firstLine="222"/>
        <w:spacing w:after="0" w:line="289" w:lineRule="auto"/>
        <w:rPr>
          <w:sz w:val="20"/>
          <w:szCs w:val="20"/>
          <w:color w:val="auto"/>
        </w:rPr>
      </w:pPr>
      <w:r>
        <w:rPr>
          <w:rFonts w:ascii="Arial" w:cs="Arial" w:eastAsia="Arial" w:hAnsi="Arial"/>
          <w:sz w:val="16"/>
          <w:szCs w:val="16"/>
          <w:color w:val="auto"/>
        </w:rPr>
        <w:t>The Company and its subsidiaries have settled all allegations of wrongdoing arising from a wide-ranging review of the title insurance industry by the New York State Attorney General (the “NYAG”). Under the terms of the settlement, the Company paid a $2 million fine and will immediately reduce premiums by 15% on owner’s policies under $1 million. Rate hearings will be conducted by the New York State Insurance Department (the “NYSID”) this year where all rates will be considered industry wide. The settlement clarifies practices considered wrongful under New York law by the NYAG and the NYSID, and the Company has agreed not to engage in those practices. The Company will take steps to assure that consumers are aware of the filed rates for premiums on title insurance products and that the products are correctly rated. The settlement also resolves all issues raised by the market conduct investigation of the Company and its subsidiaries by the NYSID except the issues of rating errors found by the NYSID. As part of the settlement, the Company and its subsidiaries denied any wrongdoing. Neither the fines nor the rate reductions are expected to have a material impact on earnings of the Company. The Company cooperated fully with the NYAG and NYSID inquiries into these matters and will continue to cooperate with the NYSID.</w:t>
      </w:r>
    </w:p>
    <w:p>
      <w:pPr>
        <w:spacing w:after="0" w:line="59"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In November 2006, the NYAG and NYSID raised an issue with respect to the applicability of the rate reduction to the lenders’ policies. The Company and other defendants dispute this position.</w:t>
      </w:r>
    </w:p>
    <w:p>
      <w:pPr>
        <w:spacing w:after="0" w:line="6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Further, U.S. Representative Oxley, the Chairman of the House Financial Services Committee, recently asked the Government Accountability Office (the “GAO”) to investigate the title insurance industry. Representative Oxley stated that the Committee is concerned about payments that certain title insurers have made to developers, lenders and real estate agents for referrals of title insurance business. Representative Oxley asked the GAO to examine, among other things, the foregoing relationships and the levels of pricing and competition in the title insurance industry. A congressional hearing was held regarding title insurance practices on April 27, 2006. The Company is unable to predict the outcome of this inquiry or whether it will adversely affect the Company’s business or results of operations.</w:t>
      </w:r>
    </w:p>
    <w:p>
      <w:pPr>
        <w:spacing w:after="0" w:line="85" w:lineRule="exact"/>
        <w:rPr>
          <w:sz w:val="20"/>
          <w:szCs w:val="20"/>
          <w:color w:val="auto"/>
        </w:rPr>
      </w:pPr>
    </w:p>
    <w:p>
      <w:pPr>
        <w:ind w:right="40" w:firstLine="225"/>
        <w:spacing w:after="0" w:line="287" w:lineRule="auto"/>
        <w:rPr>
          <w:sz w:val="20"/>
          <w:szCs w:val="20"/>
          <w:color w:val="auto"/>
        </w:rPr>
      </w:pPr>
      <w:r>
        <w:rPr>
          <w:rFonts w:ascii="Arial" w:cs="Arial" w:eastAsia="Arial" w:hAnsi="Arial"/>
          <w:sz w:val="16"/>
          <w:szCs w:val="16"/>
          <w:color w:val="auto"/>
        </w:rPr>
        <w:t>On July 3, 2006, the California Insurance Commissioner (“Commissioner”) issued a Notice of Proposed Action and Notice of Public Hearing (the “Notice”) relating to proposed regulations governing rate-making for title insurance (the “Proposed Regulations”). A hearing on the Proposed Regulations took place on August 30, 2006. If implemented, the Proposed Regulations would result in significant reductions in title insurance rates, which are likely to have a significant negative impact on the company’s California revenues. In addition, the Proposed Regulations would give the Commissioner the ability to set maximum allowable title insurance rates on a going-forward basis. It is possible that such maximum rates would be lower than the rates that the Company would otherwise set. In addition, the Florida Office of Insurance Regulation (the “OIR”) has recently released three studies of the title insurance industry which purport to demonstrate that title insurance rates in Florida are too high and that the Florida title insurance industry is overwhelmingly dominated by five firms, which includes FNT. The studies recommend tying premium rates to loss ratios thereby making the rates a reflection of the actual risks born by the insurer. The OIR is presently developing a rule to govern the upcoming rate analysis and rate setting process and has said that it will use the information to begin a full review of the title insurance rates charged in Florida. New York, Connecticut, Nevada, New Mexico, Texas and Washington insurance regulators have also announced similar inquiries (or other reviews of title insurance rates or practices) and other states could follow. At this stage, the Company is unable to predict what the outcome will be of these or any similar reviews.</w:t>
      </w:r>
    </w:p>
    <w:p>
      <w:pPr>
        <w:spacing w:after="0" w:line="61"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Canadian lawyers who have traditionally played a role in real property transactions in Canada allege that the Company’s practices in processing residential mortgages are the unauthorized practice of law. Their Law Societies have demanded an end to the practice, and have begun investigations into those practices. In several provinces bills have been filed that ostensibly would affect the way we do business. The Company is unable to predict the outcome of this inquiry or whether it will adversely affect the Company’s business or results of operations. In Missouri a class action is pending alleging that certain acts performed by the Company in closing real estate transactions are the unlawful practice of law. The Company intends to vigorously defend this action.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Our business faces a number of risks. The risks described below update the risk factors described in our 2005 Form 10-K and should be read in conjunction with those risk factors. The risk factors described in this Form 10-Q and the 2005 Form 10-K may not be the only risks we face. Additional risks that we do not yet know of or that we currently think are immaterial may also impair our business operations. If any of the following risks actually occurs, our business, results of operations, or financial condition could be materially affected and the trading price of our common stock could decline.</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adverse changes in the levels of real estate activity occur, our revenues may decline.</w:t>
      </w:r>
    </w:p>
    <w:p>
      <w:pPr>
        <w:spacing w:after="0" w:line="117"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 Both the volume and the average price of residential real estate transactions have recently experienced declines in many parts of the country, and these trends appear likely to continue. Further, interest rates have risen from record low levels in 2003, resulting in reductions in the level of mortgage refinancings and total mortgage originations in 2004 and again in 2005 and 2006.</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found that residential real estate activity generally decreases in the following situations:</w:t>
      </w:r>
    </w:p>
    <w:p>
      <w:pPr>
        <w:spacing w:after="0" w:line="117"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when mortgage interest rates are high or increasing;</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when the mortgage funding supply is limited;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when the United States economy is weak.</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Declines in the level of real estate activity or the average price of real estate sales are likely to adversely affect our title insurance revenues. The Mortgage Bankers Association currently projects residential mortgage production in 2006 to be $2.46 trillion, which would represent an 18.7% decline relative to 2005. The MBA further projects that the 18.7% decrease will result from purchase transactions declining from $1.51 billion in 2005 to $1.39 billion in 2006, or 8.0%, and refinancing transactions dropping from $1.51 billion to $1.07 billion, or 29.3%.</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State regulation of the rates we charge for title insurance could adversely affect our results of operations.</w:t>
      </w:r>
    </w:p>
    <w:p>
      <w:pPr>
        <w:spacing w:after="0" w:line="11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Our subsidiaries are subject to extensive rate regulation by the applicable state agencies in the jurisdictions in which they operate. Title insurance rates are regulated differently in the various states, with some states requiring our subsidiaries to file rates before such rates become effective and some states promulgating the rates that can be charged. In almost all states in which our subsidiaries operate, our rates must not be excessive, inadequate or unfairly discriminatory.</w:t>
      </w:r>
    </w:p>
    <w:p>
      <w:pPr>
        <w:spacing w:after="0" w:line="79"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On July 3, 2006, the California Insurance Commissioner (“Commissioner”) issued a Notice of Proposed Action and Notice of Public Hearing (the “Notice”) relating to proposed regulations governing rate-making for title insurance (the “Proposed Regulations”). A hearing on the Proposed Regulations took place on August 30, 2006. If implemented, the Proposed Regulations would result in significant reductions in title insurance rates, which are likely to have a significant negative impact on the company’s California revenues. California is the largest source of revenue for the title insurance industry, including for us. In addition, the Proposed Regulations would give the Commissioner the ability to set maximum allowable title insurance rates on a going-forward basis. It is possible that such maximum rates would be lower than the rates that the company would otherwise set. In addition, the Florida Office of Insurance Regulation (the “OIR”) has recently released three studies of the title insurance industry which purport to demonstrate that title insurance rates in Florida are too high and that the Florida title insurance industry is overwhelmingly dominated by five firms, which includes FNT. The studies recommend tying premium rates to loss ratios thereby making the rates a reflection of the actual risks born by the insurer. The OIR is presently developing a rule to govern the upcoming rate analysis and rate setting process and has said that it will use the information to begin a full review of the title insurance rates charged in Florida.</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225"/>
        <w:spacing w:after="0" w:line="264" w:lineRule="auto"/>
        <w:rPr>
          <w:sz w:val="20"/>
          <w:szCs w:val="20"/>
          <w:color w:val="auto"/>
        </w:rPr>
      </w:pPr>
      <w:r>
        <w:rPr>
          <w:rFonts w:ascii="Arial" w:cs="Arial" w:eastAsia="Arial" w:hAnsi="Arial"/>
          <w:sz w:val="18"/>
          <w:szCs w:val="18"/>
          <w:color w:val="auto"/>
        </w:rPr>
        <w:t>New York, Connecticut, Nevada, New Mexico, Texas and Washington insurance regulators have also announced inquiries (or other reviews of title insurance rates or practices) and other states could follow. At this stage, the Company is unable to predict what the outcome will be of this or any similar review.</w:t>
      </w:r>
    </w:p>
    <w:p>
      <w:pPr>
        <w:spacing w:after="0" w:line="73"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The Company and its subsidiaries have settled all allegations of wrongdoing arising from a wide-ranging review of the title insurance industry by the New York State Attorney General (the “NYAG”). Under the terms of the settlement, the Company will pay a $2 million fine and immediately reduce premiums by 15% on owner’s policies under $1 million. Rate hearings will be conducted by the New York State Insurance Department (the “NYSID”) this year where all rates will be considered industry wide. The settlement clarifies practices considered wrongful under New York law by the NYAG and the NYSID, and the Company has agreed not to engage in those practices. The Company will take steps to assure that consumers are aware of the filed rates for premiums on title insurance products and that the products are correctly rated. The settlement also resolves all issues raised by the market conduct investigation of the Company and its subsidiaries by the NYSID except the issues of rating errors found by the NYSID. As part of the settlement, the Company and its subsidiaries denied any wrongdoing. Neither the fines nor the 15% rate reduction are expected to have a material impact on earnings of the Company. The Company cooperated fully with the NYAG and NYSID inquiries into these matters and will continue to cooperate with the NYSID.</w:t>
      </w:r>
    </w:p>
    <w:p>
      <w:pPr>
        <w:spacing w:after="0" w:line="59"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Further, U.S. Representative Oxley, the Chairman of the House Financial Services Committee, recently asked the Government Accountability Office (the GAO) to investigate the title insurance industry. Representative Oxley stated that the Committee is concerned about payments that certain title insurers have made to developers, lenders and real estate agents for referrals of title insurance business. Representative Oxley asked the GAO to examine, among other things, the foregoing relationships and the levels of pricing and competition in the title insurance industry. A congressional hearing was held regarding title insurance practices on April 27, 2006. We are unable to predict the outcome of this inquiry or whether it will adversely affect our business or results of operations.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If the rating agencies further downgrade our company our results of operations and competitive position in the industry may suffer.</w:t>
      </w:r>
    </w:p>
    <w:p>
      <w:pPr>
        <w:spacing w:after="0" w:line="129"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color w:val="auto"/>
        </w:rPr>
        <w:t>Ratings have always been an important factor in establishing the competitive position of insurance companies. Our insurance companies are rated by Standard &amp; Poor’s (“S&amp;P”), Moody’s Corporation (“Moody’s”), Fitch Ratings, Inc. (“Fitch”), A.M. Best Company (“A.M. Best”), Demotech, Inc., and LACE Financial Corporation. Ratings reflect the opinion of a rating agency with regard to an insurance company’s or insurance holding company’s financial strength, operating performance, and ability to meet its obligations to policyholders and are not evaluations directed to investors. In connection with the announcement on April 27, 2006, of the proposed transactions under the SEDA and the subsequent merger of FNF with and into FIS, S&amp;P and A.M. Best revised their outlook on our ratings to positive from stable and Moody’s and Fitch affirmed financial strength ratings of A3 and A-, respectively. After the completion of the 2006 Distribution, Fitch upgraded its financial strength rating to A. Our ratings are subject to continued periodic review by those rating entities and the continued retention of those ratings cannot be assured. If our ratings are reduced from their current levels by those entities, our results of operations could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were no unregistered sales of equity securities during the nine month period ended September 30, 2006.</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9700" w:type="dxa"/>
            <w:vAlign w:val="bottom"/>
            <w:vMerge w:val="restart"/>
          </w:tcPr>
          <w:p>
            <w:pPr>
              <w:ind w:left="4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4"/>
                <w:szCs w:val="14"/>
                <w:color w:val="auto"/>
              </w:rPr>
            </w:pPr>
          </w:p>
        </w:tc>
        <w:tc>
          <w:tcPr>
            <w:tcW w:w="9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w w:val="92"/>
              </w:rPr>
              <w:t>Certification by Chief Executive Officer of Periodic Financial Reports pursuant to Section 906 of the Sarbanes-Oxley Act of 2002, 18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U.S.C. Section 1350.</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w w:val="92"/>
              </w:rPr>
              <w:t>Certification by Chief Financial Officer of Periodic Financial Reports pursuant to Section 906 of the Sarbanes-Oxley Act of 2002, 18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U.S.C. Section 1350.</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10260" w:type="dxa"/>
            <w:vAlign w:val="bottom"/>
            <w:gridSpan w:val="2"/>
          </w:tcPr>
          <w:p>
            <w:pPr>
              <w:jc w:val="right"/>
              <w:ind w:right="5539"/>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6"/>
        </w:trPr>
        <w:tc>
          <w:tcPr>
            <w:tcW w:w="1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TITLE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25298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(Principal Financial and Accounting Officer)</w:t>
      </w: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Date: November 9, 2006</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00" w:type="dxa"/>
            <w:vAlign w:val="bottom"/>
          </w:tcPr>
          <w:p>
            <w:pPr>
              <w:jc w:val="center"/>
              <w:ind w:right="1616"/>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24"/>
                <w:szCs w:val="24"/>
                <w:color w:val="auto"/>
              </w:rPr>
            </w:pPr>
          </w:p>
        </w:tc>
        <w:tc>
          <w:tcPr>
            <w:tcW w:w="9700" w:type="dxa"/>
            <w:vAlign w:val="bottom"/>
            <w:vMerge w:val="restart"/>
          </w:tcPr>
          <w:p>
            <w:pPr>
              <w:ind w:left="4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4"/>
                <w:szCs w:val="14"/>
                <w:color w:val="auto"/>
              </w:rPr>
            </w:pPr>
          </w:p>
        </w:tc>
        <w:tc>
          <w:tcPr>
            <w:tcW w:w="9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w w:val="92"/>
              </w:rPr>
              <w:t>Certification by Chief Executive Officer of Periodic Financial Reports pursuant to Section 906 of the Sarbanes-Oxley Act of 2002, 18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U.S.C. Section 1350.</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w w:val="92"/>
              </w:rPr>
              <w:t>Certification by Chief Financial Officer of Periodic Financial Reports pursuant to Section 906 of the Sarbanes-Oxley Act of 2002, 18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560"/>
              <w:spacing w:after="0"/>
              <w:rPr>
                <w:sz w:val="20"/>
                <w:szCs w:val="20"/>
                <w:color w:val="auto"/>
              </w:rPr>
            </w:pPr>
            <w:r>
              <w:rPr>
                <w:rFonts w:ascii="Arial" w:cs="Arial" w:eastAsia="Arial" w:hAnsi="Arial"/>
                <w:sz w:val="18"/>
                <w:szCs w:val="18"/>
                <w:color w:val="auto"/>
              </w:rPr>
              <w:t>U.S.C. Section 1350.</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10260" w:type="dxa"/>
            <w:vAlign w:val="bottom"/>
            <w:gridSpan w:val="2"/>
          </w:tcPr>
          <w:p>
            <w:pPr>
              <w:jc w:val="right"/>
              <w:ind w:right="5536"/>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P. Foley, II, certify that:</w:t>
      </w:r>
    </w:p>
    <w:p>
      <w:pPr>
        <w:spacing w:after="0" w:line="11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Title Group,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540" w:right="180" w:hanging="316"/>
        <w:spacing w:after="0" w:line="264" w:lineRule="auto"/>
        <w:tabs>
          <w:tab w:leader="none" w:pos="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540" w:right="20" w:hanging="316"/>
        <w:spacing w:after="0" w:line="277" w:lineRule="auto"/>
        <w:tabs>
          <w:tab w:leader="none" w:pos="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540" w:right="40" w:hanging="316"/>
        <w:spacing w:after="0" w:line="264" w:lineRule="auto"/>
        <w:tabs>
          <w:tab w:leader="none" w:pos="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540" w:right="160" w:hanging="316"/>
        <w:spacing w:after="0" w:line="277" w:lineRule="auto"/>
        <w:tabs>
          <w:tab w:leader="none" w:pos="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540" w:right="520" w:hanging="316"/>
        <w:spacing w:after="0" w:line="277" w:lineRule="auto"/>
        <w:tabs>
          <w:tab w:leader="none" w:pos="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2006</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William P. Foley, II</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William P. Foley,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36"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1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Title Group,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540" w:right="180" w:hanging="316"/>
        <w:spacing w:after="0" w:line="264"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540" w:right="20" w:hanging="316"/>
        <w:spacing w:after="0" w:line="277"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540" w:right="40" w:hanging="316"/>
        <w:spacing w:after="0" w:line="264"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540" w:right="160" w:hanging="316"/>
        <w:spacing w:after="0" w:line="277"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540" w:right="200" w:hanging="316"/>
        <w:spacing w:after="0" w:line="277"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2006</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Anthony J. Park</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368"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PERIODIC FINANCIAL REPORTS PURSUANT TO 18 U.S.C. §1350</w:t>
      </w:r>
    </w:p>
    <w:p>
      <w:pPr>
        <w:spacing w:after="0" w:line="117" w:lineRule="exact"/>
        <w:rPr>
          <w:sz w:val="20"/>
          <w:szCs w:val="20"/>
          <w:color w:val="auto"/>
        </w:rPr>
      </w:pPr>
    </w:p>
    <w:p>
      <w:pPr>
        <w:ind w:right="560" w:firstLine="22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Title Group, Inc., a Delaware corporation (the “Company”), and hereby further certifies as follows.</w:t>
      </w:r>
    </w:p>
    <w:p>
      <w:pPr>
        <w:spacing w:after="0" w:line="62" w:lineRule="exact"/>
        <w:rPr>
          <w:sz w:val="20"/>
          <w:szCs w:val="20"/>
          <w:color w:val="auto"/>
        </w:rPr>
      </w:pPr>
    </w:p>
    <w:p>
      <w:pPr>
        <w:ind w:left="540" w:hanging="316"/>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75" w:lineRule="exact"/>
        <w:rPr>
          <w:rFonts w:ascii="Arial" w:cs="Arial" w:eastAsia="Arial" w:hAnsi="Arial"/>
          <w:sz w:val="18"/>
          <w:szCs w:val="18"/>
          <w:color w:val="auto"/>
        </w:rPr>
      </w:pPr>
    </w:p>
    <w:p>
      <w:pPr>
        <w:ind w:left="540" w:right="240" w:hanging="316"/>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62" w:lineRule="exact"/>
        <w:rPr>
          <w:sz w:val="20"/>
          <w:szCs w:val="20"/>
          <w:color w:val="auto"/>
        </w:rPr>
      </w:pPr>
    </w:p>
    <w:p>
      <w:pPr>
        <w:ind w:right="1760" w:firstLine="225"/>
        <w:spacing w:after="0" w:line="402"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11/9/06</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William P. Foley, II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William P. Foley,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26073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68"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PERIODIC FINANCIAL REPORTS PURSUANT TO 18 U.S.C. §1350</w:t>
      </w:r>
    </w:p>
    <w:p>
      <w:pPr>
        <w:spacing w:after="0" w:line="117" w:lineRule="exact"/>
        <w:rPr>
          <w:sz w:val="20"/>
          <w:szCs w:val="20"/>
          <w:color w:val="auto"/>
        </w:rPr>
      </w:pPr>
    </w:p>
    <w:p>
      <w:pPr>
        <w:ind w:right="620" w:firstLine="22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Title Group, Inc., a Delaware corporation (the “Company”), and hereby further certifies as follows.</w:t>
      </w:r>
    </w:p>
    <w:p>
      <w:pPr>
        <w:spacing w:after="0" w:line="62" w:lineRule="exact"/>
        <w:rPr>
          <w:sz w:val="20"/>
          <w:szCs w:val="20"/>
          <w:color w:val="auto"/>
        </w:rPr>
      </w:pPr>
    </w:p>
    <w:p>
      <w:pPr>
        <w:ind w:left="540" w:hanging="316"/>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75" w:lineRule="exact"/>
        <w:rPr>
          <w:rFonts w:ascii="Arial" w:cs="Arial" w:eastAsia="Arial" w:hAnsi="Arial"/>
          <w:sz w:val="18"/>
          <w:szCs w:val="18"/>
          <w:color w:val="auto"/>
        </w:rPr>
      </w:pPr>
    </w:p>
    <w:p>
      <w:pPr>
        <w:ind w:left="540" w:right="240" w:hanging="316"/>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62" w:lineRule="exact"/>
        <w:rPr>
          <w:sz w:val="20"/>
          <w:szCs w:val="20"/>
          <w:color w:val="auto"/>
        </w:rPr>
      </w:pPr>
    </w:p>
    <w:p>
      <w:pPr>
        <w:ind w:right="1760" w:firstLine="225"/>
        <w:spacing w:after="0" w:line="402"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11/9/06</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Anthony J. Park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26073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2019-12-15T10:12:27Z</dcterms:created>
  <dcterms:modified xsi:type="dcterms:W3CDTF">2019-12-15T10:12:27Z</dcterms:modified>
</cp:coreProperties>
</file>