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146"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(Mark One)</w:t>
      </w:r>
    </w:p>
    <w:p>
      <w:pPr>
        <w:spacing w:after="0" w:line="54" w:lineRule="exact"/>
        <w:rPr>
          <w:sz w:val="24"/>
          <w:szCs w:val="24"/>
          <w:color w:val="auto"/>
        </w:rPr>
      </w:pPr>
    </w:p>
    <w:p>
      <w:pPr>
        <w:ind w:left="1300" w:right="60" w:hanging="724"/>
        <w:spacing w:after="0" w:line="256" w:lineRule="auto"/>
        <w:tabs>
          <w:tab w:leader="none" w:pos="1300" w:val="left"/>
        </w:tabs>
        <w:numPr>
          <w:ilvl w:val="0"/>
          <w:numId w:val="1"/>
        </w:numPr>
        <w:rPr>
          <w:rFonts w:ascii="Arial" w:cs="Arial" w:eastAsia="Arial" w:hAnsi="Arial"/>
          <w:sz w:val="18"/>
          <w:szCs w:val="18"/>
          <w:color w:val="auto"/>
        </w:rPr>
      </w:pPr>
      <w:r>
        <w:rPr>
          <w:rFonts w:ascii="Arial" w:cs="Arial" w:eastAsia="Arial" w:hAnsi="Arial"/>
          <w:sz w:val="22"/>
          <w:szCs w:val="22"/>
          <w:b w:val="1"/>
          <w:bCs w:val="1"/>
          <w:color w:val="auto"/>
        </w:rPr>
        <w:t>ANNUAL REPORT PURSUANT TO SECTION 13 OR 15(d) OF THE SECURITIES EXCHANGE ACT OF 1934</w:t>
      </w:r>
    </w:p>
    <w:p>
      <w:pPr>
        <w:spacing w:after="0" w:line="10"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For the Fiscal Year Ended December 31, 2014</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1300" w:right="480" w:hanging="709"/>
        <w:spacing w:after="0" w:line="256"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50" w:lineRule="exact"/>
        <w:rPr>
          <w:sz w:val="24"/>
          <w:szCs w:val="24"/>
          <w:color w:val="auto"/>
        </w:rPr>
      </w:pPr>
    </w:p>
    <w:tbl>
      <w:tblPr>
        <w:tblLayout w:type="fixed"/>
        <w:tblInd w:w="1040" w:type="dxa"/>
        <w:tblCellMar>
          <w:top w:w="0" w:type="dxa"/>
          <w:left w:w="0" w:type="dxa"/>
          <w:bottom w:w="0" w:type="dxa"/>
          <w:right w:w="0" w:type="dxa"/>
        </w:tblCellMar>
      </w:tblPr>
      <w:tr>
        <w:trPr>
          <w:trHeight w:val="234"/>
        </w:trPr>
        <w:tc>
          <w:tcPr>
            <w:tcW w:w="6380" w:type="dxa"/>
            <w:vAlign w:val="bottom"/>
          </w:tcPr>
          <w:p>
            <w:pPr>
              <w:ind w:left="3600"/>
              <w:spacing w:after="0"/>
              <w:rPr>
                <w:sz w:val="20"/>
                <w:szCs w:val="20"/>
                <w:color w:val="auto"/>
              </w:rPr>
            </w:pPr>
            <w:r>
              <w:rPr>
                <w:rFonts w:ascii="Arial" w:cs="Arial" w:eastAsia="Arial" w:hAnsi="Arial"/>
                <w:sz w:val="18"/>
                <w:szCs w:val="18"/>
                <w:b w:val="1"/>
                <w:bCs w:val="1"/>
                <w:color w:val="auto"/>
              </w:rPr>
              <w:t>Commission File No. 1-32630</w:t>
            </w:r>
          </w:p>
        </w:tc>
        <w:tc>
          <w:tcPr>
            <w:tcW w:w="2240" w:type="dxa"/>
            <w:vAlign w:val="bottom"/>
          </w:tcPr>
          <w:p>
            <w:pPr>
              <w:spacing w:after="0"/>
              <w:rPr>
                <w:sz w:val="20"/>
                <w:szCs w:val="20"/>
                <w:color w:val="auto"/>
              </w:rPr>
            </w:pPr>
          </w:p>
        </w:tc>
      </w:tr>
      <w:tr>
        <w:trPr>
          <w:trHeight w:val="231"/>
        </w:trPr>
        <w:tc>
          <w:tcPr>
            <w:tcW w:w="6380" w:type="dxa"/>
            <w:vAlign w:val="bottom"/>
          </w:tcPr>
          <w:p>
            <w:pPr>
              <w:jc w:val="center"/>
              <w:ind w:left="2904"/>
              <w:spacing w:after="0"/>
              <w:rPr>
                <w:sz w:val="20"/>
                <w:szCs w:val="20"/>
                <w:color w:val="auto"/>
              </w:rPr>
            </w:pPr>
            <w:r>
              <w:rPr>
                <w:rFonts w:ascii="Arial" w:cs="Arial" w:eastAsia="Arial" w:hAnsi="Arial"/>
                <w:sz w:val="14"/>
                <w:szCs w:val="14"/>
                <w:color w:val="auto"/>
                <w:w w:val="92"/>
              </w:rPr>
              <w:t>_________________________________</w:t>
            </w:r>
          </w:p>
        </w:tc>
        <w:tc>
          <w:tcPr>
            <w:tcW w:w="2240" w:type="dxa"/>
            <w:vAlign w:val="bottom"/>
          </w:tcPr>
          <w:p>
            <w:pPr>
              <w:spacing w:after="0"/>
              <w:rPr>
                <w:sz w:val="20"/>
                <w:szCs w:val="20"/>
                <w:color w:val="auto"/>
              </w:rPr>
            </w:pPr>
          </w:p>
        </w:tc>
      </w:tr>
      <w:tr>
        <w:trPr>
          <w:trHeight w:val="588"/>
        </w:trPr>
        <w:tc>
          <w:tcPr>
            <w:tcW w:w="8620" w:type="dxa"/>
            <w:vAlign w:val="bottom"/>
            <w:gridSpan w:val="2"/>
          </w:tcPr>
          <w:p>
            <w:pPr>
              <w:jc w:val="center"/>
              <w:ind w:left="664"/>
              <w:spacing w:after="0"/>
              <w:rPr>
                <w:sz w:val="20"/>
                <w:szCs w:val="20"/>
                <w:color w:val="auto"/>
              </w:rPr>
            </w:pPr>
            <w:r>
              <w:rPr>
                <w:rFonts w:ascii="Arial" w:cs="Arial" w:eastAsia="Arial" w:hAnsi="Arial"/>
                <w:sz w:val="43"/>
                <w:szCs w:val="43"/>
                <w:b w:val="1"/>
                <w:bCs w:val="1"/>
                <w:color w:val="auto"/>
                <w:w w:val="93"/>
              </w:rPr>
              <w:t>Fidelity National Financial, Inc.</w:t>
            </w:r>
          </w:p>
        </w:tc>
      </w:tr>
      <w:tr>
        <w:trPr>
          <w:trHeight w:val="250"/>
        </w:trPr>
        <w:tc>
          <w:tcPr>
            <w:tcW w:w="6380" w:type="dxa"/>
            <w:vAlign w:val="bottom"/>
          </w:tcPr>
          <w:p>
            <w:pPr>
              <w:jc w:val="center"/>
              <w:ind w:left="2864"/>
              <w:spacing w:after="0"/>
              <w:rPr>
                <w:sz w:val="20"/>
                <w:szCs w:val="20"/>
                <w:color w:val="auto"/>
              </w:rPr>
            </w:pPr>
            <w:r>
              <w:rPr>
                <w:rFonts w:ascii="Arial" w:cs="Arial" w:eastAsia="Arial" w:hAnsi="Arial"/>
                <w:sz w:val="14"/>
                <w:szCs w:val="14"/>
                <w:i w:val="1"/>
                <w:iCs w:val="1"/>
                <w:color w:val="auto"/>
                <w:w w:val="94"/>
              </w:rPr>
              <w:t>(Exact name of registrant as specified in its charter)</w:t>
            </w:r>
          </w:p>
        </w:tc>
        <w:tc>
          <w:tcPr>
            <w:tcW w:w="2240" w:type="dxa"/>
            <w:vAlign w:val="bottom"/>
          </w:tcPr>
          <w:p>
            <w:pPr>
              <w:spacing w:after="0"/>
              <w:rPr>
                <w:sz w:val="21"/>
                <w:szCs w:val="21"/>
                <w:color w:val="auto"/>
              </w:rPr>
            </w:pPr>
          </w:p>
        </w:tc>
      </w:tr>
      <w:tr>
        <w:trPr>
          <w:trHeight w:val="485"/>
        </w:trPr>
        <w:tc>
          <w:tcPr>
            <w:tcW w:w="6380" w:type="dxa"/>
            <w:vAlign w:val="bottom"/>
          </w:tcPr>
          <w:p>
            <w:pPr>
              <w:jc w:val="center"/>
              <w:ind w:right="2784"/>
              <w:spacing w:after="0"/>
              <w:rPr>
                <w:sz w:val="20"/>
                <w:szCs w:val="20"/>
                <w:color w:val="auto"/>
              </w:rPr>
            </w:pPr>
            <w:r>
              <w:rPr>
                <w:rFonts w:ascii="Arial" w:cs="Arial" w:eastAsia="Arial" w:hAnsi="Arial"/>
                <w:sz w:val="18"/>
                <w:szCs w:val="18"/>
                <w:b w:val="1"/>
                <w:bCs w:val="1"/>
                <w:color w:val="auto"/>
                <w:w w:val="93"/>
              </w:rPr>
              <w:t>Delaware</w:t>
            </w:r>
          </w:p>
        </w:tc>
        <w:tc>
          <w:tcPr>
            <w:tcW w:w="2240" w:type="dxa"/>
            <w:vAlign w:val="bottom"/>
          </w:tcPr>
          <w:p>
            <w:pPr>
              <w:jc w:val="right"/>
              <w:ind w:right="521"/>
              <w:spacing w:after="0"/>
              <w:rPr>
                <w:sz w:val="20"/>
                <w:szCs w:val="20"/>
                <w:color w:val="auto"/>
              </w:rPr>
            </w:pPr>
            <w:r>
              <w:rPr>
                <w:rFonts w:ascii="Arial" w:cs="Arial" w:eastAsia="Arial" w:hAnsi="Arial"/>
                <w:sz w:val="18"/>
                <w:szCs w:val="18"/>
                <w:b w:val="1"/>
                <w:bCs w:val="1"/>
                <w:color w:val="auto"/>
              </w:rPr>
              <w:t>16-1725106</w:t>
            </w:r>
          </w:p>
        </w:tc>
      </w:tr>
      <w:tr>
        <w:trPr>
          <w:trHeight w:val="218"/>
        </w:trPr>
        <w:tc>
          <w:tcPr>
            <w:tcW w:w="6380" w:type="dxa"/>
            <w:vAlign w:val="bottom"/>
          </w:tcPr>
          <w:p>
            <w:pPr>
              <w:jc w:val="center"/>
              <w:ind w:right="2784"/>
              <w:spacing w:after="0"/>
              <w:rPr>
                <w:sz w:val="20"/>
                <w:szCs w:val="20"/>
                <w:color w:val="auto"/>
              </w:rPr>
            </w:pPr>
            <w:r>
              <w:rPr>
                <w:rFonts w:ascii="Arial" w:cs="Arial" w:eastAsia="Arial" w:hAnsi="Arial"/>
                <w:sz w:val="14"/>
                <w:szCs w:val="14"/>
                <w:i w:val="1"/>
                <w:iCs w:val="1"/>
                <w:color w:val="auto"/>
                <w:w w:val="96"/>
              </w:rPr>
              <w:t>(State or other jurisdiction of incorporation or organization)</w:t>
            </w:r>
          </w:p>
        </w:tc>
        <w:tc>
          <w:tcPr>
            <w:tcW w:w="2240" w:type="dxa"/>
            <w:vAlign w:val="bottom"/>
          </w:tcPr>
          <w:p>
            <w:pPr>
              <w:jc w:val="center"/>
              <w:ind w:left="101"/>
              <w:spacing w:after="0"/>
              <w:rPr>
                <w:sz w:val="20"/>
                <w:szCs w:val="20"/>
                <w:color w:val="auto"/>
              </w:rPr>
            </w:pPr>
            <w:r>
              <w:rPr>
                <w:rFonts w:ascii="Arial" w:cs="Arial" w:eastAsia="Arial" w:hAnsi="Arial"/>
                <w:sz w:val="14"/>
                <w:szCs w:val="14"/>
                <w:i w:val="1"/>
                <w:iCs w:val="1"/>
                <w:color w:val="auto"/>
                <w:w w:val="95"/>
              </w:rPr>
              <w:t>(I.R.S. Employer Identification No.)</w:t>
            </w:r>
          </w:p>
        </w:tc>
      </w:tr>
      <w:tr>
        <w:trPr>
          <w:trHeight w:val="574"/>
        </w:trPr>
        <w:tc>
          <w:tcPr>
            <w:tcW w:w="6380" w:type="dxa"/>
            <w:vAlign w:val="bottom"/>
          </w:tcPr>
          <w:p>
            <w:pPr>
              <w:jc w:val="center"/>
              <w:ind w:right="2784"/>
              <w:spacing w:after="0"/>
              <w:rPr>
                <w:sz w:val="20"/>
                <w:szCs w:val="20"/>
                <w:color w:val="auto"/>
              </w:rPr>
            </w:pPr>
            <w:r>
              <w:rPr>
                <w:rFonts w:ascii="Arial" w:cs="Arial" w:eastAsia="Arial" w:hAnsi="Arial"/>
                <w:sz w:val="18"/>
                <w:szCs w:val="18"/>
                <w:b w:val="1"/>
                <w:bCs w:val="1"/>
                <w:color w:val="auto"/>
                <w:w w:val="89"/>
              </w:rPr>
              <w:t>601 Riverside Avenue</w:t>
            </w:r>
          </w:p>
        </w:tc>
        <w:tc>
          <w:tcPr>
            <w:tcW w:w="2240" w:type="dxa"/>
            <w:vAlign w:val="bottom"/>
          </w:tcPr>
          <w:p>
            <w:pPr>
              <w:jc w:val="right"/>
              <w:ind w:right="381"/>
              <w:spacing w:after="0"/>
              <w:rPr>
                <w:sz w:val="20"/>
                <w:szCs w:val="20"/>
                <w:color w:val="auto"/>
              </w:rPr>
            </w:pPr>
            <w:r>
              <w:rPr>
                <w:rFonts w:ascii="Arial" w:cs="Arial" w:eastAsia="Arial" w:hAnsi="Arial"/>
                <w:sz w:val="18"/>
                <w:szCs w:val="18"/>
                <w:b w:val="1"/>
                <w:bCs w:val="1"/>
                <w:color w:val="auto"/>
              </w:rPr>
              <w:t>(904) 854-8100</w:t>
            </w:r>
          </w:p>
        </w:tc>
      </w:tr>
      <w:tr>
        <w:trPr>
          <w:trHeight w:val="234"/>
        </w:trPr>
        <w:tc>
          <w:tcPr>
            <w:tcW w:w="6380" w:type="dxa"/>
            <w:vAlign w:val="bottom"/>
          </w:tcPr>
          <w:p>
            <w:pPr>
              <w:jc w:val="center"/>
              <w:ind w:right="2784"/>
              <w:spacing w:after="0"/>
              <w:rPr>
                <w:sz w:val="20"/>
                <w:szCs w:val="20"/>
                <w:color w:val="auto"/>
              </w:rPr>
            </w:pPr>
            <w:r>
              <w:rPr>
                <w:rFonts w:ascii="Arial" w:cs="Arial" w:eastAsia="Arial" w:hAnsi="Arial"/>
                <w:sz w:val="18"/>
                <w:szCs w:val="18"/>
                <w:b w:val="1"/>
                <w:bCs w:val="1"/>
                <w:color w:val="auto"/>
                <w:w w:val="90"/>
              </w:rPr>
              <w:t>Jacksonville, Florida 32204</w:t>
            </w:r>
          </w:p>
        </w:tc>
        <w:tc>
          <w:tcPr>
            <w:tcW w:w="2240" w:type="dxa"/>
            <w:vAlign w:val="bottom"/>
          </w:tcPr>
          <w:p>
            <w:pPr>
              <w:jc w:val="center"/>
              <w:ind w:left="141"/>
              <w:spacing w:after="0"/>
              <w:rPr>
                <w:sz w:val="20"/>
                <w:szCs w:val="20"/>
                <w:color w:val="auto"/>
              </w:rPr>
            </w:pPr>
            <w:r>
              <w:rPr>
                <w:rFonts w:ascii="Arial" w:cs="Arial" w:eastAsia="Arial" w:hAnsi="Arial"/>
                <w:sz w:val="14"/>
                <w:szCs w:val="14"/>
                <w:i w:val="1"/>
                <w:iCs w:val="1"/>
                <w:color w:val="auto"/>
                <w:w w:val="91"/>
              </w:rPr>
              <w:t>(Registrant’s telephone number,</w:t>
            </w:r>
          </w:p>
        </w:tc>
      </w:tr>
      <w:tr>
        <w:trPr>
          <w:trHeight w:val="204"/>
        </w:trPr>
        <w:tc>
          <w:tcPr>
            <w:tcW w:w="6380" w:type="dxa"/>
            <w:vAlign w:val="bottom"/>
          </w:tcPr>
          <w:p>
            <w:pPr>
              <w:jc w:val="center"/>
              <w:ind w:right="2744"/>
              <w:spacing w:after="0"/>
              <w:rPr>
                <w:sz w:val="20"/>
                <w:szCs w:val="20"/>
                <w:color w:val="auto"/>
              </w:rPr>
            </w:pPr>
            <w:r>
              <w:rPr>
                <w:rFonts w:ascii="Arial" w:cs="Arial" w:eastAsia="Arial" w:hAnsi="Arial"/>
                <w:sz w:val="14"/>
                <w:szCs w:val="14"/>
                <w:i w:val="1"/>
                <w:iCs w:val="1"/>
                <w:color w:val="auto"/>
                <w:w w:val="94"/>
              </w:rPr>
              <w:t>(Address of principal executive offices, including zip code)</w:t>
            </w:r>
          </w:p>
        </w:tc>
        <w:tc>
          <w:tcPr>
            <w:tcW w:w="2240" w:type="dxa"/>
            <w:vAlign w:val="bottom"/>
          </w:tcPr>
          <w:p>
            <w:pPr>
              <w:jc w:val="center"/>
              <w:ind w:left="61"/>
              <w:spacing w:after="0"/>
              <w:rPr>
                <w:sz w:val="20"/>
                <w:szCs w:val="20"/>
                <w:color w:val="auto"/>
              </w:rPr>
            </w:pPr>
            <w:r>
              <w:rPr>
                <w:rFonts w:ascii="Arial" w:cs="Arial" w:eastAsia="Arial" w:hAnsi="Arial"/>
                <w:sz w:val="14"/>
                <w:szCs w:val="14"/>
                <w:i w:val="1"/>
                <w:iCs w:val="1"/>
                <w:color w:val="auto"/>
                <w:w w:val="93"/>
              </w:rPr>
              <w:t>including area code)</w:t>
            </w:r>
          </w:p>
        </w:tc>
      </w:tr>
    </w:tbl>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68" w:lineRule="exact"/>
        <w:rPr>
          <w:sz w:val="24"/>
          <w:szCs w:val="24"/>
          <w:color w:val="auto"/>
        </w:rPr>
      </w:pPr>
    </w:p>
    <w:tbl>
      <w:tblPr>
        <w:tblLayout w:type="fixed"/>
        <w:tblInd w:w="220" w:type="dxa"/>
        <w:tblCellMar>
          <w:top w:w="0" w:type="dxa"/>
          <w:left w:w="0" w:type="dxa"/>
          <w:bottom w:w="0" w:type="dxa"/>
          <w:right w:w="0" w:type="dxa"/>
        </w:tblCellMar>
      </w:tblPr>
      <w:tr>
        <w:trPr>
          <w:trHeight w:val="184"/>
        </w:trPr>
        <w:tc>
          <w:tcPr>
            <w:tcW w:w="194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Title of Each Class</w:t>
            </w:r>
          </w:p>
        </w:tc>
        <w:tc>
          <w:tcPr>
            <w:tcW w:w="3620" w:type="dxa"/>
            <w:vAlign w:val="bottom"/>
          </w:tcPr>
          <w:p>
            <w:pPr>
              <w:spacing w:after="0"/>
              <w:rPr>
                <w:sz w:val="16"/>
                <w:szCs w:val="16"/>
                <w:color w:val="auto"/>
              </w:rPr>
            </w:pPr>
          </w:p>
        </w:tc>
        <w:tc>
          <w:tcPr>
            <w:tcW w:w="31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0"/>
              </w:rPr>
              <w:t>Name of Each Exchange on Which Registered</w:t>
            </w:r>
          </w:p>
        </w:tc>
      </w:tr>
      <w:tr>
        <w:trPr>
          <w:trHeight w:val="291"/>
        </w:trPr>
        <w:tc>
          <w:tcPr>
            <w:tcW w:w="6860" w:type="dxa"/>
            <w:vAlign w:val="bottom"/>
            <w:gridSpan w:val="3"/>
          </w:tcPr>
          <w:p>
            <w:pPr>
              <w:jc w:val="center"/>
              <w:ind w:right="1700"/>
              <w:spacing w:after="0"/>
              <w:rPr>
                <w:sz w:val="20"/>
                <w:szCs w:val="20"/>
                <w:color w:val="auto"/>
              </w:rPr>
            </w:pPr>
            <w:r>
              <w:rPr>
                <w:rFonts w:ascii="Arial" w:cs="Arial" w:eastAsia="Arial" w:hAnsi="Arial"/>
                <w:sz w:val="18"/>
                <w:szCs w:val="18"/>
                <w:color w:val="auto"/>
                <w:w w:val="90"/>
              </w:rPr>
              <w:t>Common Stock, $0.0001 par value</w:t>
            </w:r>
          </w:p>
        </w:tc>
        <w:tc>
          <w:tcPr>
            <w:tcW w:w="3180" w:type="dxa"/>
            <w:vAlign w:val="bottom"/>
            <w:gridSpan w:val="2"/>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43"/>
        </w:trPr>
        <w:tc>
          <w:tcPr>
            <w:tcW w:w="1940" w:type="dxa"/>
            <w:vAlign w:val="bottom"/>
          </w:tcPr>
          <w:p>
            <w:pPr>
              <w:spacing w:after="0"/>
              <w:rPr>
                <w:sz w:val="21"/>
                <w:szCs w:val="21"/>
                <w:color w:val="auto"/>
              </w:rPr>
            </w:pPr>
          </w:p>
        </w:tc>
        <w:tc>
          <w:tcPr>
            <w:tcW w:w="7200" w:type="dxa"/>
            <w:vAlign w:val="bottom"/>
            <w:gridSpan w:val="3"/>
          </w:tcPr>
          <w:p>
            <w:pPr>
              <w:ind w:left="1140"/>
              <w:spacing w:after="0"/>
              <w:rPr>
                <w:sz w:val="20"/>
                <w:szCs w:val="20"/>
                <w:color w:val="auto"/>
              </w:rPr>
            </w:pPr>
            <w:r>
              <w:rPr>
                <w:rFonts w:ascii="Arial" w:cs="Arial" w:eastAsia="Arial" w:hAnsi="Arial"/>
                <w:sz w:val="18"/>
                <w:szCs w:val="18"/>
                <w:b w:val="1"/>
                <w:bCs w:val="1"/>
                <w:color w:val="auto"/>
              </w:rPr>
              <w:t>Securities registered pursuant to Section 12(g) of the Act: None</w:t>
            </w:r>
          </w:p>
        </w:tc>
        <w:tc>
          <w:tcPr>
            <w:tcW w:w="900" w:type="dxa"/>
            <w:vAlign w:val="bottom"/>
          </w:tcPr>
          <w:p>
            <w:pPr>
              <w:spacing w:after="0"/>
              <w:rPr>
                <w:sz w:val="21"/>
                <w:szCs w:val="21"/>
                <w:color w:val="auto"/>
              </w:rPr>
            </w:pPr>
          </w:p>
        </w:tc>
      </w:tr>
      <w:tr>
        <w:trPr>
          <w:trHeight w:val="338"/>
        </w:trPr>
        <w:tc>
          <w:tcPr>
            <w:tcW w:w="9140" w:type="dxa"/>
            <w:vAlign w:val="bottom"/>
            <w:gridSpan w:val="4"/>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 Yes R</w:t>
            </w:r>
          </w:p>
        </w:tc>
        <w:tc>
          <w:tcPr>
            <w:tcW w:w="900" w:type="dxa"/>
            <w:vAlign w:val="bottom"/>
          </w:tcPr>
          <w:p>
            <w:pPr>
              <w:ind w:left="40"/>
              <w:spacing w:after="0"/>
              <w:rPr>
                <w:sz w:val="20"/>
                <w:szCs w:val="20"/>
                <w:color w:val="auto"/>
              </w:rPr>
            </w:pPr>
            <w:r>
              <w:rPr>
                <w:rFonts w:ascii="Arial" w:cs="Arial" w:eastAsia="Arial" w:hAnsi="Arial"/>
                <w:sz w:val="18"/>
                <w:szCs w:val="18"/>
                <w:color w:val="auto"/>
              </w:rPr>
              <w:t>No o</w:t>
            </w:r>
          </w:p>
        </w:tc>
      </w:tr>
      <w:tr>
        <w:trPr>
          <w:trHeight w:val="338"/>
        </w:trPr>
        <w:tc>
          <w:tcPr>
            <w:tcW w:w="9140" w:type="dxa"/>
            <w:vAlign w:val="bottom"/>
            <w:gridSpan w:val="4"/>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 Yes o</w:t>
            </w:r>
          </w:p>
        </w:tc>
        <w:tc>
          <w:tcPr>
            <w:tcW w:w="900" w:type="dxa"/>
            <w:vAlign w:val="bottom"/>
          </w:tcPr>
          <w:p>
            <w:pPr>
              <w:ind w:left="180"/>
              <w:spacing w:after="0"/>
              <w:rPr>
                <w:sz w:val="20"/>
                <w:szCs w:val="20"/>
                <w:color w:val="auto"/>
              </w:rPr>
            </w:pPr>
            <w:r>
              <w:rPr>
                <w:rFonts w:ascii="Arial" w:cs="Arial" w:eastAsia="Arial" w:hAnsi="Arial"/>
                <w:sz w:val="18"/>
                <w:szCs w:val="18"/>
                <w:color w:val="auto"/>
              </w:rPr>
              <w:t>No R</w:t>
            </w:r>
          </w:p>
        </w:tc>
      </w:tr>
    </w:tbl>
    <w:p>
      <w:pPr>
        <w:spacing w:after="0" w:line="107" w:lineRule="exact"/>
        <w:rPr>
          <w:sz w:val="24"/>
          <w:szCs w:val="24"/>
          <w:color w:val="auto"/>
        </w:rPr>
      </w:pPr>
    </w:p>
    <w:p>
      <w:pPr>
        <w:jc w:val="both"/>
        <w:ind w:firstLine="216"/>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R No o</w:t>
      </w:r>
    </w:p>
    <w:p>
      <w:pPr>
        <w:spacing w:after="0" w:line="87" w:lineRule="exact"/>
        <w:rPr>
          <w:sz w:val="24"/>
          <w:szCs w:val="24"/>
          <w:color w:val="auto"/>
        </w:rPr>
      </w:pPr>
    </w:p>
    <w:p>
      <w:pPr>
        <w:jc w:val="both"/>
        <w:ind w:firstLine="216"/>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R No o</w:t>
      </w:r>
    </w:p>
    <w:p>
      <w:pPr>
        <w:spacing w:after="0" w:line="87" w:lineRule="exact"/>
        <w:rPr>
          <w:sz w:val="24"/>
          <w:szCs w:val="24"/>
          <w:color w:val="auto"/>
        </w:rPr>
      </w:pPr>
    </w:p>
    <w:p>
      <w:pPr>
        <w:jc w:val="both"/>
        <w:ind w:firstLine="216"/>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 229.405) is not contained herein, and will not be contained, to the best of registrant’s knowledge, in definitive proxy or information statements incorporated by reference in Part III of this Form 10-K, or any amendment to this Form 10-K. R</w:t>
      </w:r>
    </w:p>
    <w:p>
      <w:pPr>
        <w:spacing w:after="0" w:line="87" w:lineRule="exact"/>
        <w:rPr>
          <w:sz w:val="24"/>
          <w:szCs w:val="24"/>
          <w:color w:val="auto"/>
        </w:rPr>
      </w:pPr>
    </w:p>
    <w:p>
      <w:pPr>
        <w:jc w:val="both"/>
        <w:ind w:firstLine="216"/>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70" w:lineRule="exact"/>
        <w:rPr>
          <w:sz w:val="24"/>
          <w:szCs w:val="24"/>
          <w:color w:val="auto"/>
        </w:rPr>
      </w:pPr>
    </w:p>
    <w:p>
      <w:pPr>
        <w:ind w:left="320"/>
        <w:spacing w:after="0"/>
        <w:tabs>
          <w:tab w:leader="none" w:pos="3040" w:val="left"/>
          <w:tab w:leader="none" w:pos="5720" w:val="left"/>
          <w:tab w:leader="none" w:pos="8840" w:val="left"/>
        </w:tabs>
        <w:rPr>
          <w:sz w:val="20"/>
          <w:szCs w:val="20"/>
          <w:color w:val="auto"/>
        </w:rPr>
      </w:pPr>
      <w:r>
        <w:rPr>
          <w:rFonts w:ascii="Arial" w:cs="Arial" w:eastAsia="Arial" w:hAnsi="Arial"/>
          <w:sz w:val="18"/>
          <w:szCs w:val="18"/>
          <w:color w:val="auto"/>
        </w:rPr>
        <w:t>Large accelerated filer R</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6"/>
          <w:szCs w:val="16"/>
          <w:color w:val="auto"/>
        </w:rPr>
        <w:t>Smaller reporting company o</w:t>
      </w:r>
    </w:p>
    <w:p>
      <w:pPr>
        <w:spacing w:after="0" w:line="17" w:lineRule="exact"/>
        <w:rPr>
          <w:sz w:val="24"/>
          <w:szCs w:val="24"/>
          <w:color w:val="auto"/>
        </w:rPr>
      </w:pPr>
    </w:p>
    <w:p>
      <w:pPr>
        <w:ind w:left="5200"/>
        <w:spacing w:after="0"/>
        <w:rPr>
          <w:sz w:val="20"/>
          <w:szCs w:val="20"/>
          <w:color w:val="auto"/>
        </w:rPr>
      </w:pPr>
      <w:r>
        <w:rPr>
          <w:rFonts w:ascii="Arial" w:cs="Arial" w:eastAsia="Arial" w:hAnsi="Arial"/>
          <w:sz w:val="14"/>
          <w:szCs w:val="14"/>
          <w:color w:val="auto"/>
        </w:rPr>
        <w:t>(Do not check if a smaller reporting company)</w:t>
      </w:r>
    </w:p>
    <w:p>
      <w:pPr>
        <w:spacing w:after="0" w:line="9" w:lineRule="exact"/>
        <w:rPr>
          <w:sz w:val="24"/>
          <w:szCs w:val="24"/>
          <w:color w:val="auto"/>
        </w:rPr>
      </w:pPr>
    </w:p>
    <w:p>
      <w:pPr>
        <w:ind w:left="220"/>
        <w:spacing w:after="0"/>
        <w:tabs>
          <w:tab w:leader="none" w:pos="90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w:t>
        <w:tab/>
        <w:t>No R</w:t>
      </w:r>
    </w:p>
    <w:p>
      <w:pPr>
        <w:spacing w:after="0" w:line="140" w:lineRule="exact"/>
        <w:rPr>
          <w:sz w:val="24"/>
          <w:szCs w:val="24"/>
          <w:color w:val="auto"/>
        </w:rPr>
      </w:pPr>
    </w:p>
    <w:p>
      <w:pPr>
        <w:jc w:val="both"/>
        <w:ind w:firstLine="216"/>
        <w:spacing w:after="0" w:line="277" w:lineRule="auto"/>
        <w:rPr>
          <w:sz w:val="20"/>
          <w:szCs w:val="20"/>
          <w:color w:val="auto"/>
        </w:rPr>
      </w:pPr>
      <w:r>
        <w:rPr>
          <w:rFonts w:ascii="Arial" w:cs="Arial" w:eastAsia="Arial" w:hAnsi="Arial"/>
          <w:sz w:val="18"/>
          <w:szCs w:val="18"/>
          <w:color w:val="auto"/>
        </w:rPr>
        <w:t>The aggregate market value of the shares of the Old FNF common stock held by non-affiliates of the registrant as of June 30, 2014 was $8,712,752,860 based on the closing price of $32.76 as reported by the New York Stock Exchange.</w:t>
      </w:r>
    </w:p>
    <w:p>
      <w:pPr>
        <w:spacing w:after="0" w:line="170" w:lineRule="exact"/>
        <w:rPr>
          <w:sz w:val="24"/>
          <w:szCs w:val="24"/>
          <w:color w:val="auto"/>
        </w:rPr>
      </w:pPr>
    </w:p>
    <w:p>
      <w:pPr>
        <w:jc w:val="both"/>
        <w:ind w:right="20" w:firstLine="216"/>
        <w:spacing w:after="0" w:line="277" w:lineRule="auto"/>
        <w:rPr>
          <w:sz w:val="20"/>
          <w:szCs w:val="20"/>
          <w:color w:val="auto"/>
        </w:rPr>
      </w:pPr>
      <w:r>
        <w:rPr>
          <w:rFonts w:ascii="Arial" w:cs="Arial" w:eastAsia="Arial" w:hAnsi="Arial"/>
          <w:sz w:val="18"/>
          <w:szCs w:val="18"/>
          <w:color w:val="auto"/>
        </w:rPr>
        <w:t>As of February 28, 2015 there were 279,934,287 shares of FNF Group common stock outstanding and 92,405,120 shares of FNFV Group common stock outstanding.</w:t>
      </w:r>
    </w:p>
    <w:p>
      <w:pPr>
        <w:spacing w:after="0" w:line="76" w:lineRule="exact"/>
        <w:rPr>
          <w:sz w:val="24"/>
          <w:szCs w:val="24"/>
          <w:color w:val="auto"/>
        </w:rPr>
      </w:pPr>
    </w:p>
    <w:p>
      <w:pPr>
        <w:jc w:val="both"/>
        <w:ind w:firstLine="216"/>
        <w:spacing w:after="0" w:line="277" w:lineRule="auto"/>
        <w:rPr>
          <w:sz w:val="20"/>
          <w:szCs w:val="20"/>
          <w:color w:val="auto"/>
        </w:rPr>
      </w:pPr>
      <w:r>
        <w:rPr>
          <w:rFonts w:ascii="Arial" w:cs="Arial" w:eastAsia="Arial" w:hAnsi="Arial"/>
          <w:sz w:val="18"/>
          <w:szCs w:val="18"/>
          <w:color w:val="auto"/>
        </w:rPr>
        <w:t>The information in Part III hereof for the fiscal year ended December 31, 2014, will be filed within 120 days after the close of the fiscal year that is the subject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78"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940" w:type="dxa"/>
            <w:vAlign w:val="bottom"/>
            <w:gridSpan w:val="17"/>
          </w:tcPr>
          <w:p>
            <w:pPr>
              <w:jc w:val="center"/>
              <w:ind w:right="2180"/>
              <w:spacing w:after="0"/>
              <w:rPr>
                <w:sz w:val="20"/>
                <w:szCs w:val="20"/>
                <w:color w:val="auto"/>
              </w:rPr>
            </w:pPr>
            <w:r>
              <w:rPr>
                <w:rFonts w:ascii="Arial" w:cs="Arial" w:eastAsia="Arial" w:hAnsi="Arial"/>
                <w:sz w:val="18"/>
                <w:szCs w:val="18"/>
                <w:b w:val="1"/>
                <w:bCs w:val="1"/>
                <w:color w:val="auto"/>
              </w:rPr>
              <w:t>FIDELITY NATIONAL FINANCIAL, INC.</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380" w:type="dxa"/>
            <w:vAlign w:val="bottom"/>
            <w:gridSpan w:val="14"/>
          </w:tcPr>
          <w:p>
            <w:pPr>
              <w:jc w:val="center"/>
              <w:ind w:right="3760"/>
              <w:spacing w:after="0"/>
              <w:rPr>
                <w:sz w:val="20"/>
                <w:szCs w:val="20"/>
                <w:color w:val="auto"/>
              </w:rPr>
            </w:pPr>
            <w:r>
              <w:rPr>
                <w:rFonts w:ascii="Arial" w:cs="Arial" w:eastAsia="Arial" w:hAnsi="Arial"/>
                <w:sz w:val="18"/>
                <w:szCs w:val="18"/>
                <w:b w:val="1"/>
                <w:bCs w:val="1"/>
                <w:color w:val="auto"/>
              </w:rPr>
              <w:t>FORM 10-K</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60" w:type="dxa"/>
            <w:vAlign w:val="bottom"/>
            <w:gridSpan w:val="15"/>
          </w:tcPr>
          <w:p>
            <w:pPr>
              <w:jc w:val="center"/>
              <w:ind w:right="3460"/>
              <w:spacing w:after="0"/>
              <w:rPr>
                <w:sz w:val="20"/>
                <w:szCs w:val="20"/>
                <w:color w:val="auto"/>
              </w:rPr>
            </w:pPr>
            <w:r>
              <w:rPr>
                <w:rFonts w:ascii="Arial" w:cs="Arial" w:eastAsia="Arial" w:hAnsi="Arial"/>
                <w:sz w:val="18"/>
                <w:szCs w:val="18"/>
                <w:b w:val="1"/>
                <w:bCs w:val="1"/>
                <w:color w:val="auto"/>
                <w:w w:val="98"/>
              </w:rPr>
              <w:t>TABLE OF CONTENTS</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gridSpan w:val="4"/>
          </w:tcPr>
          <w:p>
            <w:pPr>
              <w:jc w:val="center"/>
              <w:spacing w:after="0"/>
              <w:rPr>
                <w:sz w:val="20"/>
                <w:szCs w:val="20"/>
                <w:color w:val="auto"/>
              </w:rPr>
            </w:pPr>
            <w:r>
              <w:rPr>
                <w:rFonts w:ascii="Arial" w:cs="Arial" w:eastAsia="Arial" w:hAnsi="Arial"/>
                <w:sz w:val="16"/>
                <w:szCs w:val="16"/>
                <w:b w:val="1"/>
                <w:bCs w:val="1"/>
                <w:color w:val="auto"/>
                <w:w w:val="88"/>
              </w:rPr>
              <w:t>Page</w:t>
            </w:r>
          </w:p>
        </w:tc>
        <w:tc>
          <w:tcPr>
            <w:tcW w:w="0" w:type="dxa"/>
            <w:vAlign w:val="bottom"/>
          </w:tcPr>
          <w:p>
            <w:pPr>
              <w:spacing w:after="0"/>
              <w:rPr>
                <w:sz w:val="1"/>
                <w:szCs w:val="1"/>
                <w:color w:val="auto"/>
              </w:rPr>
            </w:pPr>
          </w:p>
        </w:tc>
      </w:tr>
      <w:tr>
        <w:trPr>
          <w:trHeight w:val="210"/>
        </w:trPr>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5"/>
              </w:rPr>
              <w:t>Number</w:t>
            </w:r>
          </w:p>
        </w:tc>
        <w:tc>
          <w:tcPr>
            <w:tcW w:w="0" w:type="dxa"/>
            <w:vAlign w:val="bottom"/>
          </w:tcPr>
          <w:p>
            <w:pPr>
              <w:spacing w:after="0"/>
              <w:rPr>
                <w:sz w:val="1"/>
                <w:szCs w:val="1"/>
                <w:color w:val="auto"/>
              </w:rPr>
            </w:pPr>
          </w:p>
        </w:tc>
      </w:tr>
      <w:tr>
        <w:trPr>
          <w:trHeight w:val="33"/>
        </w:trPr>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vMerge w:val="restart"/>
          </w:tcPr>
          <w:p>
            <w:pPr>
              <w:spacing w:after="0"/>
              <w:rPr>
                <w:sz w:val="2"/>
                <w:szCs w:val="2"/>
                <w:color w:val="auto"/>
              </w:rPr>
            </w:pPr>
          </w:p>
        </w:tc>
        <w:tc>
          <w:tcPr>
            <w:tcW w:w="4860" w:type="dxa"/>
            <w:vAlign w:val="bottom"/>
            <w:gridSpan w:val="11"/>
            <w:vMerge w:val="restart"/>
          </w:tcPr>
          <w:p>
            <w:pPr>
              <w:jc w:val="center"/>
              <w:ind w:right="4280"/>
              <w:spacing w:after="0"/>
              <w:rPr>
                <w:rFonts w:ascii="Arial" w:cs="Arial" w:eastAsia="Arial" w:hAnsi="Arial"/>
                <w:sz w:val="18"/>
                <w:szCs w:val="18"/>
                <w:b w:val="1"/>
                <w:bCs w:val="1"/>
                <w:color w:val="0000EE"/>
                <w:w w:val="98"/>
              </w:rPr>
            </w:pPr>
            <w:hyperlink w:anchor="page2">
              <w:r>
                <w:rPr>
                  <w:rFonts w:ascii="Arial" w:cs="Arial" w:eastAsia="Arial" w:hAnsi="Arial"/>
                  <w:sz w:val="18"/>
                  <w:szCs w:val="18"/>
                  <w:b w:val="1"/>
                  <w:bCs w:val="1"/>
                  <w:color w:val="0000EE"/>
                  <w:w w:val="98"/>
                </w:rPr>
                <w:t>PART I</w:t>
              </w:r>
            </w:hyperlink>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vMerge w:val="continue"/>
          </w:tcPr>
          <w:p>
            <w:pPr>
              <w:spacing w:after="0"/>
              <w:rPr>
                <w:sz w:val="24"/>
                <w:szCs w:val="24"/>
                <w:color w:val="auto"/>
              </w:rPr>
            </w:pPr>
          </w:p>
        </w:tc>
        <w:tc>
          <w:tcPr>
            <w:tcW w:w="4860" w:type="dxa"/>
            <w:vAlign w:val="bottom"/>
            <w:gridSpan w:val="11"/>
            <w:vMerge w:val="continue"/>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4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4440" w:type="dxa"/>
            <w:vAlign w:val="bottom"/>
            <w:gridSpan w:val="16"/>
          </w:tcPr>
          <w:p>
            <w:pPr>
              <w:ind w:left="320"/>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580" w:type="dxa"/>
            <w:vAlign w:val="bottom"/>
            <w:tcBorders>
              <w:top w:val="single" w:sz="8" w:color="0000EE"/>
            </w:tcBorders>
            <w:gridSpan w:val="2"/>
          </w:tcPr>
          <w:p>
            <w:pPr>
              <w:spacing w:after="0"/>
              <w:rPr>
                <w:sz w:val="21"/>
                <w:szCs w:val="21"/>
                <w:color w:val="auto"/>
              </w:rPr>
            </w:pPr>
          </w:p>
        </w:tc>
        <w:tc>
          <w:tcPr>
            <w:tcW w:w="4280" w:type="dxa"/>
            <w:vAlign w:val="bottom"/>
            <w:gridSpan w:val="9"/>
          </w:tcPr>
          <w:p>
            <w:pPr>
              <w:spacing w:after="0"/>
              <w:rPr>
                <w:sz w:val="21"/>
                <w:szCs w:val="21"/>
                <w:color w:val="auto"/>
              </w:rPr>
            </w:pPr>
          </w:p>
        </w:tc>
        <w:tc>
          <w:tcPr>
            <w:tcW w:w="660" w:type="dxa"/>
            <w:vAlign w:val="bottom"/>
            <w:gridSpan w:val="3"/>
          </w:tcPr>
          <w:p>
            <w:pPr>
              <w:jc w:val="center"/>
              <w:ind w:left="391"/>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17">
              <w:r>
                <w:rPr>
                  <w:rFonts w:ascii="Arial" w:cs="Arial" w:eastAsia="Arial" w:hAnsi="Arial"/>
                  <w:sz w:val="18"/>
                  <w:szCs w:val="18"/>
                  <w:color w:val="0000EE"/>
                  <w:w w:val="80"/>
                </w:rPr>
                <w:t>Item 1A.</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660" w:type="dxa"/>
            <w:vAlign w:val="bottom"/>
            <w:gridSpan w:val="3"/>
          </w:tcPr>
          <w:p>
            <w:pPr>
              <w:jc w:val="center"/>
              <w:ind w:left="391"/>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15</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28">
              <w:r>
                <w:rPr>
                  <w:rFonts w:ascii="Arial" w:cs="Arial" w:eastAsia="Arial" w:hAnsi="Arial"/>
                  <w:sz w:val="18"/>
                  <w:szCs w:val="18"/>
                  <w:color w:val="0000EE"/>
                  <w:w w:val="80"/>
                </w:rPr>
                <w:t>Item 1B.</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Arial" w:cs="Arial" w:eastAsia="Arial" w:hAnsi="Arial"/>
                <w:sz w:val="18"/>
                <w:szCs w:val="18"/>
                <w:color w:val="0000EE"/>
              </w:rPr>
            </w:pPr>
            <w:hyperlink w:anchor="page28">
              <w:r>
                <w:rPr>
                  <w:rFonts w:ascii="Arial" w:cs="Arial" w:eastAsia="Arial" w:hAnsi="Arial"/>
                  <w:sz w:val="18"/>
                  <w:szCs w:val="18"/>
                  <w:color w:val="0000EE"/>
                </w:rPr>
                <w:t>Unresolved Staff Comments</w:t>
              </w:r>
            </w:hyperlink>
          </w:p>
        </w:tc>
        <w:tc>
          <w:tcPr>
            <w:tcW w:w="660" w:type="dxa"/>
            <w:vAlign w:val="bottom"/>
            <w:gridSpan w:val="3"/>
          </w:tcPr>
          <w:p>
            <w:pPr>
              <w:jc w:val="center"/>
              <w:ind w:left="391"/>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26</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98"/>
              </w:rPr>
            </w:pPr>
            <w:hyperlink w:anchor="page28">
              <w:r>
                <w:rPr>
                  <w:rFonts w:ascii="Arial" w:cs="Arial" w:eastAsia="Arial" w:hAnsi="Arial"/>
                  <w:sz w:val="18"/>
                  <w:szCs w:val="18"/>
                  <w:color w:val="0000EE"/>
                  <w:w w:val="98"/>
                </w:rPr>
                <w:t>Item 2.</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Arial" w:cs="Arial" w:eastAsia="Arial" w:hAnsi="Arial"/>
                <w:sz w:val="18"/>
                <w:szCs w:val="18"/>
                <w:color w:val="0000EE"/>
              </w:rPr>
            </w:pPr>
            <w:hyperlink w:anchor="page28">
              <w:r>
                <w:rPr>
                  <w:rFonts w:ascii="Arial" w:cs="Arial" w:eastAsia="Arial" w:hAnsi="Arial"/>
                  <w:sz w:val="18"/>
                  <w:szCs w:val="18"/>
                  <w:color w:val="0000EE"/>
                </w:rPr>
                <w:t>Properties</w:t>
              </w:r>
            </w:hyperlink>
          </w:p>
        </w:tc>
        <w:tc>
          <w:tcPr>
            <w:tcW w:w="660" w:type="dxa"/>
            <w:vAlign w:val="bottom"/>
            <w:gridSpan w:val="3"/>
          </w:tcPr>
          <w:p>
            <w:pPr>
              <w:jc w:val="center"/>
              <w:ind w:left="391"/>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26</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gridSpan w:val="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3.</w:t>
              </w:r>
            </w:hyperlink>
          </w:p>
        </w:tc>
        <w:tc>
          <w:tcPr>
            <w:tcW w:w="9300" w:type="dxa"/>
            <w:vAlign w:val="bottom"/>
            <w:gridSpan w:val="27"/>
          </w:tcPr>
          <w:p>
            <w:pPr>
              <w:ind w:left="320"/>
              <w:spacing w:after="0"/>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660" w:type="dxa"/>
            <w:vAlign w:val="bottom"/>
            <w:gridSpan w:val="3"/>
          </w:tcPr>
          <w:p>
            <w:pPr>
              <w:jc w:val="center"/>
              <w:ind w:left="391"/>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26</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5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PART II</w:t>
              </w:r>
            </w:hyperlink>
          </w:p>
        </w:tc>
        <w:tc>
          <w:tcPr>
            <w:tcW w:w="4240" w:type="dxa"/>
            <w:vAlign w:val="bottom"/>
            <w:gridSpan w:val="8"/>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40" w:type="dxa"/>
            <w:vAlign w:val="bottom"/>
            <w:gridSpan w:val="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Item 5.</w:t>
              </w:r>
            </w:hyperlink>
          </w:p>
        </w:tc>
        <w:tc>
          <w:tcPr>
            <w:tcW w:w="9300" w:type="dxa"/>
            <w:vAlign w:val="bottom"/>
            <w:gridSpan w:val="27"/>
          </w:tcPr>
          <w:p>
            <w:pPr>
              <w:ind w:left="320"/>
              <w:spacing w:after="0"/>
              <w:rPr>
                <w:rFonts w:ascii="Arial" w:cs="Arial" w:eastAsia="Arial" w:hAnsi="Arial"/>
                <w:sz w:val="18"/>
                <w:szCs w:val="18"/>
                <w:color w:val="0000EE"/>
              </w:rPr>
            </w:pPr>
            <w:hyperlink w:anchor="page28">
              <w:r>
                <w:rPr>
                  <w:rFonts w:ascii="Arial" w:cs="Arial" w:eastAsia="Arial" w:hAnsi="Arial"/>
                  <w:sz w:val="18"/>
                  <w:szCs w:val="18"/>
                  <w:color w:val="0000EE"/>
                </w:rPr>
                <w:t>Market for Registrant’s Common Equity, Related Stockholder Matters and Issuer Purchases of Equity Securities</w:t>
              </w:r>
            </w:hyperlink>
          </w:p>
        </w:tc>
        <w:tc>
          <w:tcPr>
            <w:tcW w:w="660" w:type="dxa"/>
            <w:vAlign w:val="bottom"/>
            <w:gridSpan w:val="3"/>
          </w:tcPr>
          <w:p>
            <w:pPr>
              <w:jc w:val="center"/>
              <w:ind w:left="391"/>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26</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gridSpan w:val="3"/>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6.</w:t>
              </w:r>
            </w:hyperlink>
          </w:p>
        </w:tc>
        <w:tc>
          <w:tcPr>
            <w:tcW w:w="9300" w:type="dxa"/>
            <w:vAlign w:val="bottom"/>
            <w:gridSpan w:val="27"/>
          </w:tcPr>
          <w:p>
            <w:pPr>
              <w:ind w:left="320"/>
              <w:spacing w:after="0"/>
              <w:rPr>
                <w:rFonts w:ascii="Arial" w:cs="Arial" w:eastAsia="Arial" w:hAnsi="Arial"/>
                <w:sz w:val="18"/>
                <w:szCs w:val="18"/>
                <w:color w:val="0000EE"/>
              </w:rPr>
            </w:pPr>
            <w:hyperlink w:anchor="page33">
              <w:r>
                <w:rPr>
                  <w:rFonts w:ascii="Arial" w:cs="Arial" w:eastAsia="Arial" w:hAnsi="Arial"/>
                  <w:sz w:val="18"/>
                  <w:szCs w:val="18"/>
                  <w:color w:val="0000EE"/>
                </w:rPr>
                <w:t>Selected Financial Data</w:t>
              </w:r>
            </w:hyperlink>
          </w:p>
        </w:tc>
        <w:tc>
          <w:tcPr>
            <w:tcW w:w="660" w:type="dxa"/>
            <w:vAlign w:val="bottom"/>
            <w:gridSpan w:val="3"/>
          </w:tcPr>
          <w:p>
            <w:pPr>
              <w:jc w:val="center"/>
              <w:ind w:left="391"/>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31</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gridSpan w:val="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7.</w:t>
              </w:r>
            </w:hyperlink>
          </w:p>
        </w:tc>
        <w:tc>
          <w:tcPr>
            <w:tcW w:w="9300" w:type="dxa"/>
            <w:vAlign w:val="bottom"/>
            <w:gridSpan w:val="27"/>
          </w:tcPr>
          <w:p>
            <w:pPr>
              <w:ind w:left="320"/>
              <w:spacing w:after="0"/>
              <w:rPr>
                <w:rFonts w:ascii="Arial" w:cs="Arial" w:eastAsia="Arial" w:hAnsi="Arial"/>
                <w:sz w:val="18"/>
                <w:szCs w:val="18"/>
                <w:color w:val="0000EE"/>
              </w:rPr>
            </w:pPr>
            <w:hyperlink w:anchor="page36">
              <w:r>
                <w:rPr>
                  <w:rFonts w:ascii="Arial" w:cs="Arial" w:eastAsia="Arial" w:hAnsi="Arial"/>
                  <w:sz w:val="18"/>
                  <w:szCs w:val="18"/>
                  <w:color w:val="0000EE"/>
                </w:rPr>
                <w:t>Management’s Discussion and Analysis of Financial Condition and Results of Operations</w:t>
              </w:r>
            </w:hyperlink>
          </w:p>
        </w:tc>
        <w:tc>
          <w:tcPr>
            <w:tcW w:w="660" w:type="dxa"/>
            <w:vAlign w:val="bottom"/>
            <w:gridSpan w:val="3"/>
          </w:tcPr>
          <w:p>
            <w:pPr>
              <w:jc w:val="center"/>
              <w:ind w:left="391"/>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35</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60">
              <w:r>
                <w:rPr>
                  <w:rFonts w:ascii="Arial" w:cs="Arial" w:eastAsia="Arial" w:hAnsi="Arial"/>
                  <w:sz w:val="18"/>
                  <w:szCs w:val="18"/>
                  <w:color w:val="0000EE"/>
                  <w:w w:val="80"/>
                </w:rPr>
                <w:t>Item 7A.</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Arial" w:cs="Arial" w:eastAsia="Arial" w:hAnsi="Arial"/>
                <w:sz w:val="18"/>
                <w:szCs w:val="18"/>
                <w:color w:val="0000EE"/>
              </w:rPr>
            </w:pPr>
            <w:hyperlink w:anchor="page60">
              <w:r>
                <w:rPr>
                  <w:rFonts w:ascii="Arial" w:cs="Arial" w:eastAsia="Arial" w:hAnsi="Arial"/>
                  <w:sz w:val="18"/>
                  <w:szCs w:val="18"/>
                  <w:color w:val="0000EE"/>
                </w:rPr>
                <w:t>Quantitative and Qualitative Disclosure About Market Risk</w:t>
              </w:r>
            </w:hyperlink>
          </w:p>
        </w:tc>
        <w:tc>
          <w:tcPr>
            <w:tcW w:w="660" w:type="dxa"/>
            <w:vAlign w:val="bottom"/>
            <w:gridSpan w:val="3"/>
          </w:tcPr>
          <w:p>
            <w:pPr>
              <w:jc w:val="center"/>
              <w:ind w:left="391"/>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58</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98"/>
              </w:rPr>
            </w:pPr>
            <w:hyperlink w:anchor="page61">
              <w:r>
                <w:rPr>
                  <w:rFonts w:ascii="Arial" w:cs="Arial" w:eastAsia="Arial" w:hAnsi="Arial"/>
                  <w:sz w:val="18"/>
                  <w:szCs w:val="18"/>
                  <w:color w:val="0000EE"/>
                  <w:w w:val="98"/>
                </w:rPr>
                <w:t>Item 8.</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Arial" w:cs="Arial" w:eastAsia="Arial" w:hAnsi="Arial"/>
                <w:sz w:val="18"/>
                <w:szCs w:val="18"/>
                <w:color w:val="0000EE"/>
              </w:rPr>
            </w:pPr>
            <w:hyperlink w:anchor="page61">
              <w:r>
                <w:rPr>
                  <w:rFonts w:ascii="Arial" w:cs="Arial" w:eastAsia="Arial" w:hAnsi="Arial"/>
                  <w:sz w:val="18"/>
                  <w:szCs w:val="18"/>
                  <w:color w:val="0000EE"/>
                </w:rPr>
                <w:t>Financial Statements and Supplementary Data</w:t>
              </w:r>
            </w:hyperlink>
          </w:p>
        </w:tc>
        <w:tc>
          <w:tcPr>
            <w:tcW w:w="660" w:type="dxa"/>
            <w:vAlign w:val="bottom"/>
            <w:gridSpan w:val="3"/>
          </w:tcPr>
          <w:p>
            <w:pPr>
              <w:jc w:val="center"/>
              <w:ind w:left="391"/>
              <w:spacing w:after="0"/>
              <w:rPr>
                <w:rFonts w:ascii="Arial" w:cs="Arial" w:eastAsia="Arial" w:hAnsi="Arial"/>
                <w:sz w:val="18"/>
                <w:szCs w:val="18"/>
                <w:color w:val="0000EE"/>
                <w:w w:val="89"/>
              </w:rPr>
            </w:pPr>
            <w:hyperlink w:anchor="page61">
              <w:r>
                <w:rPr>
                  <w:rFonts w:ascii="Arial" w:cs="Arial" w:eastAsia="Arial" w:hAnsi="Arial"/>
                  <w:sz w:val="18"/>
                  <w:szCs w:val="18"/>
                  <w:color w:val="0000EE"/>
                  <w:w w:val="89"/>
                </w:rPr>
                <w:t>60</w:t>
              </w:r>
            </w:hyperlink>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40" w:type="dxa"/>
            <w:vAlign w:val="bottom"/>
            <w:gridSpan w:val="3"/>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Item 9.</w:t>
              </w:r>
            </w:hyperlink>
          </w:p>
        </w:tc>
        <w:tc>
          <w:tcPr>
            <w:tcW w:w="9300" w:type="dxa"/>
            <w:vAlign w:val="bottom"/>
            <w:gridSpan w:val="27"/>
          </w:tcPr>
          <w:p>
            <w:pPr>
              <w:ind w:left="320"/>
              <w:spacing w:after="0"/>
              <w:rPr>
                <w:rFonts w:ascii="Arial" w:cs="Arial" w:eastAsia="Arial" w:hAnsi="Arial"/>
                <w:sz w:val="18"/>
                <w:szCs w:val="18"/>
                <w:color w:val="0000EE"/>
              </w:rPr>
            </w:pPr>
            <w:hyperlink w:anchor="page116">
              <w:r>
                <w:rPr>
                  <w:rFonts w:ascii="Arial" w:cs="Arial" w:eastAsia="Arial" w:hAnsi="Arial"/>
                  <w:sz w:val="18"/>
                  <w:szCs w:val="18"/>
                  <w:color w:val="0000EE"/>
                </w:rPr>
                <w:t>Changes in and Disagreements With Accountants on Accounting and Financial Disclosure</w:t>
              </w:r>
            </w:hyperlink>
          </w:p>
        </w:tc>
        <w:tc>
          <w:tcPr>
            <w:tcW w:w="1140" w:type="dxa"/>
            <w:vAlign w:val="bottom"/>
            <w:gridSpan w:val="4"/>
          </w:tcPr>
          <w:p>
            <w:pPr>
              <w:jc w:val="center"/>
              <w:spacing w:after="0"/>
              <w:rPr>
                <w:rFonts w:ascii="Arial" w:cs="Arial" w:eastAsia="Arial" w:hAnsi="Arial"/>
                <w:sz w:val="18"/>
                <w:szCs w:val="18"/>
                <w:color w:val="0000EE"/>
                <w:w w:val="86"/>
              </w:rPr>
            </w:pPr>
            <w:hyperlink w:anchor="page116">
              <w:r>
                <w:rPr>
                  <w:rFonts w:ascii="Arial" w:cs="Arial" w:eastAsia="Arial" w:hAnsi="Arial"/>
                  <w:sz w:val="18"/>
                  <w:szCs w:val="18"/>
                  <w:color w:val="0000EE"/>
                  <w:w w:val="86"/>
                </w:rPr>
                <w:t>112</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117">
              <w:r>
                <w:rPr>
                  <w:rFonts w:ascii="Arial" w:cs="Arial" w:eastAsia="Arial" w:hAnsi="Arial"/>
                  <w:sz w:val="18"/>
                  <w:szCs w:val="18"/>
                  <w:color w:val="0000EE"/>
                  <w:w w:val="80"/>
                </w:rPr>
                <w:t>Item 9A.</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Arial" w:cs="Arial" w:eastAsia="Arial" w:hAnsi="Arial"/>
                <w:sz w:val="18"/>
                <w:szCs w:val="18"/>
                <w:color w:val="0000EE"/>
              </w:rPr>
            </w:pPr>
            <w:hyperlink w:anchor="page117">
              <w:r>
                <w:rPr>
                  <w:rFonts w:ascii="Arial" w:cs="Arial" w:eastAsia="Arial" w:hAnsi="Arial"/>
                  <w:sz w:val="18"/>
                  <w:szCs w:val="18"/>
                  <w:color w:val="0000EE"/>
                </w:rPr>
                <w:t>Controls and Procedures</w:t>
              </w:r>
            </w:hyperlink>
          </w:p>
        </w:tc>
        <w:tc>
          <w:tcPr>
            <w:tcW w:w="1140" w:type="dxa"/>
            <w:vAlign w:val="bottom"/>
            <w:gridSpan w:val="4"/>
          </w:tcPr>
          <w:p>
            <w:pPr>
              <w:jc w:val="center"/>
              <w:spacing w:after="0"/>
              <w:rPr>
                <w:rFonts w:ascii="Arial" w:cs="Arial" w:eastAsia="Arial" w:hAnsi="Arial"/>
                <w:sz w:val="18"/>
                <w:szCs w:val="18"/>
                <w:color w:val="0000EE"/>
                <w:w w:val="86"/>
              </w:rPr>
            </w:pPr>
            <w:hyperlink w:anchor="page117">
              <w:r>
                <w:rPr>
                  <w:rFonts w:ascii="Arial" w:cs="Arial" w:eastAsia="Arial" w:hAnsi="Arial"/>
                  <w:sz w:val="18"/>
                  <w:szCs w:val="18"/>
                  <w:color w:val="0000EE"/>
                  <w:w w:val="86"/>
                </w:rPr>
                <w:t>112</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117">
              <w:r>
                <w:rPr>
                  <w:rFonts w:ascii="Arial" w:cs="Arial" w:eastAsia="Arial" w:hAnsi="Arial"/>
                  <w:sz w:val="18"/>
                  <w:szCs w:val="18"/>
                  <w:color w:val="0000EE"/>
                  <w:w w:val="80"/>
                </w:rPr>
                <w:t>Item 9B.</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Arial" w:cs="Arial" w:eastAsia="Arial" w:hAnsi="Arial"/>
                <w:sz w:val="18"/>
                <w:szCs w:val="18"/>
                <w:color w:val="0000EE"/>
              </w:rPr>
            </w:pPr>
            <w:hyperlink w:anchor="page117">
              <w:r>
                <w:rPr>
                  <w:rFonts w:ascii="Arial" w:cs="Arial" w:eastAsia="Arial" w:hAnsi="Arial"/>
                  <w:sz w:val="18"/>
                  <w:szCs w:val="18"/>
                  <w:color w:val="0000EE"/>
                </w:rPr>
                <w:t>Other Information</w:t>
              </w:r>
            </w:hyperlink>
          </w:p>
        </w:tc>
        <w:tc>
          <w:tcPr>
            <w:tcW w:w="1140" w:type="dxa"/>
            <w:vAlign w:val="bottom"/>
            <w:gridSpan w:val="4"/>
          </w:tcPr>
          <w:p>
            <w:pPr>
              <w:jc w:val="center"/>
              <w:spacing w:after="0"/>
              <w:rPr>
                <w:rFonts w:ascii="Arial" w:cs="Arial" w:eastAsia="Arial" w:hAnsi="Arial"/>
                <w:sz w:val="18"/>
                <w:szCs w:val="18"/>
                <w:color w:val="0000EE"/>
                <w:w w:val="86"/>
              </w:rPr>
            </w:pPr>
            <w:hyperlink w:anchor="page117">
              <w:r>
                <w:rPr>
                  <w:rFonts w:ascii="Arial" w:cs="Arial" w:eastAsia="Arial" w:hAnsi="Arial"/>
                  <w:sz w:val="18"/>
                  <w:szCs w:val="18"/>
                  <w:color w:val="0000EE"/>
                  <w:w w:val="86"/>
                </w:rPr>
                <w:t>112</w:t>
              </w:r>
            </w:hyperlink>
          </w:p>
        </w:tc>
        <w:tc>
          <w:tcPr>
            <w:tcW w:w="0" w:type="dxa"/>
            <w:vAlign w:val="bottom"/>
          </w:tcPr>
          <w:p>
            <w:pPr>
              <w:spacing w:after="0"/>
              <w:rPr>
                <w:sz w:val="1"/>
                <w:szCs w:val="1"/>
                <w:color w:val="auto"/>
              </w:rPr>
            </w:pPr>
          </w:p>
        </w:tc>
      </w:tr>
      <w:tr>
        <w:trPr>
          <w:trHeight w:val="520"/>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tcBorders>
              <w:bottom w:val="single" w:sz="8" w:color="0000EE"/>
            </w:tcBorders>
            <w:gridSpan w:val="7"/>
          </w:tcPr>
          <w:p>
            <w:pPr>
              <w:jc w:val="center"/>
              <w:spacing w:after="0"/>
              <w:rPr>
                <w:rFonts w:ascii="Arial" w:cs="Arial" w:eastAsia="Arial" w:hAnsi="Arial"/>
                <w:sz w:val="18"/>
                <w:szCs w:val="18"/>
                <w:b w:val="1"/>
                <w:bCs w:val="1"/>
                <w:color w:val="0000EE"/>
              </w:rPr>
            </w:pPr>
            <w:hyperlink w:anchor="page117">
              <w:r>
                <w:rPr>
                  <w:rFonts w:ascii="Arial" w:cs="Arial" w:eastAsia="Arial" w:hAnsi="Arial"/>
                  <w:sz w:val="18"/>
                  <w:szCs w:val="18"/>
                  <w:b w:val="1"/>
                  <w:bCs w:val="1"/>
                  <w:color w:val="0000EE"/>
                </w:rPr>
                <w:t>PART III</w:t>
              </w:r>
            </w:hyperlink>
          </w:p>
        </w:tc>
        <w:tc>
          <w:tcPr>
            <w:tcW w:w="4200" w:type="dxa"/>
            <w:vAlign w:val="bottom"/>
            <w:gridSpan w:val="6"/>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117">
              <w:r>
                <w:rPr>
                  <w:rFonts w:ascii="Arial" w:cs="Arial" w:eastAsia="Arial" w:hAnsi="Arial"/>
                  <w:sz w:val="18"/>
                  <w:szCs w:val="18"/>
                  <w:color w:val="0000EE"/>
                  <w:w w:val="82"/>
                </w:rPr>
                <w:t>Item 10.</w:t>
              </w:r>
            </w:hyperlink>
          </w:p>
        </w:tc>
        <w:tc>
          <w:tcPr>
            <w:tcW w:w="360" w:type="dxa"/>
            <w:vAlign w:val="bottom"/>
          </w:tcPr>
          <w:p>
            <w:pPr>
              <w:spacing w:after="0"/>
              <w:rPr>
                <w:sz w:val="21"/>
                <w:szCs w:val="21"/>
                <w:color w:val="auto"/>
              </w:rPr>
            </w:pPr>
          </w:p>
        </w:tc>
        <w:tc>
          <w:tcPr>
            <w:tcW w:w="9300" w:type="dxa"/>
            <w:vAlign w:val="bottom"/>
            <w:gridSpan w:val="27"/>
          </w:tcPr>
          <w:p>
            <w:pPr>
              <w:ind w:left="320"/>
              <w:spacing w:after="0"/>
              <w:rPr>
                <w:rFonts w:ascii="Arial" w:cs="Arial" w:eastAsia="Arial" w:hAnsi="Arial"/>
                <w:sz w:val="18"/>
                <w:szCs w:val="18"/>
                <w:color w:val="0000EE"/>
              </w:rPr>
            </w:pPr>
            <w:hyperlink w:anchor="page117">
              <w:r>
                <w:rPr>
                  <w:rFonts w:ascii="Arial" w:cs="Arial" w:eastAsia="Arial" w:hAnsi="Arial"/>
                  <w:sz w:val="18"/>
                  <w:szCs w:val="18"/>
                  <w:color w:val="0000EE"/>
                </w:rPr>
                <w:t>Directors and Executive Officers of the Registrant</w:t>
              </w:r>
            </w:hyperlink>
          </w:p>
        </w:tc>
        <w:tc>
          <w:tcPr>
            <w:tcW w:w="1140" w:type="dxa"/>
            <w:vAlign w:val="bottom"/>
            <w:gridSpan w:val="4"/>
          </w:tcPr>
          <w:p>
            <w:pPr>
              <w:jc w:val="center"/>
              <w:spacing w:after="0"/>
              <w:rPr>
                <w:rFonts w:ascii="Arial" w:cs="Arial" w:eastAsia="Arial" w:hAnsi="Arial"/>
                <w:sz w:val="18"/>
                <w:szCs w:val="18"/>
                <w:color w:val="0000EE"/>
                <w:w w:val="86"/>
              </w:rPr>
            </w:pPr>
            <w:hyperlink w:anchor="page117">
              <w:r>
                <w:rPr>
                  <w:rFonts w:ascii="Arial" w:cs="Arial" w:eastAsia="Arial" w:hAnsi="Arial"/>
                  <w:sz w:val="18"/>
                  <w:szCs w:val="18"/>
                  <w:color w:val="0000EE"/>
                  <w:w w:val="86"/>
                </w:rPr>
                <w:t>112</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sz w:val="20"/>
                <w:szCs w:val="20"/>
                <w:color w:val="auto"/>
              </w:rPr>
            </w:pPr>
            <w:r>
              <w:rPr>
                <w:rFonts w:ascii="Arial" w:cs="Arial" w:eastAsia="Arial" w:hAnsi="Arial"/>
                <w:sz w:val="18"/>
                <w:szCs w:val="18"/>
                <w:color w:val="0000EE"/>
                <w:w w:val="82"/>
              </w:rPr>
              <w:t>Item 11.</w:t>
            </w:r>
          </w:p>
        </w:tc>
        <w:tc>
          <w:tcPr>
            <w:tcW w:w="360" w:type="dxa"/>
            <w:vAlign w:val="bottom"/>
          </w:tcPr>
          <w:p>
            <w:pPr>
              <w:spacing w:after="0"/>
              <w:rPr>
                <w:sz w:val="21"/>
                <w:szCs w:val="21"/>
                <w:color w:val="auto"/>
              </w:rPr>
            </w:pPr>
          </w:p>
        </w:tc>
        <w:tc>
          <w:tcPr>
            <w:tcW w:w="9300" w:type="dxa"/>
            <w:vAlign w:val="bottom"/>
            <w:gridSpan w:val="27"/>
          </w:tcPr>
          <w:p>
            <w:pPr>
              <w:ind w:left="320"/>
              <w:spacing w:after="0"/>
              <w:rPr>
                <w:sz w:val="20"/>
                <w:szCs w:val="20"/>
                <w:color w:val="auto"/>
              </w:rPr>
            </w:pPr>
            <w:r>
              <w:rPr>
                <w:rFonts w:ascii="Arial" w:cs="Arial" w:eastAsia="Arial" w:hAnsi="Arial"/>
                <w:sz w:val="18"/>
                <w:szCs w:val="18"/>
                <w:color w:val="0000EE"/>
              </w:rPr>
              <w:t>Executive Compensation</w:t>
            </w:r>
          </w:p>
        </w:tc>
        <w:tc>
          <w:tcPr>
            <w:tcW w:w="1140" w:type="dxa"/>
            <w:vAlign w:val="bottom"/>
            <w:gridSpan w:val="4"/>
          </w:tcPr>
          <w:p>
            <w:pPr>
              <w:jc w:val="center"/>
              <w:spacing w:after="0"/>
              <w:rPr>
                <w:rFonts w:ascii="Arial" w:cs="Arial" w:eastAsia="Arial" w:hAnsi="Arial"/>
                <w:sz w:val="18"/>
                <w:szCs w:val="18"/>
                <w:color w:val="0000EE"/>
                <w:w w:val="86"/>
              </w:rPr>
            </w:pPr>
            <w:hyperlink w:anchor="page117">
              <w:r>
                <w:rPr>
                  <w:rFonts w:ascii="Arial" w:cs="Arial" w:eastAsia="Arial" w:hAnsi="Arial"/>
                  <w:sz w:val="18"/>
                  <w:szCs w:val="18"/>
                  <w:color w:val="0000EE"/>
                  <w:w w:val="86"/>
                </w:rPr>
                <w:t>112</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sz w:val="20"/>
                <w:szCs w:val="20"/>
                <w:color w:val="auto"/>
              </w:rPr>
            </w:pPr>
            <w:r>
              <w:rPr>
                <w:rFonts w:ascii="Arial" w:cs="Arial" w:eastAsia="Arial" w:hAnsi="Arial"/>
                <w:sz w:val="18"/>
                <w:szCs w:val="18"/>
                <w:color w:val="0000EE"/>
                <w:w w:val="82"/>
              </w:rPr>
              <w:t>Item 12.</w:t>
            </w:r>
          </w:p>
        </w:tc>
        <w:tc>
          <w:tcPr>
            <w:tcW w:w="360" w:type="dxa"/>
            <w:vAlign w:val="bottom"/>
          </w:tcPr>
          <w:p>
            <w:pPr>
              <w:spacing w:after="0"/>
              <w:rPr>
                <w:sz w:val="21"/>
                <w:szCs w:val="21"/>
                <w:color w:val="auto"/>
              </w:rPr>
            </w:pPr>
          </w:p>
        </w:tc>
        <w:tc>
          <w:tcPr>
            <w:tcW w:w="9300" w:type="dxa"/>
            <w:vAlign w:val="bottom"/>
            <w:gridSpan w:val="27"/>
          </w:tcPr>
          <w:p>
            <w:pPr>
              <w:ind w:left="320"/>
              <w:spacing w:after="0"/>
              <w:rPr>
                <w:sz w:val="20"/>
                <w:szCs w:val="20"/>
                <w:color w:val="auto"/>
              </w:rPr>
            </w:pPr>
            <w:r>
              <w:rPr>
                <w:rFonts w:ascii="Arial" w:cs="Arial" w:eastAsia="Arial" w:hAnsi="Arial"/>
                <w:sz w:val="18"/>
                <w:szCs w:val="18"/>
                <w:color w:val="0000EE"/>
              </w:rPr>
              <w:t>Security Ownership of Certain Beneficial Owners and Management and Related Stockholder Matters</w:t>
            </w:r>
          </w:p>
        </w:tc>
        <w:tc>
          <w:tcPr>
            <w:tcW w:w="1140" w:type="dxa"/>
            <w:vAlign w:val="bottom"/>
            <w:gridSpan w:val="4"/>
          </w:tcPr>
          <w:p>
            <w:pPr>
              <w:jc w:val="center"/>
              <w:spacing w:after="0"/>
              <w:rPr>
                <w:rFonts w:ascii="Arial" w:cs="Arial" w:eastAsia="Arial" w:hAnsi="Arial"/>
                <w:sz w:val="18"/>
                <w:szCs w:val="18"/>
                <w:color w:val="0000EE"/>
                <w:w w:val="86"/>
              </w:rPr>
            </w:pPr>
            <w:hyperlink w:anchor="page117">
              <w:r>
                <w:rPr>
                  <w:rFonts w:ascii="Arial" w:cs="Arial" w:eastAsia="Arial" w:hAnsi="Arial"/>
                  <w:sz w:val="18"/>
                  <w:szCs w:val="18"/>
                  <w:color w:val="0000EE"/>
                  <w:w w:val="86"/>
                </w:rPr>
                <w:t>112</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00" w:type="dxa"/>
            <w:vAlign w:val="bottom"/>
            <w:tcBorders>
              <w:right w:val="single" w:sz="8" w:color="0000EE"/>
            </w:tcBorders>
            <w:gridSpan w:val="10"/>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sz w:val="20"/>
                <w:szCs w:val="20"/>
                <w:color w:val="auto"/>
              </w:rPr>
            </w:pPr>
            <w:r>
              <w:rPr>
                <w:rFonts w:ascii="Arial" w:cs="Arial" w:eastAsia="Arial" w:hAnsi="Arial"/>
                <w:sz w:val="18"/>
                <w:szCs w:val="18"/>
                <w:color w:val="0000EE"/>
                <w:w w:val="82"/>
              </w:rPr>
              <w:t>Item 13.</w:t>
            </w:r>
          </w:p>
        </w:tc>
        <w:tc>
          <w:tcPr>
            <w:tcW w:w="360" w:type="dxa"/>
            <w:vAlign w:val="bottom"/>
          </w:tcPr>
          <w:p>
            <w:pPr>
              <w:spacing w:after="0"/>
              <w:rPr>
                <w:sz w:val="21"/>
                <w:szCs w:val="21"/>
                <w:color w:val="auto"/>
              </w:rPr>
            </w:pPr>
          </w:p>
        </w:tc>
        <w:tc>
          <w:tcPr>
            <w:tcW w:w="9300" w:type="dxa"/>
            <w:vAlign w:val="bottom"/>
            <w:gridSpan w:val="27"/>
          </w:tcPr>
          <w:p>
            <w:pPr>
              <w:ind w:left="320"/>
              <w:spacing w:after="0"/>
              <w:rPr>
                <w:sz w:val="20"/>
                <w:szCs w:val="20"/>
                <w:color w:val="auto"/>
              </w:rPr>
            </w:pPr>
            <w:r>
              <w:rPr>
                <w:rFonts w:ascii="Arial" w:cs="Arial" w:eastAsia="Arial" w:hAnsi="Arial"/>
                <w:sz w:val="18"/>
                <w:szCs w:val="18"/>
                <w:color w:val="0000EE"/>
              </w:rPr>
              <w:t>Certain Relationships and Related Transactions, and Director Independence</w:t>
            </w:r>
          </w:p>
        </w:tc>
        <w:tc>
          <w:tcPr>
            <w:tcW w:w="1140" w:type="dxa"/>
            <w:vAlign w:val="bottom"/>
            <w:gridSpan w:val="4"/>
          </w:tcPr>
          <w:p>
            <w:pPr>
              <w:jc w:val="center"/>
              <w:spacing w:after="0"/>
              <w:rPr>
                <w:rFonts w:ascii="Arial" w:cs="Arial" w:eastAsia="Arial" w:hAnsi="Arial"/>
                <w:sz w:val="18"/>
                <w:szCs w:val="18"/>
                <w:color w:val="0000EE"/>
                <w:w w:val="86"/>
              </w:rPr>
            </w:pPr>
            <w:hyperlink w:anchor="page117">
              <w:r>
                <w:rPr>
                  <w:rFonts w:ascii="Arial" w:cs="Arial" w:eastAsia="Arial" w:hAnsi="Arial"/>
                  <w:sz w:val="18"/>
                  <w:szCs w:val="18"/>
                  <w:color w:val="0000EE"/>
                  <w:w w:val="86"/>
                </w:rPr>
                <w:t>112</w:t>
              </w:r>
            </w:hyperlink>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00" w:type="dxa"/>
            <w:vAlign w:val="bottom"/>
            <w:tcBorders>
              <w:right w:val="single" w:sz="8" w:color="0000EE"/>
            </w:tcBorders>
            <w:gridSpan w:val="10"/>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680" w:type="dxa"/>
            <w:vAlign w:val="bottom"/>
            <w:gridSpan w:val="5"/>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540" w:type="dxa"/>
            <w:vAlign w:val="bottom"/>
            <w:gridSpan w:val="5"/>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80" w:type="dxa"/>
            <w:vAlign w:val="bottom"/>
            <w:gridSpan w:val="2"/>
          </w:tcPr>
          <w:p>
            <w:pPr>
              <w:spacing w:after="0"/>
              <w:rPr>
                <w:sz w:val="20"/>
                <w:szCs w:val="20"/>
                <w:color w:val="auto"/>
              </w:rPr>
            </w:pPr>
            <w:r>
              <w:rPr>
                <w:rFonts w:ascii="Arial" w:cs="Arial" w:eastAsia="Arial" w:hAnsi="Arial"/>
                <w:sz w:val="18"/>
                <w:szCs w:val="18"/>
                <w:color w:val="0000EE"/>
                <w:w w:val="82"/>
              </w:rPr>
              <w:t>Item 14.</w:t>
            </w:r>
          </w:p>
        </w:tc>
        <w:tc>
          <w:tcPr>
            <w:tcW w:w="360" w:type="dxa"/>
            <w:vAlign w:val="bottom"/>
          </w:tcPr>
          <w:p>
            <w:pPr>
              <w:spacing w:after="0"/>
              <w:rPr>
                <w:sz w:val="21"/>
                <w:szCs w:val="21"/>
                <w:color w:val="auto"/>
              </w:rPr>
            </w:pPr>
          </w:p>
        </w:tc>
        <w:tc>
          <w:tcPr>
            <w:tcW w:w="9300" w:type="dxa"/>
            <w:vAlign w:val="bottom"/>
            <w:gridSpan w:val="27"/>
          </w:tcPr>
          <w:p>
            <w:pPr>
              <w:ind w:left="320"/>
              <w:spacing w:after="0"/>
              <w:rPr>
                <w:sz w:val="20"/>
                <w:szCs w:val="20"/>
                <w:color w:val="auto"/>
              </w:rPr>
            </w:pPr>
            <w:r>
              <w:rPr>
                <w:rFonts w:ascii="Arial" w:cs="Arial" w:eastAsia="Arial" w:hAnsi="Arial"/>
                <w:sz w:val="18"/>
                <w:szCs w:val="18"/>
                <w:color w:val="0000EE"/>
              </w:rPr>
              <w:t>Principal Accounting Fees and Services</w:t>
            </w:r>
          </w:p>
        </w:tc>
        <w:tc>
          <w:tcPr>
            <w:tcW w:w="1140" w:type="dxa"/>
            <w:vAlign w:val="bottom"/>
            <w:gridSpan w:val="4"/>
          </w:tcPr>
          <w:p>
            <w:pPr>
              <w:jc w:val="center"/>
              <w:spacing w:after="0"/>
              <w:rPr>
                <w:rFonts w:ascii="Arial" w:cs="Arial" w:eastAsia="Arial" w:hAnsi="Arial"/>
                <w:sz w:val="18"/>
                <w:szCs w:val="18"/>
                <w:color w:val="0000EE"/>
                <w:w w:val="86"/>
              </w:rPr>
            </w:pPr>
            <w:hyperlink w:anchor="page117">
              <w:r>
                <w:rPr>
                  <w:rFonts w:ascii="Arial" w:cs="Arial" w:eastAsia="Arial" w:hAnsi="Arial"/>
                  <w:sz w:val="18"/>
                  <w:szCs w:val="18"/>
                  <w:color w:val="0000EE"/>
                  <w:w w:val="86"/>
                </w:rPr>
                <w:t>112</w:t>
              </w:r>
            </w:hyperlink>
          </w:p>
        </w:tc>
        <w:tc>
          <w:tcPr>
            <w:tcW w:w="0" w:type="dxa"/>
            <w:vAlign w:val="bottom"/>
          </w:tcPr>
          <w:p>
            <w:pPr>
              <w:spacing w:after="0"/>
              <w:rPr>
                <w:sz w:val="1"/>
                <w:szCs w:val="1"/>
                <w:color w:val="auto"/>
              </w:rPr>
            </w:pPr>
          </w:p>
        </w:tc>
      </w:tr>
      <w:tr>
        <w:trPr>
          <w:trHeight w:val="520"/>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920" w:type="dxa"/>
            <w:vAlign w:val="bottom"/>
            <w:gridSpan w:val="13"/>
          </w:tcPr>
          <w:p>
            <w:pPr>
              <w:jc w:val="center"/>
              <w:ind w:right="4200"/>
              <w:spacing w:after="0"/>
              <w:rPr>
                <w:rFonts w:ascii="Arial" w:cs="Arial" w:eastAsia="Arial" w:hAnsi="Arial"/>
                <w:sz w:val="18"/>
                <w:szCs w:val="18"/>
                <w:b w:val="1"/>
                <w:bCs w:val="1"/>
                <w:color w:val="0000EE"/>
              </w:rPr>
            </w:pPr>
            <w:hyperlink w:anchor="page117">
              <w:r>
                <w:rPr>
                  <w:rFonts w:ascii="Arial" w:cs="Arial" w:eastAsia="Arial" w:hAnsi="Arial"/>
                  <w:sz w:val="18"/>
                  <w:szCs w:val="18"/>
                  <w:b w:val="1"/>
                  <w:bCs w:val="1"/>
                  <w:color w:val="0000EE"/>
                </w:rPr>
                <w:t>PART IV</w:t>
              </w:r>
            </w:hyperlink>
          </w:p>
        </w:tc>
        <w:tc>
          <w:tcPr>
            <w:tcW w:w="52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118">
              <w:r>
                <w:rPr>
                  <w:rFonts w:ascii="Arial" w:cs="Arial" w:eastAsia="Arial" w:hAnsi="Arial"/>
                  <w:sz w:val="18"/>
                  <w:szCs w:val="18"/>
                  <w:color w:val="0000EE"/>
                  <w:w w:val="82"/>
                </w:rPr>
                <w:t>Item 15.</w:t>
              </w:r>
            </w:hyperlink>
          </w:p>
        </w:tc>
        <w:tc>
          <w:tcPr>
            <w:tcW w:w="360" w:type="dxa"/>
            <w:vAlign w:val="bottom"/>
          </w:tcPr>
          <w:p>
            <w:pPr>
              <w:spacing w:after="0"/>
              <w:rPr>
                <w:sz w:val="21"/>
                <w:szCs w:val="21"/>
                <w:color w:val="auto"/>
              </w:rPr>
            </w:pPr>
          </w:p>
        </w:tc>
        <w:tc>
          <w:tcPr>
            <w:tcW w:w="4400" w:type="dxa"/>
            <w:vAlign w:val="bottom"/>
            <w:gridSpan w:val="15"/>
          </w:tcPr>
          <w:p>
            <w:pPr>
              <w:ind w:left="320"/>
              <w:spacing w:after="0"/>
              <w:rPr>
                <w:rFonts w:ascii="Arial" w:cs="Arial" w:eastAsia="Arial" w:hAnsi="Arial"/>
                <w:sz w:val="18"/>
                <w:szCs w:val="18"/>
                <w:color w:val="0000EE"/>
              </w:rPr>
            </w:pPr>
            <w:hyperlink w:anchor="page118">
              <w:r>
                <w:rPr>
                  <w:rFonts w:ascii="Arial" w:cs="Arial" w:eastAsia="Arial" w:hAnsi="Arial"/>
                  <w:sz w:val="18"/>
                  <w:szCs w:val="18"/>
                  <w:color w:val="0000EE"/>
                </w:rPr>
                <w:t>Exhibits, Financial Statement Schedules</w:t>
              </w:r>
            </w:hyperlink>
          </w:p>
        </w:tc>
        <w:tc>
          <w:tcPr>
            <w:tcW w:w="680" w:type="dxa"/>
            <w:vAlign w:val="bottom"/>
            <w:tcBorders>
              <w:top w:val="single" w:sz="8" w:color="0000EE"/>
            </w:tcBorders>
            <w:gridSpan w:val="5"/>
          </w:tcPr>
          <w:p>
            <w:pPr>
              <w:spacing w:after="0"/>
              <w:rPr>
                <w:sz w:val="21"/>
                <w:szCs w:val="21"/>
                <w:color w:val="auto"/>
              </w:rPr>
            </w:pPr>
          </w:p>
        </w:tc>
        <w:tc>
          <w:tcPr>
            <w:tcW w:w="4220" w:type="dxa"/>
            <w:vAlign w:val="bottom"/>
            <w:gridSpan w:val="7"/>
          </w:tcPr>
          <w:p>
            <w:pPr>
              <w:spacing w:after="0"/>
              <w:rPr>
                <w:sz w:val="21"/>
                <w:szCs w:val="21"/>
                <w:color w:val="auto"/>
              </w:rPr>
            </w:pPr>
          </w:p>
        </w:tc>
        <w:tc>
          <w:tcPr>
            <w:tcW w:w="1140" w:type="dxa"/>
            <w:vAlign w:val="bottom"/>
            <w:gridSpan w:val="4"/>
          </w:tcPr>
          <w:p>
            <w:pPr>
              <w:jc w:val="center"/>
              <w:spacing w:after="0"/>
              <w:rPr>
                <w:rFonts w:ascii="Arial" w:cs="Arial" w:eastAsia="Arial" w:hAnsi="Arial"/>
                <w:sz w:val="18"/>
                <w:szCs w:val="18"/>
                <w:color w:val="0000EE"/>
                <w:w w:val="86"/>
              </w:rPr>
            </w:pPr>
            <w:hyperlink w:anchor="page118">
              <w:r>
                <w:rPr>
                  <w:rFonts w:ascii="Arial" w:cs="Arial" w:eastAsia="Arial" w:hAnsi="Arial"/>
                  <w:sz w:val="18"/>
                  <w:szCs w:val="18"/>
                  <w:color w:val="0000EE"/>
                  <w:w w:val="86"/>
                </w:rPr>
                <w:t>113</w:t>
              </w:r>
            </w:hyperlink>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8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80" w:top="364" w:right="239" w:bottom="1440" w:gutter="0" w:footer="0" w:header="0"/>
          <w:type w:val="continuous"/>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17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have organized our business into two groups, FNF Core Operations and FNF Ventures, known as "FNFV." Through our Core operations, FNF is a leading provider of title insurance, technology and transaction services to the real estate and mortgage industries. FNF is the nation’s largest title insurance company through its title insurance underwriters - Fidelity National Title, Chicago Title, Commonwealth Land Title, Alamo Title and National Title of New York Inc. - that collectively issue more title insurance policies than any other title company in the United States. FNF also provides industry-leading mortgage technology solutions and transaction services, including MSP®, the leading residential mortgage servicing technology platform in the U.S., through its majority-owned subsidiaries, Black Knight Financial Services, LLC ("BKFS") and ServiceLink Holdings, LLC ("ServiceLink"). In addition, in our FNFV group, we own majority and minority equity investment stakes in a number of entities, including American Blue Ribbon Holdings, LLC ("ABRH"), J. Alexander’s, LLC ("J. Alexander's"), Ceridian HCM, Inc. and Fleetcor Technologies Inc. (collectively "Ceridian") and Digital Insurance, Inc. ("Digital Insurance").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2014, we had the following reporting segments: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FNF Core Operations</w:t>
      </w:r>
    </w:p>
    <w:p>
      <w:pPr>
        <w:spacing w:after="0" w:line="171" w:lineRule="exact"/>
        <w:rPr>
          <w:sz w:val="20"/>
          <w:szCs w:val="20"/>
          <w:color w:val="auto"/>
        </w:rPr>
      </w:pPr>
    </w:p>
    <w:p>
      <w:pPr>
        <w:jc w:val="both"/>
        <w:ind w:left="660" w:hanging="409"/>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Title. </w:t>
      </w:r>
      <w:r>
        <w:rPr>
          <w:rFonts w:ascii="Arial" w:cs="Arial" w:eastAsia="Arial" w:hAnsi="Arial"/>
          <w:sz w:val="18"/>
          <w:szCs w:val="18"/>
          <w:color w:val="auto"/>
        </w:rPr>
        <w:t>This segment consists of the operations of our title insurance underwriters and related businesses. This segment provides core title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escrow and other title related services including collection and trust activities, trustee sales guarantees, recordings and reconveyances, and home warranty insurance. This segment also includes the transaction services business acquired from Lender Processing Services ("LPS"), now combined with our ServiceLink business. Transaction services include other title related services used in production and management of mortgage loans, including mortgage loans that go into default.</w:t>
      </w:r>
    </w:p>
    <w:p>
      <w:pPr>
        <w:spacing w:after="0" w:line="134" w:lineRule="exact"/>
        <w:rPr>
          <w:rFonts w:ascii="Arial" w:cs="Arial" w:eastAsia="Arial" w:hAnsi="Arial"/>
          <w:sz w:val="18"/>
          <w:szCs w:val="18"/>
          <w:color w:val="auto"/>
        </w:rPr>
      </w:pPr>
    </w:p>
    <w:p>
      <w:pPr>
        <w:ind w:left="660" w:hanging="409"/>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BKFS. </w:t>
      </w:r>
      <w:r>
        <w:rPr>
          <w:rFonts w:ascii="Arial" w:cs="Arial" w:eastAsia="Arial" w:hAnsi="Arial"/>
          <w:sz w:val="16"/>
          <w:szCs w:val="16"/>
          <w:color w:val="auto"/>
        </w:rPr>
        <w:t>This segment consists of the operations of BKFS. This segment provides core technology and data and analytics services through leading</w:t>
      </w:r>
      <w:r>
        <w:rPr>
          <w:rFonts w:ascii="Arial" w:cs="Arial" w:eastAsia="Arial" w:hAnsi="Arial"/>
          <w:sz w:val="16"/>
          <w:szCs w:val="16"/>
          <w:i w:val="1"/>
          <w:iCs w:val="1"/>
          <w:color w:val="auto"/>
        </w:rPr>
        <w:t xml:space="preserve"> </w:t>
      </w:r>
      <w:r>
        <w:rPr>
          <w:rFonts w:ascii="Arial" w:cs="Arial" w:eastAsia="Arial" w:hAnsi="Arial"/>
          <w:sz w:val="16"/>
          <w:szCs w:val="16"/>
          <w:color w:val="auto"/>
        </w:rPr>
        <w:t>software systems and information solutions that facilitate and automate many of the business processes across the life cycle of a mortgage.</w:t>
      </w:r>
    </w:p>
    <w:p>
      <w:pPr>
        <w:spacing w:after="0" w:line="69" w:lineRule="exact"/>
        <w:rPr>
          <w:rFonts w:ascii="Arial" w:cs="Arial" w:eastAsia="Arial" w:hAnsi="Arial"/>
          <w:sz w:val="16"/>
          <w:szCs w:val="16"/>
          <w:color w:val="auto"/>
        </w:rPr>
      </w:pPr>
    </w:p>
    <w:p>
      <w:pPr>
        <w:ind w:left="660" w:hanging="409"/>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FNF Core Corporate and Other. </w:t>
      </w:r>
      <w:r>
        <w:rPr>
          <w:rFonts w:ascii="Arial" w:cs="Arial" w:eastAsia="Arial" w:hAnsi="Arial"/>
          <w:sz w:val="18"/>
          <w:szCs w:val="18"/>
          <w:color w:val="auto"/>
        </w:rPr>
        <w:t>This segment consists of the operations of the parent holding company, certain other unallocated corporate overhead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and other smaller real estate and insurance related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FNFV</w:t>
      </w:r>
    </w:p>
    <w:p>
      <w:pPr>
        <w:spacing w:after="0" w:line="171" w:lineRule="exact"/>
        <w:rPr>
          <w:sz w:val="20"/>
          <w:szCs w:val="20"/>
          <w:color w:val="auto"/>
        </w:rPr>
      </w:pPr>
    </w:p>
    <w:p>
      <w:pPr>
        <w:jc w:val="both"/>
        <w:ind w:left="660" w:hanging="409"/>
        <w:spacing w:after="0" w:line="264" w:lineRule="auto"/>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Restaurant Group. </w:t>
      </w:r>
      <w:r>
        <w:rPr>
          <w:rFonts w:ascii="Arial" w:cs="Arial" w:eastAsia="Arial" w:hAnsi="Arial"/>
          <w:sz w:val="18"/>
          <w:szCs w:val="18"/>
          <w:color w:val="auto"/>
        </w:rPr>
        <w:t>This segment consists of the operations of ABRH, in which we have a 55% ownership interest. ABRH is the owner and operator</w:t>
      </w:r>
      <w:r>
        <w:rPr>
          <w:rFonts w:ascii="Arial" w:cs="Arial" w:eastAsia="Arial" w:hAnsi="Arial"/>
          <w:sz w:val="18"/>
          <w:szCs w:val="18"/>
          <w:i w:val="1"/>
          <w:iCs w:val="1"/>
          <w:color w:val="auto"/>
        </w:rPr>
        <w:t xml:space="preserve"> </w:t>
      </w:r>
      <w:r>
        <w:rPr>
          <w:rFonts w:ascii="Arial" w:cs="Arial" w:eastAsia="Arial" w:hAnsi="Arial"/>
          <w:sz w:val="18"/>
          <w:szCs w:val="18"/>
          <w:color w:val="auto"/>
        </w:rPr>
        <w:t>of the O'Charley's, Ninety Nine Restaurants, Max &amp; Erma's, Village Inn and Bakers Square concepts. This segment also includes J. Alexander's, which includes the J. Alexander's and Stoney River Steakhouse and Grill concepts.</w:t>
      </w:r>
    </w:p>
    <w:p>
      <w:pPr>
        <w:spacing w:after="0" w:line="127" w:lineRule="exact"/>
        <w:rPr>
          <w:rFonts w:ascii="Arial" w:cs="Arial" w:eastAsia="Arial" w:hAnsi="Arial"/>
          <w:sz w:val="18"/>
          <w:szCs w:val="18"/>
          <w:i w:val="1"/>
          <w:iCs w:val="1"/>
          <w:color w:val="auto"/>
        </w:rPr>
      </w:pPr>
    </w:p>
    <w:p>
      <w:pPr>
        <w:ind w:left="660" w:right="20" w:hanging="409"/>
        <w:spacing w:after="0" w:line="277" w:lineRule="auto"/>
        <w:tabs>
          <w:tab w:leader="none" w:pos="6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FNFV Corporate and Other. </w:t>
      </w:r>
      <w:r>
        <w:rPr>
          <w:rFonts w:ascii="Arial" w:cs="Arial" w:eastAsia="Arial" w:hAnsi="Arial"/>
          <w:sz w:val="18"/>
          <w:szCs w:val="18"/>
          <w:color w:val="auto"/>
        </w:rPr>
        <w:t>This segment primarily consists of our share in the operations of certain equity investments, including Ceridian, as well</w:t>
      </w:r>
      <w:r>
        <w:rPr>
          <w:rFonts w:ascii="Arial" w:cs="Arial" w:eastAsia="Arial" w:hAnsi="Arial"/>
          <w:sz w:val="18"/>
          <w:szCs w:val="18"/>
          <w:i w:val="1"/>
          <w:iCs w:val="1"/>
          <w:color w:val="auto"/>
        </w:rPr>
        <w:t xml:space="preserve"> </w:t>
      </w:r>
      <w:r>
        <w:rPr>
          <w:rFonts w:ascii="Arial" w:cs="Arial" w:eastAsia="Arial" w:hAnsi="Arial"/>
          <w:sz w:val="18"/>
          <w:szCs w:val="18"/>
          <w:color w:val="auto"/>
        </w:rPr>
        <w:t>as Digital Insurance in which we own 96% and other smaller operations which are not title related.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Lender Processing Services, Inc</w:t>
      </w:r>
    </w:p>
    <w:p>
      <w:pPr>
        <w:spacing w:after="0" w:line="11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On January 2, 2014, we completed the purchase of LPS. The purchase consideration paid was $37.14 per share of LPS common stock, of which $28.10 per share was paid in cash and the remaining $9.04 was paid in Old FNF common shares. The purchase consideration represented an exchange ratio of 0.28742 Old FNF common shares per share of LPS common stock. Total consideration paid for LPS was $3.4 billion, which consisted of $2,535 million in cash and $839 million in Old FNF common stock. In order to pay the stock component of the consideration, we issued 25,920,078 Old FNF shares to the former LPS shareholders. See Note B to our Consolidated Financial Statements for further discussion.</w:t>
      </w:r>
    </w:p>
    <w:p>
      <w:pPr>
        <w:spacing w:after="0" w:line="3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connection with the LPS acquisition, we formed a wholly-owned subsidiary, Black Knight Financial Services, Inc. (now known as Black Knight Holdings, Inc., "Black Knight"). Black Knight has two operating businesses, ServiceLink Holdings, LLC ("ServiceLink") and Black Knight Financial Services, LLC ("BKFS"). We retained a 65% ownership interest in each of the subsidiaries and issued the remaining 35% ownership interest to funds affiliated with Thomas H. Lee Partners, and certain related entities on January 3, 2014. Effective June 1, 2014, we completed an internal reorganization to contribute our subsidiary Property Insight, a company which provides information used by title insurance underwriters, title agents and closing attorneys to underwrite title insurance policies for real property sales and transfer, from our Title segment to BKFS. As a result of this transfer, our ownership percentage in BKFS increased to 67%. Our results for periods since June 1, 2014, reflect our now 67% ownership interest in BKFS.</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w:t>
      </w:r>
      <w:r>
        <w:rPr>
          <w:rFonts w:ascii="Arial" w:cs="Arial" w:eastAsia="Arial" w:hAnsi="Arial"/>
          <w:sz w:val="18"/>
          <w:szCs w:val="18"/>
          <w:b w:val="1"/>
          <w:bCs w:val="1"/>
          <w:i w:val="1"/>
          <w:iCs w:val="1"/>
          <w:color w:val="auto"/>
        </w:rPr>
        <w:t>ompetitive Strengths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our competitive strengths position us well to take advantage of future changes to the real estate market.</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our competitive strengths include the following:</w:t>
      </w:r>
    </w:p>
    <w:p>
      <w:pPr>
        <w:spacing w:after="0" w:line="9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Corporate principles. </w:t>
      </w:r>
      <w:r>
        <w:rPr>
          <w:rFonts w:ascii="Arial" w:cs="Arial" w:eastAsia="Arial" w:hAnsi="Arial"/>
          <w:sz w:val="18"/>
          <w:szCs w:val="18"/>
          <w:color w:val="auto"/>
        </w:rPr>
        <w:t>A cornerstone of our management philosophy and operating success is the six fundamental precepts upon which we were founded,</w:t>
      </w:r>
      <w:r>
        <w:rPr>
          <w:rFonts w:ascii="Arial" w:cs="Arial" w:eastAsia="Arial" w:hAnsi="Arial"/>
          <w:sz w:val="18"/>
          <w:szCs w:val="18"/>
          <w:i w:val="1"/>
          <w:iCs w:val="1"/>
          <w:color w:val="auto"/>
        </w:rPr>
        <w:t xml:space="preserve"> </w:t>
      </w:r>
      <w:r>
        <w:rPr>
          <w:rFonts w:ascii="Arial" w:cs="Arial" w:eastAsia="Arial" w:hAnsi="Arial"/>
          <w:sz w:val="18"/>
          <w:szCs w:val="18"/>
          <w:color w:val="auto"/>
        </w:rPr>
        <w:t>which are:</w:t>
      </w:r>
    </w:p>
    <w:p>
      <w:pPr>
        <w:spacing w:after="0" w:line="35"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Autonomy and entrepreneurship;</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Bias for action;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Customer-oriented and motivated;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Minimize bureaucracy;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Employee ownership;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Highest standard of conduct.</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These six precepts are emphasized to our employees from the first day of employment and are integral to many of our strategies described below.</w:t>
      </w:r>
    </w:p>
    <w:p>
      <w:pPr>
        <w:spacing w:after="0" w:line="1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Competitive cost structure. </w:t>
      </w:r>
      <w:r>
        <w:rPr>
          <w:rFonts w:ascii="Arial" w:cs="Arial" w:eastAsia="Arial" w:hAnsi="Arial"/>
          <w:sz w:val="18"/>
          <w:szCs w:val="18"/>
          <w:color w:val="auto"/>
        </w:rPr>
        <w:t>We have been able to maintain competitive operating margins in part by monitoring our businesses in a disciplined manner</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continual evaluation of title order activity and management of our cost structure. When compared to our industry competitors, we also believe that our structure is more efficiently designed, which allows us to operate with lower overhead costs.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Title</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Leading title insurance company. </w:t>
      </w:r>
      <w:r>
        <w:rPr>
          <w:rFonts w:ascii="Arial" w:cs="Arial" w:eastAsia="Arial" w:hAnsi="Arial"/>
          <w:sz w:val="18"/>
          <w:szCs w:val="18"/>
          <w:color w:val="auto"/>
        </w:rPr>
        <w:t>We are the largest title insurance company in the United States and a leading provider of title insurance and escrow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title-related services for real estate transactions. Through the third quarter of 2014, our insurance companies had a 32.8% share of the U.S. title insurance market, according to the American Land Title Association ("ALTA").</w:t>
      </w:r>
    </w:p>
    <w:p>
      <w:pPr>
        <w:spacing w:after="0" w:line="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Established relationships with our customers. </w:t>
      </w:r>
      <w:r>
        <w:rPr>
          <w:rFonts w:ascii="Arial" w:cs="Arial" w:eastAsia="Arial" w:hAnsi="Arial"/>
          <w:sz w:val="18"/>
          <w:szCs w:val="18"/>
          <w:color w:val="auto"/>
        </w:rPr>
        <w:t>We have strong relationships with the customers who use our title services. Our distribution network,</w:t>
      </w:r>
      <w:r>
        <w:rPr>
          <w:rFonts w:ascii="Arial" w:cs="Arial" w:eastAsia="Arial" w:hAnsi="Arial"/>
          <w:sz w:val="18"/>
          <w:szCs w:val="18"/>
          <w:i w:val="1"/>
          <w:iCs w:val="1"/>
          <w:color w:val="auto"/>
        </w:rPr>
        <w:t xml:space="preserve"> </w:t>
      </w:r>
      <w:r>
        <w:rPr>
          <w:rFonts w:ascii="Arial" w:cs="Arial" w:eastAsia="Arial" w:hAnsi="Arial"/>
          <w:sz w:val="18"/>
          <w:szCs w:val="18"/>
          <w:color w:val="auto"/>
        </w:rPr>
        <w:t>which includes approximately 1,200 direct residential title offices and approximately 5,000 agents, is among the largest in the United States. We also benefit from strong brand recognition in our multiple title brands that allows us to access a broader client base than if we operated under a single consolidated brand and provides our customers with a choice among brands.</w:t>
      </w:r>
    </w:p>
    <w:p>
      <w:pPr>
        <w:spacing w:after="0" w:line="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Strong value proposition for our customers. </w:t>
      </w:r>
      <w:r>
        <w:rPr>
          <w:rFonts w:ascii="Arial" w:cs="Arial" w:eastAsia="Arial" w:hAnsi="Arial"/>
          <w:sz w:val="18"/>
          <w:szCs w:val="18"/>
          <w:color w:val="auto"/>
        </w:rPr>
        <w:t>We provide our customers with title insurance and escrow and other title-related services that support their</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effectively close real estate transactions. We help make the real estate closing more efficient for our customers by offering a single point of access to a broad platform of title-related products and resources necessary to close real estate transactions.</w:t>
      </w:r>
    </w:p>
    <w:p>
      <w:pPr>
        <w:spacing w:after="0" w:line="4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Proven management team. </w:t>
      </w:r>
      <w:r>
        <w:rPr>
          <w:rFonts w:ascii="Arial" w:cs="Arial" w:eastAsia="Arial" w:hAnsi="Arial"/>
          <w:sz w:val="16"/>
          <w:szCs w:val="16"/>
          <w:color w:val="auto"/>
        </w:rPr>
        <w:t>The managers of our operating businesses have successfully built our title business over an extended period of time, resulting</w:t>
      </w:r>
      <w:r>
        <w:rPr>
          <w:rFonts w:ascii="Arial" w:cs="Arial" w:eastAsia="Arial" w:hAnsi="Arial"/>
          <w:sz w:val="16"/>
          <w:szCs w:val="16"/>
          <w:i w:val="1"/>
          <w:iCs w:val="1"/>
          <w:color w:val="auto"/>
        </w:rPr>
        <w:t xml:space="preserve"> </w:t>
      </w:r>
      <w:r>
        <w:rPr>
          <w:rFonts w:ascii="Arial" w:cs="Arial" w:eastAsia="Arial" w:hAnsi="Arial"/>
          <w:sz w:val="16"/>
          <w:szCs w:val="16"/>
          <w:color w:val="auto"/>
        </w:rPr>
        <w:t>in our business attaining the size, scope and presence in the industry that it has today. Our managers have demonstrated their leadership ability during numerous acquisitions through which we have grown and throughout a number of business cycles and significant periods of industry change.</w:t>
      </w:r>
    </w:p>
    <w:p>
      <w:pPr>
        <w:spacing w:after="0" w:line="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Commercial title insurance. </w:t>
      </w:r>
      <w:r>
        <w:rPr>
          <w:rFonts w:ascii="Arial" w:cs="Arial" w:eastAsia="Arial" w:hAnsi="Arial"/>
          <w:sz w:val="18"/>
          <w:szCs w:val="18"/>
          <w:color w:val="auto"/>
        </w:rPr>
        <w:t>While residential title insurance comprises the majority of our business, we are also a significant provider of commercial</w:t>
      </w:r>
      <w:r>
        <w:rPr>
          <w:rFonts w:ascii="Arial" w:cs="Arial" w:eastAsia="Arial" w:hAnsi="Arial"/>
          <w:sz w:val="18"/>
          <w:szCs w:val="18"/>
          <w:i w:val="1"/>
          <w:iCs w:val="1"/>
          <w:color w:val="auto"/>
        </w:rPr>
        <w:t xml:space="preserve"> </w:t>
      </w:r>
      <w:r>
        <w:rPr>
          <w:rFonts w:ascii="Arial" w:cs="Arial" w:eastAsia="Arial" w:hAnsi="Arial"/>
          <w:sz w:val="18"/>
          <w:szCs w:val="18"/>
          <w:color w:val="auto"/>
        </w:rPr>
        <w:t>real estate title insurance in the United States. Our network of agents, attorneys, underwriters and closers that service the commercial real estate markets is one of the largest in the industry. Our commercial network combined with our financial strength makes our title insurance operations attractive to large national lenders that require the underwriting and issuing of larger commercial title policies.</w:t>
      </w:r>
    </w:p>
    <w:p>
      <w:pPr>
        <w:spacing w:after="0" w:line="52"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BKFS</w:t>
      </w:r>
    </w:p>
    <w:p>
      <w:pPr>
        <w:spacing w:after="0" w:line="10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6"/>
          <w:szCs w:val="16"/>
          <w:i w:val="1"/>
          <w:iCs w:val="1"/>
          <w:color w:val="auto"/>
        </w:rPr>
        <w:t xml:space="preserve">Market leadership with comprehensive and integrated solutions. </w:t>
      </w:r>
      <w:r>
        <w:rPr>
          <w:rFonts w:ascii="Arial" w:cs="Arial" w:eastAsia="Arial" w:hAnsi="Arial"/>
          <w:sz w:val="16"/>
          <w:szCs w:val="16"/>
          <w:color w:val="auto"/>
        </w:rPr>
        <w:t>BKFS is a leading provider of comprehensive and integrated solutions to the mortgage</w:t>
      </w:r>
      <w:r>
        <w:rPr>
          <w:rFonts w:ascii="Arial" w:cs="Arial" w:eastAsia="Arial" w:hAnsi="Arial"/>
          <w:sz w:val="16"/>
          <w:szCs w:val="16"/>
          <w:i w:val="1"/>
          <w:iCs w:val="1"/>
          <w:color w:val="auto"/>
        </w:rPr>
        <w:t xml:space="preserve"> </w:t>
      </w:r>
      <w:r>
        <w:rPr>
          <w:rFonts w:ascii="Arial" w:cs="Arial" w:eastAsia="Arial" w:hAnsi="Arial"/>
          <w:sz w:val="16"/>
          <w:szCs w:val="16"/>
          <w:color w:val="auto"/>
        </w:rPr>
        <w:t>industry. BKFS' solutions are utilized by 21 of the top 25 largest mortgage originators and all of the top 25 largest U.S. mortgage servicers as of June 30, 2014 according to the National Mortgage News Report, service over 50% of all U.S. first lien mortgages as of December 31, 2014 according to the BKFS Mortgage Monitor Report, and operate one of the industry’s largest exchanges connecting originators, agents, settlement services providers and investors. BKFS believes its leadership position is, in part, the result of its unique expertise and insight developed from over 50 years serving the needs of customers in the mortgage industry. BKFS has used this insight to develop an integrated and comprehensive suite of proprietary technology, data, and analytics solutions to automate many of the mission-critical business processes across the entire mortgage loan life cycle. These integrated solutions are designed to reduce manual processes, assist in improving organizational compliance and mitigating risk, and ultimately deliver significant cost savings to its clients.</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Broad and deep client relationships with significant recurring revenue. </w:t>
      </w:r>
      <w:r>
        <w:rPr>
          <w:rFonts w:ascii="Arial" w:cs="Arial" w:eastAsia="Arial" w:hAnsi="Arial"/>
          <w:sz w:val="18"/>
          <w:szCs w:val="18"/>
          <w:color w:val="auto"/>
        </w:rPr>
        <w:t>BKFS has deep and long-standing relationships with its largest clients. BKFS'</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relationship with its top 10 servicer clients is over 25 years, and these clients utilize an average of 6 products across its comprehensive solutions. BKFS typically enters into long-term contracts with its clients and its products are typically embedded within its clients’ mission-critical workflow and decision processes across various parts of their organizations. As a result, BKFS has developed recurring and long-lasting relationships with its clients. Given these deep relationships, BKFS believes that it is well-positioned to continue to develop and cross-sell new products and services that will meet the evolving needs of the mortgage industry.</w:t>
      </w:r>
    </w:p>
    <w:p>
      <w:pPr>
        <w:spacing w:after="0" w:line="7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8"/>
          <w:szCs w:val="18"/>
          <w:i w:val="1"/>
          <w:iCs w:val="1"/>
          <w:color w:val="auto"/>
        </w:rPr>
        <w:t xml:space="preserve">Scalable and cost effective operating model. </w:t>
      </w:r>
      <w:r>
        <w:rPr>
          <w:rFonts w:ascii="Arial" w:cs="Arial" w:eastAsia="Arial" w:hAnsi="Arial"/>
          <w:sz w:val="18"/>
          <w:szCs w:val="18"/>
          <w:color w:val="auto"/>
        </w:rPr>
        <w:t>BKFS believes it has a highly attractive and scalable operating model derived from its market leadership,</w:t>
      </w:r>
      <w:r>
        <w:rPr>
          <w:rFonts w:ascii="Arial" w:cs="Arial" w:eastAsia="Arial" w:hAnsi="Arial"/>
          <w:sz w:val="18"/>
          <w:szCs w:val="18"/>
          <w:i w:val="1"/>
          <w:iCs w:val="1"/>
          <w:color w:val="auto"/>
        </w:rPr>
        <w:t xml:space="preserve"> </w:t>
      </w:r>
      <w:r>
        <w:rPr>
          <w:rFonts w:ascii="Arial" w:cs="Arial" w:eastAsia="Arial" w:hAnsi="Arial"/>
          <w:sz w:val="18"/>
          <w:szCs w:val="18"/>
          <w:color w:val="auto"/>
        </w:rPr>
        <w:t>hosted technology platforms and the large number of clients it serves across the mortgage industry. BKFS' scalable operating model provides it with significant benefits. BKFS' scale and operating leverage allows it to add incremental clients to its existing platforms with limited incremental cost. As a result, BKFS' operating model drives attractive margins and generates significant cash flow. Also, by leveraging its scale and leading market position, it is able to make cost effective investments in its technology platform to meet evolving regulatory and compliance requirements, further increasing its value proposition to clients.</w:t>
      </w:r>
    </w:p>
    <w:p>
      <w:pPr>
        <w:spacing w:after="0" w:line="4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World class management team with depth of experience and track record of success. </w:t>
      </w:r>
      <w:r>
        <w:rPr>
          <w:rFonts w:ascii="Arial" w:cs="Arial" w:eastAsia="Arial" w:hAnsi="Arial"/>
          <w:sz w:val="18"/>
          <w:szCs w:val="18"/>
          <w:color w:val="auto"/>
        </w:rPr>
        <w:t>BKFS' management team has an average of over 20 years of</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 in the banking technology and mortgage processing industries and a proven track record of strong execution capabilities. Following the acquisition of LPS, BKFS has significantly improved its operations and enhanced its go-to-market strategy, further integrated its technology platforms, expanded its data and analytics capabilities and introduced several new innovative products. BKFS executed all of these projects while delivering attractive revenue growth and strong profitability.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Strategy</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Title</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strategy in the title business is to maximize operating profits by increasing our market share and managing operating expenses throughout the real estate business cycle. To accomplish our goals, we intend to do the following:</w:t>
      </w:r>
    </w:p>
    <w:p>
      <w:pPr>
        <w:spacing w:after="0" w:line="35" w:lineRule="exact"/>
        <w:rPr>
          <w:sz w:val="20"/>
          <w:szCs w:val="20"/>
          <w:color w:val="auto"/>
        </w:rPr>
      </w:pPr>
    </w:p>
    <w:p>
      <w:pPr>
        <w:jc w:val="both"/>
        <w:ind w:left="660" w:hanging="328"/>
        <w:spacing w:after="0" w:line="27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Continue to operate multiple title brands independently</w:t>
      </w:r>
      <w:r>
        <w:rPr>
          <w:rFonts w:ascii="Arial" w:cs="Arial" w:eastAsia="Arial" w:hAnsi="Arial"/>
          <w:sz w:val="17"/>
          <w:szCs w:val="17"/>
          <w:color w:val="auto"/>
        </w:rPr>
        <w:t>. We believe that in order to maintain and strengthen our title insurance customer base, we</w:t>
      </w:r>
      <w:r>
        <w:rPr>
          <w:rFonts w:ascii="Arial" w:cs="Arial" w:eastAsia="Arial" w:hAnsi="Arial"/>
          <w:sz w:val="17"/>
          <w:szCs w:val="17"/>
          <w:i w:val="1"/>
          <w:iCs w:val="1"/>
          <w:color w:val="auto"/>
        </w:rPr>
        <w:t xml:space="preserve"> </w:t>
      </w:r>
      <w:r>
        <w:rPr>
          <w:rFonts w:ascii="Arial" w:cs="Arial" w:eastAsia="Arial" w:hAnsi="Arial"/>
          <w:sz w:val="17"/>
          <w:szCs w:val="17"/>
          <w:color w:val="auto"/>
        </w:rPr>
        <w:t>must operate our strongest brands in a given marketplace independently of each other. Our national and regional brands include Fidelity National Title, Chicago Title, Commonwealth Land Title, Lawyers Title, Ticor Title, Alamo Title, and National Title of New York Inc. In our largest markets, we operate multiple brands. This approach allows us to continue to attract customers who identify with a particular brand and allows us to utilize a broader base of local agents and local operations than we would have with a single consolidated brand.</w:t>
      </w:r>
    </w:p>
    <w:p>
      <w:pPr>
        <w:spacing w:after="0" w:line="37"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Consistently deliver superior customer service. </w:t>
      </w:r>
      <w:r>
        <w:rPr>
          <w:rFonts w:ascii="Arial" w:cs="Arial" w:eastAsia="Arial" w:hAnsi="Arial"/>
          <w:sz w:val="18"/>
          <w:szCs w:val="18"/>
          <w:color w:val="auto"/>
        </w:rPr>
        <w:t>We believe customer service and consistent product delivery are the most important factors in</w:t>
      </w:r>
      <w:r>
        <w:rPr>
          <w:rFonts w:ascii="Arial" w:cs="Arial" w:eastAsia="Arial" w:hAnsi="Arial"/>
          <w:sz w:val="18"/>
          <w:szCs w:val="18"/>
          <w:i w:val="1"/>
          <w:iCs w:val="1"/>
          <w:color w:val="auto"/>
        </w:rPr>
        <w:t xml:space="preserve"> </w:t>
      </w:r>
      <w:r>
        <w:rPr>
          <w:rFonts w:ascii="Arial" w:cs="Arial" w:eastAsia="Arial" w:hAnsi="Arial"/>
          <w:sz w:val="18"/>
          <w:szCs w:val="18"/>
          <w:color w:val="auto"/>
        </w:rPr>
        <w:t>attracting and retaining customers. Our ability to provide superior customer service and consistent product delivery requires continued focus on providing high quality service and products at competitive prices. Our goal is to continue to improve the experience of our customers, in all aspects of our business.</w:t>
      </w:r>
    </w:p>
    <w:p>
      <w:pPr>
        <w:spacing w:after="0" w:line="5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Manage our operations successfully through business cycles</w:t>
      </w:r>
      <w:r>
        <w:rPr>
          <w:rFonts w:ascii="Arial" w:cs="Arial" w:eastAsia="Arial" w:hAnsi="Arial"/>
          <w:sz w:val="18"/>
          <w:szCs w:val="18"/>
          <w:color w:val="auto"/>
        </w:rPr>
        <w:t>. We operate in a cyclical industry and our ability to diversify our revenue base within</w:t>
      </w:r>
      <w:r>
        <w:rPr>
          <w:rFonts w:ascii="Arial" w:cs="Arial" w:eastAsia="Arial" w:hAnsi="Arial"/>
          <w:sz w:val="18"/>
          <w:szCs w:val="18"/>
          <w:i w:val="1"/>
          <w:iCs w:val="1"/>
          <w:color w:val="auto"/>
        </w:rPr>
        <w:t xml:space="preserve"> </w:t>
      </w:r>
      <w:r>
        <w:rPr>
          <w:rFonts w:ascii="Arial" w:cs="Arial" w:eastAsia="Arial" w:hAnsi="Arial"/>
          <w:sz w:val="18"/>
          <w:szCs w:val="18"/>
          <w:color w:val="auto"/>
        </w:rPr>
        <w:t>our core title insurance business and manage the duration of our investments may allow us to better operate in this cyclical business. Maintaining a broad geographic revenue base, utilizing both direct and independent agency operations and pursuing both residential and commercial title insurance business help diversify our title insurance revenues. We continue to monitor, evaluate and execute upon the consolidation of administrative functions, legal entity structure, and office consolidation, as necessary, to respond to the continually changing marketplace. We maintain shorter durations on our investment portfolio to mitigate our interest rate risk. A more detailed discussion of our investment strategies is included in “Investment Policies and Investment Portfolio.”</w:t>
      </w:r>
    </w:p>
    <w:p>
      <w:pPr>
        <w:spacing w:after="0" w:line="54" w:lineRule="exact"/>
        <w:rPr>
          <w:rFonts w:ascii="Arial" w:cs="Arial" w:eastAsia="Arial" w:hAnsi="Arial"/>
          <w:sz w:val="18"/>
          <w:szCs w:val="18"/>
          <w:color w:val="auto"/>
        </w:rPr>
      </w:pPr>
    </w:p>
    <w:p>
      <w:pPr>
        <w:jc w:val="both"/>
        <w:ind w:left="660" w:hanging="328"/>
        <w:spacing w:after="0" w:line="27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Continue to improve our products and technology. </w:t>
      </w:r>
      <w:r>
        <w:rPr>
          <w:rFonts w:ascii="Arial" w:cs="Arial" w:eastAsia="Arial" w:hAnsi="Arial"/>
          <w:sz w:val="17"/>
          <w:szCs w:val="17"/>
          <w:color w:val="auto"/>
        </w:rPr>
        <w:t>As a national provider of real estate transaction products and services, we participate in an</w:t>
      </w:r>
      <w:r>
        <w:rPr>
          <w:rFonts w:ascii="Arial" w:cs="Arial" w:eastAsia="Arial" w:hAnsi="Arial"/>
          <w:sz w:val="17"/>
          <w:szCs w:val="17"/>
          <w:i w:val="1"/>
          <w:iCs w:val="1"/>
          <w:color w:val="auto"/>
        </w:rPr>
        <w:t xml:space="preserve"> </w:t>
      </w:r>
      <w:r>
        <w:rPr>
          <w:rFonts w:ascii="Arial" w:cs="Arial" w:eastAsia="Arial" w:hAnsi="Arial"/>
          <w:sz w:val="17"/>
          <w:szCs w:val="17"/>
          <w:color w:val="auto"/>
        </w:rPr>
        <w:t>industry that is subject to significant change, frequent new product and service introductions and evolving industry standards. We believe that our future success will depend in part on our ability to anticipate industry changes and offer products and services that meet evolving industry standards. In connection with our service offerings, we are continuing to deploy new information system technologies to our direct and agency operations. We expect to improve the process of ordering title and escrow services and improve the delivery of our products to our customers.</w:t>
      </w:r>
    </w:p>
    <w:p>
      <w:pPr>
        <w:spacing w:after="0" w:line="37" w:lineRule="exact"/>
        <w:rPr>
          <w:rFonts w:ascii="Arial" w:cs="Arial" w:eastAsia="Arial" w:hAnsi="Arial"/>
          <w:sz w:val="17"/>
          <w:szCs w:val="17"/>
          <w:color w:val="auto"/>
        </w:rPr>
      </w:pPr>
    </w:p>
    <w:p>
      <w:pPr>
        <w:jc w:val="both"/>
        <w:ind w:left="660" w:hanging="328"/>
        <w:spacing w:after="0" w:line="30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Maintain values supporting our strategy. </w:t>
      </w:r>
      <w:r>
        <w:rPr>
          <w:rFonts w:ascii="Arial" w:cs="Arial" w:eastAsia="Arial" w:hAnsi="Arial"/>
          <w:sz w:val="16"/>
          <w:szCs w:val="16"/>
          <w:color w:val="auto"/>
        </w:rPr>
        <w:t>We believe that our continued focus on and support of our long-established corporate culture will reinforce</w:t>
      </w:r>
      <w:r>
        <w:rPr>
          <w:rFonts w:ascii="Arial" w:cs="Arial" w:eastAsia="Arial" w:hAnsi="Arial"/>
          <w:sz w:val="16"/>
          <w:szCs w:val="16"/>
          <w:i w:val="1"/>
          <w:iCs w:val="1"/>
          <w:color w:val="auto"/>
        </w:rPr>
        <w:t xml:space="preserve"> </w:t>
      </w:r>
      <w:r>
        <w:rPr>
          <w:rFonts w:ascii="Arial" w:cs="Arial" w:eastAsia="Arial" w:hAnsi="Arial"/>
          <w:sz w:val="16"/>
          <w:szCs w:val="16"/>
          <w:color w:val="auto"/>
        </w:rPr>
        <w:t>and support our business strategy. Our goal is to foster and support a corporate culture where our employees and agents seek to operate independently and maintain profitability at the local level while forming close customer relationships by meeting customer needs and improving customer service. Utilizing a relatively flat managerial structure and providing our employees with a sense of individual ownership support this goal.</w:t>
      </w:r>
    </w:p>
    <w:p>
      <w:pPr>
        <w:spacing w:after="0" w:line="19"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Effectively manage costs based on economic factors. </w:t>
      </w:r>
      <w:r>
        <w:rPr>
          <w:rFonts w:ascii="Arial" w:cs="Arial" w:eastAsia="Arial" w:hAnsi="Arial"/>
          <w:sz w:val="18"/>
          <w:szCs w:val="18"/>
          <w:color w:val="auto"/>
        </w:rPr>
        <w:t>We believe that our focus on our operating margins is essential to our continued success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title insurance business. Regardless of the business cycle in which we may be operating, we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660" w:right="20"/>
        <w:spacing w:after="0" w:line="324" w:lineRule="auto"/>
        <w:rPr>
          <w:sz w:val="20"/>
          <w:szCs w:val="20"/>
          <w:color w:val="auto"/>
        </w:rPr>
      </w:pPr>
      <w:r>
        <w:rPr>
          <w:rFonts w:ascii="Arial" w:cs="Arial" w:eastAsia="Arial" w:hAnsi="Arial"/>
          <w:sz w:val="18"/>
          <w:szCs w:val="18"/>
          <w:color w:val="auto"/>
        </w:rPr>
        <w:t>seek to continue to evaluate and manage our cost structure and make appropriate adjustments where economic conditions dictate. This continual focus on our cost structure helps us to better maintain our operating margins.</w:t>
      </w:r>
    </w:p>
    <w:p>
      <w:pPr>
        <w:spacing w:after="0" w:line="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BKFS</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BKFS' comprehensive and integrated technology platforms, robust data and analytic capabilities, differentiated business model, broad and deep client relationships and other competitive strengths enable it to pursue multiple growth opportunities. BKFS intends to continue to expand its business and grow through the following key strategies:</w:t>
      </w:r>
    </w:p>
    <w:p>
      <w:pPr>
        <w:spacing w:after="0" w:line="46" w:lineRule="exact"/>
        <w:rPr>
          <w:sz w:val="20"/>
          <w:szCs w:val="20"/>
          <w:color w:val="auto"/>
        </w:rPr>
      </w:pPr>
    </w:p>
    <w:p>
      <w:pPr>
        <w:jc w:val="both"/>
        <w:ind w:left="660" w:hanging="328"/>
        <w:spacing w:after="0" w:line="272" w:lineRule="auto"/>
        <w:tabs>
          <w:tab w:leader="none" w:pos="66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Further penetration of its solutions with existing clients. </w:t>
      </w:r>
      <w:r>
        <w:rPr>
          <w:rFonts w:ascii="Arial" w:cs="Arial" w:eastAsia="Arial" w:hAnsi="Arial"/>
          <w:sz w:val="17"/>
          <w:szCs w:val="17"/>
          <w:color w:val="auto"/>
        </w:rPr>
        <w:t>BKFS believes its established client base presents a substantial opportunity for growth.</w:t>
      </w:r>
      <w:r>
        <w:rPr>
          <w:rFonts w:ascii="Arial" w:cs="Arial" w:eastAsia="Arial" w:hAnsi="Arial"/>
          <w:sz w:val="17"/>
          <w:szCs w:val="17"/>
          <w:i w:val="1"/>
          <w:iCs w:val="1"/>
          <w:color w:val="auto"/>
        </w:rPr>
        <w:t xml:space="preserve"> </w:t>
      </w:r>
      <w:r>
        <w:rPr>
          <w:rFonts w:ascii="Arial" w:cs="Arial" w:eastAsia="Arial" w:hAnsi="Arial"/>
          <w:sz w:val="17"/>
          <w:szCs w:val="17"/>
          <w:color w:val="auto"/>
        </w:rPr>
        <w:t>BKFS seeks to capitalize on the trend of standardization and increased adoption of leading third-party solutions and increase the number of solutions provided to its existing client base. BKFS intends to broaden and deepen its client relationships by cross-selling its suite of end-to-end technology solutions, as well as its robust data and analytics. BKFS has established incentives within its sales force, as well as a core team of account managers, to encourage cross-selling of its full range of solutions to its existing clients. By helping its clients understand the full extent of its comprehensive solutions and the value of leveraging the multiple solutions that it offers, BKFS believes it can expand its existing relationships by freeing its clients to focus on their core businesses and their customers.</w:t>
      </w:r>
    </w:p>
    <w:p>
      <w:pPr>
        <w:spacing w:after="0" w:line="42" w:lineRule="exact"/>
        <w:rPr>
          <w:rFonts w:ascii="Arial" w:cs="Arial" w:eastAsia="Arial" w:hAnsi="Arial"/>
          <w:sz w:val="17"/>
          <w:szCs w:val="17"/>
          <w:i w:val="1"/>
          <w:iCs w:val="1"/>
          <w:color w:val="auto"/>
        </w:rPr>
      </w:pPr>
    </w:p>
    <w:p>
      <w:pPr>
        <w:jc w:val="both"/>
        <w:ind w:left="660" w:hanging="328"/>
        <w:spacing w:after="0" w:line="297" w:lineRule="auto"/>
        <w:tabs>
          <w:tab w:leader="none" w:pos="660" w:val="left"/>
        </w:tabs>
        <w:numPr>
          <w:ilvl w:val="0"/>
          <w:numId w:val="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Win new clients in existing markets. </w:t>
      </w:r>
      <w:r>
        <w:rPr>
          <w:rFonts w:ascii="Arial" w:cs="Arial" w:eastAsia="Arial" w:hAnsi="Arial"/>
          <w:sz w:val="16"/>
          <w:szCs w:val="16"/>
          <w:color w:val="auto"/>
        </w:rPr>
        <w:t>BKFS intends to attract new clients in the mortgage industry by leveraging the value proposition provided by its</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platform and comprehensive solutions offering. In particular, BKFS believes there is a significant opportunity to penetrate the underserved mid-tier mortgage originators and servicers market. BKFS believes that these institutions can benefit from its proven solutions suite in order to address increasingly complex regulatory requirements and compete more effectively in the evolving mortgage market. BKFS intends to continue to pursue this channel and benefit from the low incremental cost of adding new customers to its scaled technology infrastructure.</w:t>
      </w:r>
    </w:p>
    <w:p>
      <w:pPr>
        <w:spacing w:after="0" w:line="23" w:lineRule="exact"/>
        <w:rPr>
          <w:rFonts w:ascii="Arial" w:cs="Arial" w:eastAsia="Arial" w:hAnsi="Arial"/>
          <w:sz w:val="16"/>
          <w:szCs w:val="16"/>
          <w:i w:val="1"/>
          <w:iCs w:val="1"/>
          <w:color w:val="auto"/>
        </w:rPr>
      </w:pPr>
    </w:p>
    <w:p>
      <w:pPr>
        <w:jc w:val="both"/>
        <w:ind w:left="660" w:hanging="328"/>
        <w:spacing w:after="0" w:line="25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Continue to innovate and introduce new solutions. </w:t>
      </w:r>
      <w:r>
        <w:rPr>
          <w:rFonts w:ascii="Arial" w:cs="Arial" w:eastAsia="Arial" w:hAnsi="Arial"/>
          <w:sz w:val="18"/>
          <w:szCs w:val="18"/>
          <w:color w:val="auto"/>
        </w:rPr>
        <w:t>BKFS' long-term vision is to be the industry leading provider for participants of the mortgage</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for their platform, data, and analytic needs. BKFS intends to enhance what it believes is a leadership position in the industry by continuing to innovate its solutions and refine the insight it provides to its clients. BKFS has a strong track record of introducing and developing new solutions that span the mortgage loan life cycle, are tailored to specific industry trends and that enhance its clients’ core operating functions. By working in partnership with key clients, BKFS has been able to develop and market new and advanced solutions to its client base that meet the evolving demands of the mortgage industry. In addition, BKFS will continue to develop and leverage insights from its large public and proprietary data assets to further improve its customer value proposition.</w:t>
      </w:r>
    </w:p>
    <w:p>
      <w:pPr>
        <w:spacing w:after="0" w:line="54"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Powerful focus and dedication to staying up-to-date with regulatory requirements. </w:t>
      </w:r>
      <w:r>
        <w:rPr>
          <w:rFonts w:ascii="Arial" w:cs="Arial" w:eastAsia="Arial" w:hAnsi="Arial"/>
          <w:sz w:val="18"/>
          <w:szCs w:val="18"/>
          <w:color w:val="auto"/>
        </w:rPr>
        <w:t>BKFS has dedicated significant technological and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resources to build and maintain a regulatory infrastructure and human capital base to assist its clients with increased regulatory oversight and requirements. BKFS is able to leverage its consistent investment in this area through its software as a service ("Saas") technology solutions and its market-leading scale. BKFS intends to continue its strategy of building and investing in solutions that help its clients with the regulatory environment.</w:t>
      </w:r>
    </w:p>
    <w:p>
      <w:pPr>
        <w:spacing w:after="0" w:line="53" w:lineRule="exact"/>
        <w:rPr>
          <w:rFonts w:ascii="Arial" w:cs="Arial" w:eastAsia="Arial" w:hAnsi="Arial"/>
          <w:sz w:val="18"/>
          <w:szCs w:val="18"/>
          <w:i w:val="1"/>
          <w:iCs w:val="1"/>
          <w:color w:val="auto"/>
        </w:rPr>
      </w:pPr>
    </w:p>
    <w:p>
      <w:pPr>
        <w:ind w:left="660"/>
        <w:spacing w:after="0"/>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FNFV</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June 30, 2014, we completed the recapitalization of FNF common stock into two tracking stocks, FNF Group common stock and FNFV Group common stock. Through FNFV we actively manage a group of companies and investments with a net asset value of approximately $1.3 billion as of December 31, 2014. The businesses within FNFV primarily consist of our majority ownership positions in ABRH, J. Alexander's, and Digital Insurance and our 32% minority investment in Ceridian. Our strategy for the Group is to continue our activities with respect to such business investments to achieve superior financial performance, maximize and ultimately monetize the value of those assets and to continue to pursue similar investments in businesses and to grow and achieve superior financial performance with respect to such newly acquired businesses.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Restaurant Group</w:t>
      </w:r>
    </w:p>
    <w:p>
      <w:pPr>
        <w:spacing w:after="0" w:line="11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restaurant operations are focused in the family dining, casual dining and upscale-casual dining segments. The Restaurant Group's strategy is to achieve long-term profit growth and drive increases in same store sales and guest counts. We have a highly experienced management team that is focused on enhancing the guest experience at our restaurants and building team member engagement. We also utilize a shared service platform that takes advantage of the combined synergies of our operating companies to provide purchasing power and other shared service functions. We expect to continue to maintain a strong balance sheet for our Restaurant Group to support future acquisitions and to provide stability in all operating environments.</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February 19, 2015, we announced our intention to pursue a tax-free spin-off of J. Alexander's to FNFV shareholders.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FNFV Corporate and Other</w:t>
      </w:r>
    </w:p>
    <w:p>
      <w:pPr>
        <w:spacing w:after="0" w:line="11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December 31, 2014, we closed the previously announced distribution (the "Spin-off") of all of the outstanding shares of common stock of New Remy Corp. ("New Remy") to FNFV shareholders. As part of the Spin-off, FNFV combined all of the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16,342,508 shares of Remy common stock that FNFV owned and a small company called Fidelity National Technology Imaging, LLC ("Imaging") into New Remy. Immediately following the Spin-off, New Remy and Remy International, Inc. ("Old Remy") engaged in a series of stock-for-stock transactions ending with a new publicly-traded holding company, New Remy Holdco Corp. ("New Remy Holdco"). In the Spin-off, FNFV shareholders ultimately received a total of approximately 16.6 million shares of New Remy Holdco common stock, or approximately 0.17879 shares of New Remy Holdco common stock for each share of FNFV that they owned. As a result of the spin-off, the operations of Remy are now presented in discontinued operations for all periods presented. This spin-off was tax free to FNFV shareholders.</w:t>
      </w:r>
    </w:p>
    <w:p>
      <w:pPr>
        <w:spacing w:after="0" w:line="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December 31, 2012, we acquired Digital Insurance. Total consideration paid was $98 million in cash, net of cash acquired of $3 million. We have consolidated the operations of Digital Insurance as of December 31, 2012. Digital Insurance is a leading employee benefits platform specializing in health insurance distribution and benefits management for small and mid-sized businesses.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Acquisitions, Dispositions, Minority Owned Operating Subsidiaries and Financings</w:t>
      </w:r>
    </w:p>
    <w:p>
      <w:pPr>
        <w:spacing w:after="0" w:line="9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Acquisitions have been an important part of our growth strategy. On an ongoing basis, with assistance from our advisors, we actively evaluate possible transactions, such as acquisitions and dispositions of business units and operating assets and business combination transactions.</w:t>
      </w:r>
    </w:p>
    <w:p>
      <w:pPr>
        <w:spacing w:after="0" w:line="1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the future, we may seek to sell certain investments or other assets to increase our liquidity. Further, our management has stated that we may make acquisitions in lines of business that are not directly tied to, or synergistic with, our core operating segments. In the past we have obtained majority and minority investments in entities and securities where we see the potential to achieve above market returns. Fundamentally our goal is to acquire quality companies that are well-positioned in their respective industries, run by best in class management teams in industries that have attractive organic and acquired growth opportunities. We leverage our operational expertise and track record of growing industry leading companies and also our active interaction with the acquired company's management directly or through our board of directors, to ultimately provide value for our shareholders.</w:t>
      </w:r>
    </w:p>
    <w:p>
      <w:pPr>
        <w:spacing w:after="0" w:line="3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can be no assurance that any suitable opportunities will arise or that any particular transaction will be completed. We have made a number of acquisitions over the past three years to strengthen and expand our service offerings and customer base in our various businesses, and to expand into other businesses or where we otherwise saw value.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Insurance</w:t>
      </w:r>
    </w:p>
    <w:p>
      <w:pPr>
        <w:spacing w:after="0" w:line="9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Market for title insurance. </w:t>
      </w:r>
      <w:r>
        <w:rPr>
          <w:rFonts w:ascii="Arial" w:cs="Arial" w:eastAsia="Arial" w:hAnsi="Arial"/>
          <w:sz w:val="18"/>
          <w:szCs w:val="18"/>
          <w:color w:val="auto"/>
        </w:rPr>
        <w:t>According to Demotech Performance of Title Insurance Companies 2014 Edition, an annual compilation of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from the title insurance industry that is published by Demotech Inc., an independent firm ("Demotech"), total operating income for the entire U.S. title insurance industry has decreased from its highest at $17.8 billion in 2005 to $13.4 billion in 2013, which is a $1.2 billion increase from 2012. The size of the industry is closely tied to various macroeconomic factors, including, but not limited to, growth in the gross domestic product, inflation, unemployment, the availability of credit, consumer confidence, interest rates, and sales volumes and prices for new and existing homes, as well as the volume of refinancing of previously issued mortgages.</w:t>
      </w:r>
    </w:p>
    <w:p>
      <w:pPr>
        <w:spacing w:after="0" w:line="5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Most real estate transactions consummated in the U.S. require the use of title insurance by a lending institution before the transaction can be completed. Generally, revenues from title insurance policies are directly correlated with the value of the property underlying the title policy, and appreciation or depreciation in the overall value of the real estate market are major factors in total industry revenues. Industry revenues are also driven by factors affecting the volume of real estate closings, such as the state of the economy, the availability of mortgage funding, and changes in interest rates, which affect demand for new mortgage loans and refinancing transactions. Both the volume and the average price of residential real estate transactions declined from 2007-2011. Beginning in 2008 and continuing through 2011, the mortgage delinquency and default rates caused negative operating results at a number of banks and financial institutions. Multiple banks failed during this time, reducing the capacity of the mortgage industry to make loans. Since this time, lenders have tightened their underwriting standards which has made it more difficult for buyers to qualify for new loans. However, during this same period, interest rates declined to historically low levels, which spurred higher refinance activity in the period 2009 through 2012. During 2013 and continuing through 2014, refinance activity declined due to rising interest rates; however, we experienced an increase in the purchase volume and average price of residential real estate. Overall, our title premiums declined in 2014 compared to 2013.Our revenues in future periods will continue to be subject to these and other factors which are beyond our control and, as a result, are likely to fluctuate.</w:t>
      </w:r>
    </w:p>
    <w:p>
      <w:pPr>
        <w:spacing w:after="0" w:line="45" w:lineRule="exact"/>
        <w:rPr>
          <w:sz w:val="20"/>
          <w:szCs w:val="20"/>
          <w:color w:val="auto"/>
        </w:rPr>
      </w:pPr>
    </w:p>
    <w:p>
      <w:pPr>
        <w:jc w:val="both"/>
        <w:ind w:firstLine="356"/>
        <w:spacing w:after="0" w:line="264" w:lineRule="auto"/>
        <w:rPr>
          <w:sz w:val="20"/>
          <w:szCs w:val="20"/>
          <w:color w:val="auto"/>
        </w:rPr>
      </w:pPr>
      <w:r>
        <w:rPr>
          <w:rFonts w:ascii="Arial" w:cs="Arial" w:eastAsia="Arial" w:hAnsi="Arial"/>
          <w:sz w:val="18"/>
          <w:szCs w:val="18"/>
          <w:color w:val="auto"/>
        </w:rPr>
        <w:t>The U.S. title insurance industry is concentrated among a handful of industry participants. According to Demotech, the top four title insurance groups accounted for 87% of net premiums written in 2013. Approximately 30 independent title insurance companies accounted for the remaining 13% of net premiums written in 2013. Consolidation has created opportunities for increased financial and operating efficiencies for the industry’s largest participants and should continue to drive profitability and market share in the industry.</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Title Insurance Policies. </w:t>
      </w:r>
      <w:r>
        <w:rPr>
          <w:rFonts w:ascii="Arial" w:cs="Arial" w:eastAsia="Arial" w:hAnsi="Arial"/>
          <w:sz w:val="18"/>
          <w:szCs w:val="18"/>
          <w:color w:val="auto"/>
        </w:rPr>
        <w:t>Generally, real estate buyers and mortgage lenders purchase title insurance to insure good and marketable title to real estate and</w:t>
      </w:r>
      <w:r>
        <w:rPr>
          <w:rFonts w:ascii="Arial" w:cs="Arial" w:eastAsia="Arial" w:hAnsi="Arial"/>
          <w:sz w:val="18"/>
          <w:szCs w:val="18"/>
          <w:i w:val="1"/>
          <w:iCs w:val="1"/>
          <w:color w:val="auto"/>
        </w:rPr>
        <w:t xml:space="preserve"> </w:t>
      </w:r>
      <w:r>
        <w:rPr>
          <w:rFonts w:ascii="Arial" w:cs="Arial" w:eastAsia="Arial" w:hAnsi="Arial"/>
          <w:sz w:val="18"/>
          <w:szCs w:val="18"/>
          <w:color w:val="auto"/>
        </w:rPr>
        <w:t>priority of lien. A brief generalized description of the process of issuing a title insurance policy is as follows:</w:t>
      </w:r>
    </w:p>
    <w:p>
      <w:pPr>
        <w:spacing w:after="0" w:line="3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customer, typically a real estate salesperson or broker, escrow agent, attorney or lender, places an order for a title policy.</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Company personnel note the specifics of the title policy order and place a request with the title company or its agents for a preliminary report or commitment.</w:t>
      </w:r>
    </w:p>
    <w:p>
      <w:pPr>
        <w:jc w:val="both"/>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After the relevant historical data on the property is compiled, the title officer prepares a preliminary report that documents the current status of title to the property, any exclusions, exceptions and/or limitations that the title company might include in the policy, and specific issues that need to be addressed and resolved by the parties to the transaction before the title policy will be issued.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preliminary report is circulated to all the parties for satisfaction of any specific issues.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After the specific issues identified in the preliminary report are satisfied, an escrow agent closes the transaction in accordance with the instructions of the parties and the title company’s conditions.</w:t>
      </w: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Once the transaction is closed and all monies have been released, the title company issues a title insurance policy.</w:t>
      </w:r>
    </w:p>
    <w:p>
      <w:pPr>
        <w:spacing w:after="0" w:line="10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real estate transactions financed with a mortgage, virtually all real property mortgage lenders require their borrowers to obtain a title insurance policy at the time a mortgage loan is made. This lender’s policy insures the lender against any defect affecting the priority of the mortgage in an amount equal to the outstanding balance of the related mortgage loan. An owner’s policy is typically also issued, insuring the buyer against defects in title in an amount equal to the purchase price. In a refinancing transaction, only a lender’s policy is generally purchased because ownership of the property has not changed. In the case of an all-cash real estate purchase, no lender’s policy is issued but typically an owner’s title policy is issued.</w:t>
      </w:r>
    </w:p>
    <w:p>
      <w:pPr>
        <w:spacing w:after="0" w:line="3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Title insurance premiums paid in connection with a title insurance policy are based on (and typically are a percentage of) either the amount of the mortgage loan or the purchase price of the property insured. Applicable state insurance regulations or regulatory practices may limit the maximum, or in some cases the minimum, premium that can be charged on a policy. Title insurance premiums are due in full at the closing of the real estate transaction. A lender’s policy generally terminates upon the refinancing or resale of the property.</w:t>
      </w:r>
    </w:p>
    <w:p>
      <w:pPr>
        <w:spacing w:after="0" w:line="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amount of the insured risk or “face amount” of insurance under a title insurance policy is generally equal to either the amount of the loan secured by the property or the purchase price of the property. The title insurer is also responsible for the cost of defending the insured title against covered claims. The insurer’s actual exposure at any given time, however, generally is less than the total face amount of policies outstanding because the coverage of a lender’s policy is reduced and eventually terminated as a result of payments on the mortgage loan. A title insurer also generally does not know when a property has been sold or refinanced except when it issues the replacement coverage. Because of these factors, the total liability of a title underwriter on outstanding policies cannot be precisely determined.</w:t>
      </w:r>
    </w:p>
    <w:p>
      <w:pPr>
        <w:spacing w:after="0" w:line="5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Title insurance companies typically issue title insurance policies directly through branch offices or through affiliated title agencies, or indirectly through independent third party agencies unaffiliated with the title insurance company. Where the policy is issued through a branch or wholly-owned subsidiary agency operation, the title insurance company typically performs or directs the title search, and the premiums collected are retained by the title company. Where the policy is issued through an independent agent, the agent generally performs the title search (in some areas searches are performed by approved attorneys), examines the title, collects the premium and retains a majority of the premium. The remainder of the premium is remitted to the title insurance company as compensation, part of which is for bearing the risk of loss in the event a claim is made under the policy. The percentage of the premium retained by an agent varies from region to region and is sometimes regulated by the states. The title insurance company is obligated to pay title claims in accordance with the terms of its policies, regardless of whether the title insurance company issues policies through its direct operations or through independent agents.</w:t>
      </w:r>
    </w:p>
    <w:p>
      <w:pPr>
        <w:spacing w:after="0" w:line="3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Prior to issuing policies, title insurers and their agents attempt to reduce the risk of future claim losses by accurately performing title searches and</w:t>
      </w:r>
    </w:p>
    <w:p>
      <w:pPr>
        <w:spacing w:after="0" w:line="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examinations. A title insurance company’s predominant expense relates to such searches and examinations, the preparation of preliminary title reports, policies or commitments, the maintenance of "title plants,” which are indexed compilations of public records, maps and other relevant historical documents, and the facilitation and closing of real estate transactions. Claim losses generally result from errors made in the title search and examination process, from hidden defects such as fraud, forgery, incapacity, or missing heirs of the property, and from closing related errors.</w:t>
      </w:r>
    </w:p>
    <w:p>
      <w:pPr>
        <w:spacing w:after="0" w:line="3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Residential real estate business results from the construction, sale, resale and refinancing of residential properties, while commercial real estate business results from similar activities with respect to properties with a business or commercial use. Commercial real estate title insurance policies insure title to commercial real property, and generally involve higher coverage amounts and yield higher premiums. Residential real estate transaction volume is primarily affected by macroeconomic and seasonal factors while commercial real estate transaction volume is affected primarily by fluctuations in local supply and demand conditions for commercial space.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i w:val="1"/>
          <w:iCs w:val="1"/>
          <w:color w:val="auto"/>
        </w:rPr>
        <w:t xml:space="preserve">Direct and Agency Operations. </w:t>
      </w:r>
      <w:r>
        <w:rPr>
          <w:rFonts w:ascii="Arial" w:cs="Arial" w:eastAsia="Arial" w:hAnsi="Arial"/>
          <w:sz w:val="18"/>
          <w:szCs w:val="18"/>
          <w:color w:val="auto"/>
        </w:rPr>
        <w:t>We provide title insurance services through our direct operations and through independent title insurance agents who</w:t>
      </w:r>
      <w:r>
        <w:rPr>
          <w:rFonts w:ascii="Arial" w:cs="Arial" w:eastAsia="Arial" w:hAnsi="Arial"/>
          <w:sz w:val="18"/>
          <w:szCs w:val="18"/>
          <w:i w:val="1"/>
          <w:iCs w:val="1"/>
          <w:color w:val="auto"/>
        </w:rPr>
        <w:t xml:space="preserve"> </w:t>
      </w:r>
      <w:r>
        <w:rPr>
          <w:rFonts w:ascii="Arial" w:cs="Arial" w:eastAsia="Arial" w:hAnsi="Arial"/>
          <w:sz w:val="18"/>
          <w:szCs w:val="18"/>
          <w:color w:val="auto"/>
        </w:rPr>
        <w:t>issue title policies on behalf of our title insurance companies. Our title insurance companies determine the terms and conditions upon which they will insure title to the real property according to our underwriting standards, policies and procedures.</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Direct Operations. </w:t>
      </w:r>
      <w:r>
        <w:rPr>
          <w:rFonts w:ascii="Arial" w:cs="Arial" w:eastAsia="Arial" w:hAnsi="Arial"/>
          <w:sz w:val="18"/>
          <w:szCs w:val="18"/>
          <w:color w:val="auto"/>
        </w:rPr>
        <w:t>In our direct operations, the title insurer issues the title insurance policy and retains the entire premium paid in connection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Our direct operations provide the following benefits:</w:t>
      </w:r>
    </w:p>
    <w:p>
      <w:pPr>
        <w:spacing w:after="0" w:line="3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higher margins because we retain the entire premium from each transaction instead of paying a commission to an independent agent;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continuity of service levels to a broad range of customers;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additional sources of income through escrow and closing services.</w:t>
      </w:r>
    </w:p>
    <w:p>
      <w:pPr>
        <w:spacing w:after="0" w:line="7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have approximately 1,200 offices throughout the U.S. primarily providing residential real estate title insurance. We continuously monitor the number of direct offices to make sure that it remains in line with our strategy and the current economic environment. Our commercial real estate title insurance business is operated almost exclusively through our direct operations. We maintain direct operations for our commercial title insurance business in all the major real estate markets including Atlanta, Boston, Chicago, Dallas, Houston, Los Angeles, New York, Philadelphia, Phoenix, Seattle and Washington D.C.</w:t>
      </w:r>
    </w:p>
    <w:p>
      <w:pPr>
        <w:spacing w:after="0" w:line="1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Agency Operations. </w:t>
      </w:r>
      <w:r>
        <w:rPr>
          <w:rFonts w:ascii="Arial" w:cs="Arial" w:eastAsia="Arial" w:hAnsi="Arial"/>
          <w:sz w:val="17"/>
          <w:szCs w:val="17"/>
          <w:color w:val="auto"/>
        </w:rPr>
        <w:t>In our agency operations, the search and examination function is performed by an independent agent or the agent may purchase the</w:t>
      </w:r>
      <w:r>
        <w:rPr>
          <w:rFonts w:ascii="Arial" w:cs="Arial" w:eastAsia="Arial" w:hAnsi="Arial"/>
          <w:sz w:val="17"/>
          <w:szCs w:val="17"/>
          <w:i w:val="1"/>
          <w:iCs w:val="1"/>
          <w:color w:val="auto"/>
        </w:rPr>
        <w:t xml:space="preserve"> </w:t>
      </w:r>
      <w:r>
        <w:rPr>
          <w:rFonts w:ascii="Arial" w:cs="Arial" w:eastAsia="Arial" w:hAnsi="Arial"/>
          <w:sz w:val="17"/>
          <w:szCs w:val="17"/>
          <w:color w:val="auto"/>
        </w:rPr>
        <w:t>search and examination from us. In either case, the agent is responsible to ensure that the search and examination is completed. The agent thus retains the majority of the title premium collected, with the balance remitted to the title underwriter for bearing the risk of loss in the event that a claim is made under the title insurance policy. Independent agents may select among several title underwriters based upon their relationship with the underwriter, the amount of the premium “split” offered by the underwriter, the overall terms and conditions of the agency agreement and the scope of services offered to the agent. Premium splits vary by geographic region, and in some states are fixed by insurance regulatory requirements. Our relationship with each agent is governed by an agency agreement defining how the agent issues a title insurance policy on our behalf. The agency agreement also sets forth the agent’s liability to us for policy losses attributable to the agent’s errors. An agency agreement is usually terminable without cause upon 30 days notice or immediately for cause. In determining whether to engage or retain an independent agent, we consider the agent’s experience, financial condition and loss history. For each agent with whom we enter into an agency agreement, we maintain financial and loss experience records. We also conduct periodic audits of our agents and strategically manage the number of agents with which we transact business in an effort to reduce future expenses and manage risks. As of December 31, 2014, we transact business with approximately 5,000 agents.</w:t>
      </w:r>
    </w:p>
    <w:p>
      <w:pPr>
        <w:spacing w:after="0" w:line="45"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Fees and Premiums. </w:t>
      </w:r>
      <w:r>
        <w:rPr>
          <w:rFonts w:ascii="Arial" w:cs="Arial" w:eastAsia="Arial" w:hAnsi="Arial"/>
          <w:sz w:val="17"/>
          <w:szCs w:val="17"/>
          <w:color w:val="auto"/>
        </w:rPr>
        <w:t>One method of analyzing our business is to examine the level of premiums generated by direct and agency operations.</w:t>
      </w:r>
    </w:p>
    <w:p>
      <w:pPr>
        <w:spacing w:after="0" w:line="1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percentages of our title insurance premiums generated by direct and agency operations: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4"/>
                <w:szCs w:val="14"/>
                <w:b w:val="1"/>
                <w:bCs w:val="1"/>
                <w:color w:val="auto"/>
                <w:w w:val="93"/>
              </w:rPr>
              <w:t>Year Ended December 31,</w:t>
            </w: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46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2014</w:t>
            </w: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center"/>
              <w:ind w:right="880"/>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jc w:val="right"/>
              <w:ind w:right="960"/>
              <w:spacing w:after="0"/>
              <w:rPr>
                <w:sz w:val="20"/>
                <w:szCs w:val="20"/>
                <w:color w:val="auto"/>
              </w:rPr>
            </w:pPr>
            <w:r>
              <w:rPr>
                <w:rFonts w:ascii="Arial" w:cs="Arial" w:eastAsia="Arial" w:hAnsi="Arial"/>
                <w:sz w:val="14"/>
                <w:szCs w:val="14"/>
                <w:b w:val="1"/>
                <w:bCs w:val="1"/>
                <w:color w:val="auto"/>
                <w:w w:val="96"/>
              </w:rPr>
              <w:t>2012</w:t>
            </w:r>
          </w:p>
        </w:tc>
      </w:tr>
      <w:tr>
        <w:trPr>
          <w:trHeight w:val="264"/>
        </w:trPr>
        <w:tc>
          <w:tcPr>
            <w:tcW w:w="46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4"/>
                <w:szCs w:val="14"/>
                <w:b w:val="1"/>
                <w:bCs w:val="1"/>
                <w:color w:val="auto"/>
              </w:rPr>
              <w:t>Amount</w:t>
            </w:r>
          </w:p>
        </w:tc>
        <w:tc>
          <w:tcPr>
            <w:tcW w:w="7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Amount</w:t>
            </w:r>
          </w:p>
        </w:tc>
        <w:tc>
          <w:tcPr>
            <w:tcW w:w="120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Amount</w:t>
            </w:r>
          </w:p>
        </w:tc>
        <w:tc>
          <w:tcPr>
            <w:tcW w:w="128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w:t>
            </w:r>
          </w:p>
        </w:tc>
      </w:tr>
      <w:tr>
        <w:trPr>
          <w:trHeight w:val="196"/>
        </w:trPr>
        <w:tc>
          <w:tcPr>
            <w:tcW w:w="4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(Dollars in millions)</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6"/>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1,727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1,800</w:t>
            </w:r>
          </w:p>
        </w:tc>
        <w:tc>
          <w:tcPr>
            <w:tcW w:w="12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45.2%</w:t>
            </w: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Agency</w:t>
            </w:r>
          </w:p>
        </w:tc>
        <w:tc>
          <w:tcPr>
            <w:tcW w:w="180" w:type="dxa"/>
            <w:vAlign w:val="bottom"/>
          </w:tcPr>
          <w:p>
            <w:pPr>
              <w:spacing w:after="0"/>
              <w:rPr>
                <w:sz w:val="21"/>
                <w:szCs w:val="21"/>
                <w:color w:val="auto"/>
              </w:rPr>
            </w:pPr>
          </w:p>
        </w:tc>
        <w:tc>
          <w:tcPr>
            <w:tcW w:w="840" w:type="dxa"/>
            <w:vAlign w:val="bottom"/>
          </w:tcPr>
          <w:p>
            <w:pPr>
              <w:jc w:val="right"/>
              <w:ind w:right="17"/>
              <w:spacing w:after="0"/>
              <w:rPr>
                <w:sz w:val="20"/>
                <w:szCs w:val="20"/>
                <w:color w:val="auto"/>
              </w:rPr>
            </w:pPr>
            <w:r>
              <w:rPr>
                <w:rFonts w:ascii="Arial" w:cs="Arial" w:eastAsia="Arial" w:hAnsi="Arial"/>
                <w:sz w:val="18"/>
                <w:szCs w:val="18"/>
                <w:color w:val="auto"/>
              </w:rPr>
              <w:t>1,944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jc w:val="right"/>
              <w:ind w:right="114"/>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2,352</w:t>
            </w: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2,101</w:t>
            </w: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54.8</w:t>
            </w:r>
          </w:p>
        </w:tc>
      </w:tr>
      <w:tr>
        <w:trPr>
          <w:trHeight w:val="27"/>
        </w:trPr>
        <w:tc>
          <w:tcPr>
            <w:tcW w:w="4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7"/>
        </w:trPr>
        <w:tc>
          <w:tcPr>
            <w:tcW w:w="4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title insurance premiums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3,671</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premium for title insurance is due in full when the real estate transaction is closed. We recognize title insurance premium revenues from direct operations upon the closing of the transaction, whereas premium revenues from agency operations include an accrual based on estimates of the volume of transactions that have closed in a particular period for which premiums have not yet been reported to us. The accrual for agency premiums is necessary because of the lag between the closing of these transactions and the reporting of these policies to us by the agent, and is based on estimates utilizing historical information.</w:t>
      </w:r>
    </w:p>
    <w:p>
      <w:pPr>
        <w:spacing w:after="0" w:line="5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Escrow, Title-Related and Other Fees. </w:t>
      </w:r>
      <w:r>
        <w:rPr>
          <w:rFonts w:ascii="Arial" w:cs="Arial" w:eastAsia="Arial" w:hAnsi="Arial"/>
          <w:sz w:val="18"/>
          <w:szCs w:val="18"/>
          <w:color w:val="auto"/>
        </w:rPr>
        <w:t>In addition to fees for underwriting title insurance policies, we derive a significant amount of our revenues from</w:t>
      </w:r>
      <w:r>
        <w:rPr>
          <w:rFonts w:ascii="Arial" w:cs="Arial" w:eastAsia="Arial" w:hAnsi="Arial"/>
          <w:sz w:val="18"/>
          <w:szCs w:val="18"/>
          <w:i w:val="1"/>
          <w:iCs w:val="1"/>
          <w:color w:val="auto"/>
        </w:rPr>
        <w:t xml:space="preserve"> </w:t>
      </w:r>
      <w:r>
        <w:rPr>
          <w:rFonts w:ascii="Arial" w:cs="Arial" w:eastAsia="Arial" w:hAnsi="Arial"/>
          <w:sz w:val="18"/>
          <w:szCs w:val="18"/>
          <w:color w:val="auto"/>
        </w:rPr>
        <w:t>escrow and other title-related services including collection and trust activities, trustee's sales guarantees, recordings and reconveyances, and home warranty services. The escrow and other services provided by us include all of those typically required in connection with residential and commercial real estate purchases and refinance activities. Escrow, title-related and other fees included our Title segment represented approximately 32.8%, 27.1%, and 28.9% of our revenues in 2014, 2013, and 2012, respectively.</w:t>
      </w:r>
    </w:p>
    <w:p>
      <w:pPr>
        <w:spacing w:after="0" w:line="5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We market and distribute our title and escrow products and services to customers in the residential and commercial market sectors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real estate industry through customer solicitation by sales personnel. Although in many instances the individual homeowner is the beneficiary of a title insurance policy, we do not focus our marketing efforts on the homeowner.</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actively encourage our sales personnel to develop new business relationships with persons in the real estate community, such as real estate sales agents and brokers, financial institutions, independent escrow companies and title agents, real estate developers, mortgage brokers and attorneys who order title insurance policies for their clients. While our smaller, local clients remain important, large customers, such as national residential mortgage lenders, real estate investment trusts and developers are an important part of our business. The buying criteria of locally based clients differ from those of large, geographically diverse customers in that the former tend to emphasize personal relationships and ease of transaction execution, while the latter generally place more emphasis on consistent product delivery across diverse geographical regions and the ability of service providers to meet their information systems requirements for electronic product delivery.</w:t>
      </w:r>
    </w:p>
    <w:p>
      <w:pPr>
        <w:spacing w:after="0" w:line="54" w:lineRule="exact"/>
        <w:rPr>
          <w:sz w:val="20"/>
          <w:szCs w:val="20"/>
          <w:color w:val="auto"/>
        </w:rPr>
      </w:pPr>
    </w:p>
    <w:p>
      <w:pPr>
        <w:jc w:val="both"/>
        <w:ind w:firstLine="324"/>
        <w:spacing w:after="0" w:line="334" w:lineRule="auto"/>
        <w:rPr>
          <w:sz w:val="20"/>
          <w:szCs w:val="20"/>
          <w:color w:val="auto"/>
        </w:rPr>
      </w:pPr>
      <w:r>
        <w:rPr>
          <w:rFonts w:ascii="Arial" w:cs="Arial" w:eastAsia="Arial" w:hAnsi="Arial"/>
          <w:sz w:val="16"/>
          <w:szCs w:val="16"/>
          <w:i w:val="1"/>
          <w:iCs w:val="1"/>
          <w:color w:val="auto"/>
        </w:rPr>
        <w:t xml:space="preserve">Claims. </w:t>
      </w:r>
      <w:r>
        <w:rPr>
          <w:rFonts w:ascii="Arial" w:cs="Arial" w:eastAsia="Arial" w:hAnsi="Arial"/>
          <w:sz w:val="16"/>
          <w:szCs w:val="16"/>
          <w:color w:val="auto"/>
        </w:rPr>
        <w:t>An important part of our operations is the handling of title and escrow claims. We employ a large staff of attorneys in our claims department. Our</w:t>
      </w:r>
      <w:r>
        <w:rPr>
          <w:rFonts w:ascii="Arial" w:cs="Arial" w:eastAsia="Arial" w:hAnsi="Arial"/>
          <w:sz w:val="16"/>
          <w:szCs w:val="16"/>
          <w:i w:val="1"/>
          <w:iCs w:val="1"/>
          <w:color w:val="auto"/>
        </w:rPr>
        <w:t xml:space="preserve"> </w:t>
      </w:r>
      <w:r>
        <w:rPr>
          <w:rFonts w:ascii="Arial" w:cs="Arial" w:eastAsia="Arial" w:hAnsi="Arial"/>
          <w:sz w:val="16"/>
          <w:szCs w:val="16"/>
          <w:color w:val="auto"/>
        </w:rPr>
        <w:t>claims processing centers are located in Omaha, Nebraska and Jacksonville, Florida. In-house claims counsel are also located in other parts of the country.</w:t>
      </w:r>
    </w:p>
    <w:p>
      <w:pPr>
        <w:spacing w:after="0" w:line="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Claims result from a wide range of causes. These causes generally include, but are not limited to, search and exam errors, forgeries, incorrect legal descriptions, signature and notary errors, unrecorded liens, mechanics’ liens, the failure to pay off existing liens, mortgage lending fraud, mishandling or theft of settlement funds (including independent agency theft), and mistakes in the escrow process. Under our policies, we are required to defend insureds when covered claims are filed against their interest in the property. Some claimants seek damages in excess of policy limits. Those claims are based on various legal theories, including in some cases allegations of negligence or an intentional tort. We occasionally incur losses in excess of policy limits. Experience shows that most policy claims and claim payments are made in the first five years after the policy has been issued, although claims may also be reported and paid many years later.</w:t>
      </w:r>
    </w:p>
    <w:p>
      <w:pPr>
        <w:spacing w:after="0" w:line="5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Title losses due to independent agency defalcations typically occur when the independent agency misappropriates funds from escrow accounts under its control. Such losses are usually discovered when the independent agency fails to pay off an outstanding mortgage loan at closing (or immediately thereafter) from the proceeds of the new loan. Once the previous lender determines that its loan has not been paid off timely, it will file a claim against the title insurer.</w:t>
      </w:r>
    </w:p>
    <w:p>
      <w:pPr>
        <w:spacing w:after="0" w:line="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Claims can be complex, vary greatly in dollar amounts and are affected by economic and market conditions and the legal environment existing at the time claims are processed. In our commercial title business, we may issue polices with face amounts well in excess of $100 million, and from time to time claims are submitted with respect to large policies. We believe we are appropriately reserved with respect to all claims (large and small) that we currently face. Occasionally we experience large losses from title policies that have been issued or from our escrow operations, or overall worsening loss payment experience, which require us to increase our title loss reserves. These events are unpredictable and adversely affect our earnings. Claims can result in litigation in which we may represent our insured and/or ourselves. We consider this type of litigation to be an ordinary course aspect of the conduct of our business.</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Reinsurance and Coinsurance. </w:t>
      </w:r>
      <w:r>
        <w:rPr>
          <w:rFonts w:ascii="Arial" w:cs="Arial" w:eastAsia="Arial" w:hAnsi="Arial"/>
          <w:sz w:val="17"/>
          <w:szCs w:val="17"/>
          <w:color w:val="auto"/>
        </w:rPr>
        <w:t>We limit our maximum loss exposure by reinsuring risks with other insurers under excess of loss and case-by-case</w:t>
      </w:r>
    </w:p>
    <w:p>
      <w:pPr>
        <w:spacing w:after="0" w:line="7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(“facultative”) reinsurance agreements. Reinsurance agreements generally provide that the reinsurer is liable for loss and loss adjustment expense payments exceeding the amount retained by the ceding company. However, the ceding company remains primarily liable to the insured whether or not the reinsurer is able to meet its contractual obligations. Facultative reinsurance agreements are entered into with other title insurers when the transaction to be insured will exceed state statutory or self-imposed limits. Excess of loss reinsurance protects us from a loss from a single loss occurrence. Through March 1, 2015, our excess of loss coverage is split into two tiers. The first tier provides coverage for residential and commercial transactions up to $100 million per loss occurrence, subject to a $20 million retention per loss. The second tier provides additional coverage for commercial transactions in excess of $100 million of loss per occurrence up to $400 million per occurrence, with the Company participating at approximately 10%. We are currently in process of negotiating the terms and conditions of our 2015 - 2016 coverages, but do not expect there to be substantial changes in the terms and conditions.</w:t>
      </w:r>
    </w:p>
    <w:p>
      <w:pPr>
        <w:spacing w:after="0" w:line="31" w:lineRule="exact"/>
        <w:rPr>
          <w:sz w:val="20"/>
          <w:szCs w:val="20"/>
          <w:color w:val="auto"/>
        </w:rPr>
      </w:pPr>
    </w:p>
    <w:p>
      <w:pPr>
        <w:jc w:val="both"/>
        <w:ind w:right="20" w:firstLine="329"/>
        <w:spacing w:after="0" w:line="328" w:lineRule="auto"/>
        <w:rPr>
          <w:sz w:val="20"/>
          <w:szCs w:val="20"/>
          <w:color w:val="auto"/>
        </w:rPr>
      </w:pPr>
      <w:r>
        <w:rPr>
          <w:rFonts w:ascii="Arial" w:cs="Arial" w:eastAsia="Arial" w:hAnsi="Arial"/>
          <w:sz w:val="18"/>
          <w:szCs w:val="18"/>
          <w:color w:val="auto"/>
        </w:rPr>
        <w:t>In addition to reinsurance, we carry errors and omissions insurance and fidelity bond coverage, each of which can provide protection to us in the event of certain types of losses that can occur in our businesses.</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policy is to be selective in choosing our reinsurers, seeking only those companies that we consider to be financially stable and adequately capitalized.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an effort to minimize exposure to the insolvency of a reinsurer, we periodically review the financial condition of our reinsurers.</w:t>
      </w:r>
    </w:p>
    <w:p>
      <w:pPr>
        <w:spacing w:after="0" w:line="76"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also use coinsurance in our commercial title business to provide coverage in amounts greater than we would be willing or able to provide individually. In coinsurance transactions, each individual underwriting company issues a separate policy and assumes a portion of the overall total risk. As a coinsurer we are only liable for the portion of the risk we assume.</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also earn a small amount of additional income, which is reflected in our direct premiums, by assuming reinsurance for certain risks of other title insurers.</w:t>
      </w:r>
    </w:p>
    <w:p>
      <w:pPr>
        <w:spacing w:after="0" w:line="35" w:lineRule="exact"/>
        <w:rPr>
          <w:sz w:val="20"/>
          <w:szCs w:val="20"/>
          <w:color w:val="auto"/>
        </w:rPr>
      </w:pPr>
    </w:p>
    <w:p>
      <w:pPr>
        <w:jc w:val="both"/>
        <w:ind w:firstLine="324"/>
        <w:spacing w:after="0" w:line="340" w:lineRule="auto"/>
        <w:rPr>
          <w:sz w:val="20"/>
          <w:szCs w:val="20"/>
          <w:color w:val="auto"/>
        </w:rPr>
      </w:pPr>
      <w:r>
        <w:rPr>
          <w:rFonts w:ascii="Arial" w:cs="Arial" w:eastAsia="Arial" w:hAnsi="Arial"/>
          <w:sz w:val="18"/>
          <w:szCs w:val="18"/>
          <w:i w:val="1"/>
          <w:iCs w:val="1"/>
          <w:color w:val="auto"/>
        </w:rPr>
        <w:t xml:space="preserve">Competition. </w:t>
      </w:r>
      <w:r>
        <w:rPr>
          <w:rFonts w:ascii="Arial" w:cs="Arial" w:eastAsia="Arial" w:hAnsi="Arial"/>
          <w:sz w:val="18"/>
          <w:szCs w:val="18"/>
          <w:color w:val="auto"/>
        </w:rPr>
        <w:t>Competition in the title insurance industry is based primarily on expertise, service and price. In addition, the financial strength of the insurer</w:t>
      </w:r>
      <w:r>
        <w:rPr>
          <w:rFonts w:ascii="Arial" w:cs="Arial" w:eastAsia="Arial" w:hAnsi="Arial"/>
          <w:sz w:val="18"/>
          <w:szCs w:val="18"/>
          <w:i w:val="1"/>
          <w:iCs w:val="1"/>
          <w:color w:val="auto"/>
        </w:rPr>
        <w:t xml:space="preserve"> </w:t>
      </w:r>
      <w:r>
        <w:rPr>
          <w:rFonts w:ascii="Arial" w:cs="Arial" w:eastAsia="Arial" w:hAnsi="Arial"/>
          <w:sz w:val="18"/>
          <w:szCs w:val="18"/>
          <w:color w:val="auto"/>
        </w:rPr>
        <w:t>has become an increasingly important factor in decisions relating to the purchase of title insurance,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particularly in multi-state transactions and in situations involving real estate-related investment vehicles such as real estate investment trusts and real estate mortgage investment conduits. The number and size of competing companies varies in the different geographic areas in which we conduct our business. In our principal markets, competitors include other major title underwriters such as First American Financial Corporation, Old Republic International Corporation and Stewart Information Services Corporation, as well as numerous smaller title insurance companies, underwritten title companies and independent agency operations at the regional and local level. Several of our smaller competitors have closed their operations in the past few years as a result of the significant decrease in activity in the residential real estate market. The addition or removal of regulatory barriers might result in changes to competition in the title insurance business. New competitors may include diversified financial services companies that have greater financial resources than we do and possess other competitive advantages. Competition among the major title insurance companies, expansion by smaller regional companies and any new entrants with alternative products could affect our business operations and financial condition.</w:t>
      </w:r>
    </w:p>
    <w:p>
      <w:pPr>
        <w:spacing w:after="0" w:line="47"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Regulation. </w:t>
      </w:r>
      <w:r>
        <w:rPr>
          <w:rFonts w:ascii="Arial" w:cs="Arial" w:eastAsia="Arial" w:hAnsi="Arial"/>
          <w:sz w:val="16"/>
          <w:szCs w:val="16"/>
          <w:color w:val="auto"/>
        </w:rPr>
        <w:t>Our insurance subsidiaries, including title insurers, underwritten title companies and insurance agencies, are subject to extensive regulation</w:t>
      </w:r>
    </w:p>
    <w:p>
      <w:pPr>
        <w:spacing w:after="0" w:line="8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applicable state laws. Each of the insurers is subject to a holding company act in its state of domicile, which regulates, among other matters, the ability to pay dividends and enter into transactions with affiliates. The laws of most states in which we transact business establish supervisory agencies with broad administrative powers relating to issuing and revoking licenses to transact business, regulating trade practices, licensing agents, approving policy forms, accounting practices, financial practices, establishing reserve and capital and surplus as regards policyholders (“capital and surplus”) requirements, defining suitable investments for reserves and capital and surplus and approving rate schedules. The process of state regulation of changes in rates ranges from states which set rates, to states where individual companies or associations of companies prepare rate filings which are submitted for approval, to a few states in which rate changes do not need to be filed for approval.</w:t>
      </w:r>
    </w:p>
    <w:p>
      <w:pPr>
        <w:spacing w:after="0" w:line="4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Since we are governed by both state and federal governments and the applicable insurance laws and regulations are constantly subject to change, it is not possible to predict the potential effects on our insurance operations of any laws or regulations that may become more restrictive in the future or if new restrictive laws will be enacted.</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Pursuant to statutory accounting requirements of the various states in which our title insurers are domiciled, these insurers must defer a portion of</w:t>
      </w:r>
    </w:p>
    <w:p>
      <w:pPr>
        <w:spacing w:after="0" w:line="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premiums as an unearned premium reserve for the protection of policyholders (in addition to their reserves for known claims) and must maintain qualified assets in an amount equal to the statutory requirements. The level of unearned premium reserve required to be maintained at any time is determined by a statutory formula based upon either the age, number of policies, and dollar amount of policy liabilities underwritten, or the age and dollar amount of statutory premiums written. As of December 31, 2014, the combined statutory unearned premium reserve required and reported for our title insurers was $1,736 million. In addition to statutory unearned premium reserves and reserves for known claims, each of our insurers maintains surplus funds for policyholder protection and business operations.</w:t>
      </w:r>
    </w:p>
    <w:p>
      <w:pPr>
        <w:spacing w:after="0" w:line="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Each of our insurance subsidiaries is regulated by the insurance regulatory authority in its respective state of domicile, as well as that of each state in which it is licensed. The insurance commissioners of their respective states of domicile are the primary regulators of our insurance subsidiaries. Each of the insurers is subject to periodic regulatory financial examination by regulatory authorities.</w:t>
      </w:r>
    </w:p>
    <w:p>
      <w:pPr>
        <w:spacing w:after="0" w:line="4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Under the statutes governing insurance holding companies in most states, insurers may not enter into certain transactions, including sales, reinsurance agreements and service or management contracts, with their affiliates unless the regulatory authority of the insurer’s state of domicile has received notice at least 30 days prior to the intended effective date of such transaction and has not objected to, or has approved, the transaction within the 30-day period.</w:t>
      </w:r>
    </w:p>
    <w:p>
      <w:pPr>
        <w:spacing w:after="0" w:line="1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 a holding company with no significant business operations of our own, we depend on dividends or other distributions from our subsidiaries as the</w:t>
      </w:r>
    </w:p>
    <w:p>
      <w:pPr>
        <w:spacing w:after="0" w:line="8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principal source of cash to meet our obligations, including the payment of interest on and repayment of principal of any debt obligations, and to pay any dividends to our shareholders. The payment of dividends or other distributions to us by our insurers is regulated by the insurance laws and regulations of their respective states of domicile. In general, an insurance company subsidiary may not pay an “extraordinary” dividend or distribution unless the applicable insurance regulator has received notice of the intended payment at least 30 days prior to payment and has not objected to or has approved the payment within the 30-day period. In general, an “extraordinary” dividend or distribution is statutorily defined as a dividend or distribution that, together with other dividends and distributions made within the preceding 12 months, exceeds the greater of:</w:t>
      </w:r>
    </w:p>
    <w:p>
      <w:pPr>
        <w:spacing w:after="0" w:line="4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10% of the insurer’s statutory surplus as of the immediately prior year end; or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statutory net income of the insurer during the prior calendar year.</w:t>
      </w:r>
    </w:p>
    <w:p>
      <w:pPr>
        <w:spacing w:after="0" w:line="7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laws and regulations of some jurisdictions also prohibit an insurer from declaring or paying a dividend except out of its earned surplus or require the insurer to obtain prior regulatory approval. During 2015, our directly owned title insurers can pay dividends or make distributions to us of approximately $236 million without prior regulatory approval; however, insurance regulators have the authority to prohibit the payment of ordinary dividends or other payments by our title insurers to us (such as a payment under a tax sharing agreement or for other services) if they determine that such payment could be adverse to our policyholders. There are no restrictions on our retained earnings regarding our ability to pay dividends to shareholders.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combined statutory capital and surplus of our title insurers was approximately $1,472 million and $1,409 million as of December 31, 2014 and 2013, respectively. The combined statutory earnings of our title insurers were $276 million, $352 million, and $281 million for the years ended December 31, 2014, 2013, and 2012, respectively.</w:t>
      </w:r>
    </w:p>
    <w:p>
      <w:pPr>
        <w:spacing w:after="0" w:line="4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a condition to continued authority to underwrite policies in the states in which our insurers conduct their business, they are required to pay certain fees and file information regarding their officers, directors and financial condition.</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Pursuant to statutory requirements of the various states in which our insurers are domiciled, such insurers must maintain certain levels of minimum</w:t>
      </w:r>
    </w:p>
    <w:p>
      <w:pPr>
        <w:spacing w:after="0" w:line="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capital and surplus. Required levels of minimum capital and surplus are not significant to the insurers individually or in the aggregate. Each of our insurers has complied with the minimum statutory requirements as of December 31, 2014.</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underwritten title companies are also subject to certain regulation by insurance regulatory or banking authorities, primarily relating to minimum net</w:t>
      </w:r>
    </w:p>
    <w:p>
      <w:pPr>
        <w:spacing w:after="0" w:line="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worth. Minimum net worth requirements for each underwritten title company is less than $1 million. These companies were in compliance with their respective minimum net worth requirements at December 31, 2014.</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From time to time we receive inquiries and requests for information from state insurance departments, attorneys general and other regulatory agencies</w:t>
      </w:r>
    </w:p>
    <w:p>
      <w:pPr>
        <w:spacing w:after="0" w:line="8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 For further discussion, see item 3, Legal Proceedings.</w:t>
      </w:r>
    </w:p>
    <w:p>
      <w:pPr>
        <w:spacing w:after="0" w:line="4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Before a person can acquire control of a U.S. insurance company, prior written approval must be obtained from the insurance commissioner of the state in which the insurer is domiciled. Prior to granting approval of an application to acquire control of a domestic insurer, the state insurance commissioner will consider such factors as the financial strength of the applicant, the integrity and management of the applicant’s Board of Directors and executive officers, the acquirer’s plans for the insurer’s Board of Directors and executive officers, the acquirer’s plans for the future operations of the domestic insurer and any anti-competitive results that may arise from the consummation of the acquisition of control. Generally, state statutes provide that control over a domestic insurer is presumed to exist if any person, directly or indirectly, owns, controls, holds with the power to vote, or holds proxies representing 10% or more of the voting securities of the domestic insurer. Because a person acquiring 10% or more of our common shares would indirectly control the same percentage of the stock of our insurers, the insurance change of control laws would likely apply to such a transaction.</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National Association of Insurance Commissioners ("NAIC") has adopted an instruction requiring an annual certification of reserve adequacy by a</w:t>
      </w:r>
    </w:p>
    <w:p>
      <w:pPr>
        <w:spacing w:after="0" w:line="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qualified actuary. Because all of the states in which our title insurers are domiciled require adherence to NAIC filing procedures, each such insurer, unless it qualifies for an exemption, must file an actuarial opinion with respect to the adequacy of its reserves.</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Title Insurance Ratings</w:t>
      </w:r>
    </w:p>
    <w:p>
      <w:pPr>
        <w:spacing w:after="0" w:line="9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title insurance underwriters are regularly assigned ratings by independent agencies designed to indicate their financial condition and/or claims paying ability. The rating agencies determine ratings by quantitatively and qualitatively analyzing financial data and other information. Our title subsidiaries include Alamo Title, Chicago Title, Commonwealth Land Title, and Fidelity National Title. Standard &amp; Poor’s Ratings Group (“S&amp;P”), Moody’s Investors Service (“Moody’s”), and A. M. Best Company ("A.M. Best") provide ratings for the entire FNF family of companies as a whole as follows:</w:t>
      </w:r>
    </w:p>
    <w:p>
      <w:pPr>
        <w:spacing w:after="0" w:line="30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S&amp;P</w:t>
            </w:r>
          </w:p>
        </w:tc>
        <w:tc>
          <w:tcPr>
            <w:tcW w:w="2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Moody’s</w:t>
            </w:r>
          </w:p>
        </w:tc>
        <w:tc>
          <w:tcPr>
            <w:tcW w:w="2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A.M. Best</w:t>
            </w:r>
          </w:p>
        </w:tc>
      </w:tr>
      <w:tr>
        <w:trPr>
          <w:trHeight w:val="243"/>
        </w:trPr>
        <w:tc>
          <w:tcPr>
            <w:tcW w:w="7860" w:type="dxa"/>
            <w:vAlign w:val="bottom"/>
          </w:tcPr>
          <w:p>
            <w:pPr>
              <w:spacing w:after="0"/>
              <w:rPr>
                <w:sz w:val="20"/>
                <w:szCs w:val="20"/>
                <w:color w:val="auto"/>
              </w:rPr>
            </w:pPr>
            <w:r>
              <w:rPr>
                <w:rFonts w:ascii="Arial" w:cs="Arial" w:eastAsia="Arial" w:hAnsi="Arial"/>
                <w:sz w:val="18"/>
                <w:szCs w:val="18"/>
                <w:color w:val="auto"/>
              </w:rPr>
              <w:t>FNF family of companies</w:t>
            </w: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A</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A3</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A-</w:t>
            </w: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relative position of each of our ratings among the ratings scale assigned by each rating agency is as follows:</w:t>
      </w:r>
    </w:p>
    <w:p>
      <w:pPr>
        <w:spacing w:after="0" w:line="90" w:lineRule="exact"/>
        <w:rPr>
          <w:sz w:val="20"/>
          <w:szCs w:val="20"/>
          <w:color w:val="auto"/>
        </w:rPr>
      </w:pPr>
    </w:p>
    <w:p>
      <w:pPr>
        <w:ind w:left="660" w:right="20" w:hanging="328"/>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S&amp;P "A" rating is the third highest rating of 17 ratings for S&amp;P. S&amp;P states that an “A” rating means that, in its opinion, the insurer is highly likely to have the ability to meet its financial obligations.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Moody's "A3" rating is the fourth highest rating of 21 ratings for Moody's. Moody's states that insurance companies rated “A3” offer good financial security.</w:t>
      </w:r>
    </w:p>
    <w:p>
      <w:pPr>
        <w:ind w:left="660" w:hanging="328"/>
        <w:spacing w:after="0" w:line="26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A.M. Best "A-" rating is the fourth highest rating of 17 ratings for A.M. Best. A.M. Best states that its “A- (Excellent)” rating is assigned to those companies that have, in its opinion, an excellent ability to meet their ongoing obligations to policyholders.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Demotech provides financial strength/stability ratings for each of our principal title insurance underwriters individually,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Alamo Title Insurance</w:t>
            </w:r>
          </w:p>
        </w:tc>
        <w:tc>
          <w:tcPr>
            <w:tcW w:w="4240" w:type="dxa"/>
            <w:vAlign w:val="bottom"/>
            <w:shd w:val="clear" w:color="auto" w:fill="CCEEFF"/>
          </w:tcPr>
          <w:p>
            <w:pPr>
              <w:ind w:left="3700"/>
              <w:spacing w:after="0"/>
              <w:rPr>
                <w:sz w:val="20"/>
                <w:szCs w:val="20"/>
                <w:color w:val="auto"/>
              </w:rPr>
            </w:pPr>
            <w:r>
              <w:rPr>
                <w:rFonts w:ascii="Arial" w:cs="Arial" w:eastAsia="Arial" w:hAnsi="Arial"/>
                <w:sz w:val="18"/>
                <w:szCs w:val="18"/>
                <w:color w:val="auto"/>
              </w:rPr>
              <w:t>A'</w:t>
            </w:r>
          </w:p>
        </w:tc>
      </w:tr>
      <w:tr>
        <w:trPr>
          <w:trHeight w:val="243"/>
        </w:trPr>
        <w:tc>
          <w:tcPr>
            <w:tcW w:w="7180" w:type="dxa"/>
            <w:vAlign w:val="bottom"/>
          </w:tcPr>
          <w:p>
            <w:pPr>
              <w:ind w:left="40"/>
              <w:spacing w:after="0"/>
              <w:rPr>
                <w:sz w:val="20"/>
                <w:szCs w:val="20"/>
                <w:color w:val="auto"/>
              </w:rPr>
            </w:pPr>
            <w:r>
              <w:rPr>
                <w:rFonts w:ascii="Arial" w:cs="Arial" w:eastAsia="Arial" w:hAnsi="Arial"/>
                <w:sz w:val="18"/>
                <w:szCs w:val="18"/>
                <w:color w:val="auto"/>
              </w:rPr>
              <w:t>Chicago Title Insurance Company</w:t>
            </w:r>
          </w:p>
        </w:tc>
        <w:tc>
          <w:tcPr>
            <w:tcW w:w="4240" w:type="dxa"/>
            <w:vAlign w:val="bottom"/>
          </w:tcPr>
          <w:p>
            <w:pPr>
              <w:ind w:left="3700"/>
              <w:spacing w:after="0"/>
              <w:rPr>
                <w:sz w:val="20"/>
                <w:szCs w:val="20"/>
                <w:color w:val="auto"/>
              </w:rPr>
            </w:pPr>
            <w:r>
              <w:rPr>
                <w:rFonts w:ascii="Arial" w:cs="Arial" w:eastAsia="Arial" w:hAnsi="Arial"/>
                <w:sz w:val="18"/>
                <w:szCs w:val="18"/>
                <w:color w:val="auto"/>
              </w:rPr>
              <w:t>A''</w:t>
            </w:r>
          </w:p>
        </w:tc>
      </w:tr>
      <w:tr>
        <w:trPr>
          <w:trHeight w:val="27"/>
        </w:trPr>
        <w:tc>
          <w:tcPr>
            <w:tcW w:w="7180" w:type="dxa"/>
            <w:vAlign w:val="bottom"/>
          </w:tcPr>
          <w:p>
            <w:pPr>
              <w:spacing w:after="0"/>
              <w:rPr>
                <w:sz w:val="2"/>
                <w:szCs w:val="2"/>
                <w:color w:val="auto"/>
              </w:rPr>
            </w:pPr>
          </w:p>
        </w:tc>
        <w:tc>
          <w:tcPr>
            <w:tcW w:w="424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Commonwealth Land Title Insurance Company</w:t>
            </w:r>
          </w:p>
        </w:tc>
        <w:tc>
          <w:tcPr>
            <w:tcW w:w="4240" w:type="dxa"/>
            <w:vAlign w:val="bottom"/>
            <w:tcBorders>
              <w:bottom w:val="single" w:sz="8" w:color="CCEEFF"/>
            </w:tcBorders>
            <w:shd w:val="clear" w:color="auto" w:fill="CCEEFF"/>
          </w:tcPr>
          <w:p>
            <w:pPr>
              <w:ind w:left="3700"/>
              <w:spacing w:after="0"/>
              <w:rPr>
                <w:sz w:val="20"/>
                <w:szCs w:val="20"/>
                <w:color w:val="auto"/>
              </w:rPr>
            </w:pPr>
            <w:r>
              <w:rPr>
                <w:rFonts w:ascii="Arial" w:cs="Arial" w:eastAsia="Arial" w:hAnsi="Arial"/>
                <w:sz w:val="18"/>
                <w:szCs w:val="18"/>
                <w:color w:val="auto"/>
              </w:rPr>
              <w:t>A'</w:t>
            </w:r>
          </w:p>
        </w:tc>
      </w:tr>
      <w:tr>
        <w:trPr>
          <w:trHeight w:val="243"/>
        </w:trPr>
        <w:tc>
          <w:tcPr>
            <w:tcW w:w="7180" w:type="dxa"/>
            <w:vAlign w:val="bottom"/>
          </w:tcPr>
          <w:p>
            <w:pPr>
              <w:ind w:left="40"/>
              <w:spacing w:after="0"/>
              <w:rPr>
                <w:sz w:val="20"/>
                <w:szCs w:val="20"/>
                <w:color w:val="auto"/>
              </w:rPr>
            </w:pPr>
            <w:r>
              <w:rPr>
                <w:rFonts w:ascii="Arial" w:cs="Arial" w:eastAsia="Arial" w:hAnsi="Arial"/>
                <w:sz w:val="18"/>
                <w:szCs w:val="18"/>
                <w:color w:val="auto"/>
              </w:rPr>
              <w:t>Fidelity National Title Insurance Company</w:t>
            </w:r>
          </w:p>
        </w:tc>
        <w:tc>
          <w:tcPr>
            <w:tcW w:w="4240" w:type="dxa"/>
            <w:vAlign w:val="bottom"/>
          </w:tcPr>
          <w:p>
            <w:pPr>
              <w:ind w:left="3700"/>
              <w:spacing w:after="0"/>
              <w:rPr>
                <w:sz w:val="20"/>
                <w:szCs w:val="20"/>
                <w:color w:val="auto"/>
              </w:rPr>
            </w:pPr>
            <w:r>
              <w:rPr>
                <w:rFonts w:ascii="Arial" w:cs="Arial" w:eastAsia="Arial" w:hAnsi="Arial"/>
                <w:sz w:val="18"/>
                <w:szCs w:val="18"/>
                <w:color w:val="auto"/>
              </w:rPr>
              <w:t>A'</w:t>
            </w:r>
          </w:p>
        </w:tc>
      </w:tr>
      <w:tr>
        <w:trPr>
          <w:trHeight w:val="27"/>
        </w:trPr>
        <w:tc>
          <w:tcPr>
            <w:tcW w:w="7180" w:type="dxa"/>
            <w:vAlign w:val="bottom"/>
          </w:tcPr>
          <w:p>
            <w:pPr>
              <w:spacing w:after="0"/>
              <w:rPr>
                <w:sz w:val="2"/>
                <w:szCs w:val="2"/>
                <w:color w:val="auto"/>
              </w:rPr>
            </w:pPr>
          </w:p>
        </w:tc>
        <w:tc>
          <w:tcPr>
            <w:tcW w:w="4240" w:type="dxa"/>
            <w:vAlign w:val="bottom"/>
          </w:tcPr>
          <w:p>
            <w:pPr>
              <w:spacing w:after="0"/>
              <w:rPr>
                <w:sz w:val="2"/>
                <w:szCs w:val="2"/>
                <w:color w:val="auto"/>
              </w:rPr>
            </w:pPr>
          </w:p>
        </w:tc>
      </w:tr>
      <w:tr>
        <w:trPr>
          <w:trHeight w:val="243"/>
        </w:trPr>
        <w:tc>
          <w:tcPr>
            <w:tcW w:w="7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National Title Insurance of New York</w:t>
            </w:r>
          </w:p>
        </w:tc>
        <w:tc>
          <w:tcPr>
            <w:tcW w:w="4240" w:type="dxa"/>
            <w:vAlign w:val="bottom"/>
            <w:shd w:val="clear" w:color="auto" w:fill="CCEEFF"/>
          </w:tcPr>
          <w:p>
            <w:pPr>
              <w:ind w:left="3700"/>
              <w:spacing w:after="0"/>
              <w:rPr>
                <w:sz w:val="20"/>
                <w:szCs w:val="20"/>
                <w:color w:val="auto"/>
              </w:rPr>
            </w:pPr>
            <w:r>
              <w:rPr>
                <w:rFonts w:ascii="Arial" w:cs="Arial" w:eastAsia="Arial" w:hAnsi="Arial"/>
                <w:sz w:val="18"/>
                <w:szCs w:val="18"/>
                <w:color w:val="auto"/>
              </w:rPr>
              <w:t>A'</w:t>
            </w:r>
          </w:p>
        </w:tc>
      </w:tr>
      <w:tr>
        <w:trPr>
          <w:trHeight w:val="27"/>
        </w:trPr>
        <w:tc>
          <w:tcPr>
            <w:tcW w:w="7180" w:type="dxa"/>
            <w:vAlign w:val="bottom"/>
            <w:shd w:val="clear" w:color="auto" w:fill="CCEEFF"/>
          </w:tcPr>
          <w:p>
            <w:pPr>
              <w:spacing w:after="0"/>
              <w:rPr>
                <w:sz w:val="2"/>
                <w:szCs w:val="2"/>
                <w:color w:val="auto"/>
              </w:rPr>
            </w:pPr>
          </w:p>
        </w:tc>
        <w:tc>
          <w:tcPr>
            <w:tcW w:w="424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Demotech states that its ratings of "A"(A double prime)" and "A' (A prime)" reflect its opinion that, regardless of the severity of a general economic</w:t>
      </w:r>
    </w:p>
    <w:p>
      <w:pPr>
        <w:spacing w:after="0" w:line="75" w:lineRule="exact"/>
        <w:rPr>
          <w:sz w:val="20"/>
          <w:szCs w:val="20"/>
          <w:color w:val="auto"/>
        </w:rPr>
      </w:pPr>
    </w:p>
    <w:p>
      <w:pPr>
        <w:jc w:val="both"/>
        <w:ind w:right="20"/>
        <w:spacing w:after="0" w:line="334" w:lineRule="auto"/>
        <w:rPr>
          <w:sz w:val="20"/>
          <w:szCs w:val="20"/>
          <w:color w:val="auto"/>
        </w:rPr>
      </w:pPr>
      <w:r>
        <w:rPr>
          <w:rFonts w:ascii="Arial" w:cs="Arial" w:eastAsia="Arial" w:hAnsi="Arial"/>
          <w:sz w:val="16"/>
          <w:szCs w:val="16"/>
          <w:color w:val="auto"/>
        </w:rPr>
        <w:t>downturn or deterioration in the insurance cycle, the insurers assigned either of those ratings possess "Unsurpassed" financial stability related to maintaining positive surplus as regards policyholders. The "A'' (A double prime)" and "A' (A prime)" ratings are the two highest ratings of Demotech's five ratings.</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The ratings of S&amp;P, Moody’s, A.M. Best, and Demotech described above are not designed to be, and do not serve as, measures of protection or valuation offered to investors. These financial strength ratings should not be relied on with respect to making an investment in our securities. See “Item 1A.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Factors </w:t>
      </w:r>
      <w:r>
        <w:rPr>
          <w:rFonts w:ascii="Arial" w:cs="Arial" w:eastAsia="Arial" w:hAnsi="Arial"/>
          <w:sz w:val="18"/>
          <w:szCs w:val="18"/>
          <w:color w:val="auto"/>
        </w:rPr>
        <w:t>— If the rating agencies downgrade our Company, our results of operations and competitive position in the title insurance industry may suffer” for</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information.</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BKFS</w:t>
      </w:r>
    </w:p>
    <w:p>
      <w:pPr>
        <w:spacing w:after="0" w:line="12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Our BKFS segment offers technology and data and analytics services through leading software systems and information solutions that facilitate and automate many of the business processes across the life cycle of a mortgage. Our customers use our technology and services to reduce their operating costs, improve their customer service and enhance the quality and consistency of various aspects of their mortgage servicing. We continually work with our customers to customize and integrate our software and services in order to assist them in achieving the value proposition that we offer to them.</w:t>
      </w:r>
    </w:p>
    <w:p>
      <w:pPr>
        <w:spacing w:after="0" w:line="6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principal technology solutions are software applications provided to mortgage lenders and other lending institutions, together with related support and services. Our technology solutions primarily consist of mortgage processing and workflow management software applications. The long term nature of most of our contracts in this business provides us with substantial recurring revenues. Our revenues from servicing technology are generally based on the number of active mortgages on our mortgage servicing platform in a given period. Our other technology solutions include our origination and default technology, from which we generally earn revenues on a per transaction basis. Our data and analytics offerings primarily consist of our alternative valuation services, real estate and mortgage data, modeling and forecasting and analytical tools.</w:t>
      </w:r>
    </w:p>
    <w:p>
      <w:pPr>
        <w:spacing w:after="0" w:line="7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U.S. mortgage market has seen significant change over the past few years and is expected to continue to evolve going forward. Increased origination volatility and key regulatory actions arising from the recent financial crisis, such as the Dodd-Frank Act and the establishment of the Consumer Financial Protection Bureau (the "CFPB"), impose new and evolving standards for market participants. These regulatory changes have spurred lenders and servicers to seek technology solutions that facilitate compliance obligations in the face of a changing regulatory environment while remaining efficient and profitable.</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current market conditions for BKFS' services include the following:</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Increased regulation. </w:t>
      </w:r>
      <w:r>
        <w:rPr>
          <w:rFonts w:ascii="Arial" w:cs="Arial" w:eastAsia="Arial" w:hAnsi="Arial"/>
          <w:sz w:val="18"/>
          <w:szCs w:val="18"/>
          <w:color w:val="auto"/>
        </w:rPr>
        <w:t>Most U.S. mortgage market participants have become subject to increasing regulatory oversight and regulatory requirements as</w:t>
      </w:r>
      <w:r>
        <w:rPr>
          <w:rFonts w:ascii="Arial" w:cs="Arial" w:eastAsia="Arial" w:hAnsi="Arial"/>
          <w:sz w:val="18"/>
          <w:szCs w:val="18"/>
          <w:i w:val="1"/>
          <w:iCs w:val="1"/>
          <w:color w:val="auto"/>
        </w:rPr>
        <w:t xml:space="preserve"> </w:t>
      </w:r>
      <w:r>
        <w:rPr>
          <w:rFonts w:ascii="Arial" w:cs="Arial" w:eastAsia="Arial" w:hAnsi="Arial"/>
          <w:sz w:val="18"/>
          <w:szCs w:val="18"/>
          <w:color w:val="auto"/>
        </w:rPr>
        <w:t>federal and state governments have enacted various new laws, rules and regulations. One example of such legislation is the Dodd-Frank Act, which contains broad changes for many sectors of the financial services and lending industries and established the CFPB, a new federal regulatory agency responsible for regulating consumer financial protection within the United States. It is our experience that mortgage lenders have become more focused on the risk of non-compliance with these evolving regulations and are focused on technologies and solutions that help them to comply with the increased regulatory oversight and burdens.</w:t>
      </w:r>
    </w:p>
    <w:p>
      <w:pPr>
        <w:spacing w:after="0" w:line="5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i w:val="1"/>
          <w:iCs w:val="1"/>
          <w:color w:val="auto"/>
        </w:rPr>
        <w:t xml:space="preserve">Lenders increasingly focused on core operations. </w:t>
      </w:r>
      <w:r>
        <w:rPr>
          <w:rFonts w:ascii="Arial" w:cs="Arial" w:eastAsia="Arial" w:hAnsi="Arial"/>
          <w:sz w:val="16"/>
          <w:szCs w:val="16"/>
          <w:color w:val="auto"/>
        </w:rPr>
        <w:t>As a result of greater regulatory scrutiny and the higher cost of doing business, we believe lenders have</w:t>
      </w:r>
      <w:r>
        <w:rPr>
          <w:rFonts w:ascii="Arial" w:cs="Arial" w:eastAsia="Arial" w:hAnsi="Arial"/>
          <w:sz w:val="16"/>
          <w:szCs w:val="16"/>
          <w:i w:val="1"/>
          <w:iCs w:val="1"/>
          <w:color w:val="auto"/>
        </w:rPr>
        <w:t xml:space="preserve"> </w:t>
      </w:r>
      <w:r>
        <w:rPr>
          <w:rFonts w:ascii="Arial" w:cs="Arial" w:eastAsia="Arial" w:hAnsi="Arial"/>
          <w:sz w:val="16"/>
          <w:szCs w:val="16"/>
          <w:color w:val="auto"/>
        </w:rPr>
        <w:t>become increasingly focused on their core operations and customers. We believe lenders are increasingly shifting from affiliate business models and in-house technologies to solutions with third-party providers who can provide better technology and services more efficiently. Lenders require these vendors to provide best-in-class technology and deep domain expertise and to assist them in maintaining regulatory compliance. We believe that very few of these providers have the scale and regulatory infrastructure to meet both the technological efficiency and high regulatory standards that lenders require.</w:t>
      </w:r>
    </w:p>
    <w:p>
      <w:pPr>
        <w:spacing w:after="0" w:line="2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Growing role of technology in the U.S. mortgage industry. </w:t>
      </w:r>
      <w:r>
        <w:rPr>
          <w:rFonts w:ascii="Arial" w:cs="Arial" w:eastAsia="Arial" w:hAnsi="Arial"/>
          <w:sz w:val="18"/>
          <w:szCs w:val="18"/>
          <w:color w:val="auto"/>
        </w:rPr>
        <w:t>Banks and other lenders and servicers have become increasingly focused on technology</w:t>
      </w:r>
      <w:r>
        <w:rPr>
          <w:rFonts w:ascii="Arial" w:cs="Arial" w:eastAsia="Arial" w:hAnsi="Arial"/>
          <w:sz w:val="18"/>
          <w:szCs w:val="18"/>
          <w:i w:val="1"/>
          <w:iCs w:val="1"/>
          <w:color w:val="auto"/>
        </w:rPr>
        <w:t xml:space="preserve"> </w:t>
      </w:r>
      <w:r>
        <w:rPr>
          <w:rFonts w:ascii="Arial" w:cs="Arial" w:eastAsia="Arial" w:hAnsi="Arial"/>
          <w:sz w:val="18"/>
          <w:szCs w:val="18"/>
          <w:color w:val="auto"/>
        </w:rPr>
        <w:t>automation and workflow management to operate more efficiently and meet their regulatory guidelines. We believe that vendors must be able to support the complexity in the market, display extensive industry knowledge and possess the financial resources to make the necessary investments in technology to support lenders.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Increased demand for enhanced transparency and analytic insight. </w:t>
      </w:r>
      <w:r>
        <w:rPr>
          <w:rFonts w:ascii="Arial" w:cs="Arial" w:eastAsia="Arial" w:hAnsi="Arial"/>
          <w:sz w:val="17"/>
          <w:szCs w:val="17"/>
          <w:color w:val="auto"/>
        </w:rPr>
        <w:t>As U.S. mortgage market participants work to minimize the risk in lending, servicing</w:t>
      </w:r>
      <w:r>
        <w:rPr>
          <w:rFonts w:ascii="Arial" w:cs="Arial" w:eastAsia="Arial" w:hAnsi="Arial"/>
          <w:sz w:val="17"/>
          <w:szCs w:val="17"/>
          <w:i w:val="1"/>
          <w:iCs w:val="1"/>
          <w:color w:val="auto"/>
        </w:rPr>
        <w:t xml:space="preserve"> </w:t>
      </w:r>
      <w:r>
        <w:rPr>
          <w:rFonts w:ascii="Arial" w:cs="Arial" w:eastAsia="Arial" w:hAnsi="Arial"/>
          <w:sz w:val="17"/>
          <w:szCs w:val="17"/>
          <w:color w:val="auto"/>
        </w:rPr>
        <w:t>and capital markets, they increasingly rely on data and analytics to integrate with technologies that enhance the decision making process. These industry participants rely on large comprehensive third party databases coupled with enhanced analytics to achieve these goals.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rely on a combination of contractual restrictions, internal security practices, and copyright and trade secret law to establish and protect our software, technology, and expertise across our businesses. Further, we have developed a number of brands that have accumulated substantial goodwill in the marketplace, and we rely on trademark law to protect our rights in that area. We intend to continue our policy of taking all measures we deem necessary to protect our copyright, trade secret, and trademark rights. These legal protections and arrangements afford only limited protection of our proprietary rights, and there is no assurance that our competitors will not independently develop or license products, services, or capabilities that are substantially equivalent or superior to ours.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and Research and Development</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Title Business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a national provider of real estate transaction products and services, we participate in an industry that is subject to significant regulatory requirements,</w:t>
      </w:r>
    </w:p>
    <w:p>
      <w:pPr>
        <w:spacing w:after="0" w:line="8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frequent new product and service introductions, and evolving industry standards. We believe that our future success depends in part on our ability to anticipate industry changes and offer products and services that meet evolving industry standards. In connection with our title segment service offerings, we are continuing to deploy new information system technologies to our direct and agency operations. We continue to improve the process of ordering title and escrow services and improve the delivery of our products to our customers. In order to meet new regulatory requirements, we also continue to expand our data collection and reporting abilities. We have made enhancements to certain of our systems to comply with the CFPB’s Integrated Mortgage Disclosure rules that will go into effect on August 1, 2015.</w:t>
      </w:r>
    </w:p>
    <w:p>
      <w:pPr>
        <w:spacing w:after="0" w:line="5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BKFS</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research and development activities relate primarily to the design, development and enhancement of our processing systems and related software applications. We expect to continue our practice of investing an appropriate level of resources to maintain, enhance and extend the functionality of our proprietary systems and existing software applications, to develop new and innovative software applications and systems in response to the needs of our clients, and to enhance the capabilities surrounding our infrastructure. We work with our clients to determine the appropriate timing and approach to introducing technology or infrastructure changes to our applications and services. We have made enhancements to certain of our systems products, including a web-based solution designed to support lender and service provider efforts to comply with the CFPB’s Integrated Mortgage Disclosure rules that will go into effect on August 1, 2015.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Policies and Investment Portfolio</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Our investment policy is designed to maximize total return through investment income and capital appreciation consistent with moderate risk of</w:t>
      </w:r>
    </w:p>
    <w:p>
      <w:pPr>
        <w:spacing w:after="0" w:line="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principal, while providing adequate liquidity. Our insurance subsidiaries, including title insurers, underwritten title companies and insurance agencies, are subject to extensive regulation under applicable state laws. The various states in which we operate our underwriters regulate the types of assets that qualify for purposes of capital, surplus, and statutory unearned premium reserves. Our investment policy specifically limits duration and non-investment grade allocations in the FNF core fixed-income portfolio. Maintaining shorter durations on the investment portfolio allows for the mitigation of interest rate risk. Equity securities and preferred stock are utilized to take advantage of perceived value or for strategic purposes. Due to the magnitude of the investment portfolio in relation to our claims loss reserves, durations of investments are not specifically matched to the cash outflows required to pay claims.</w:t>
      </w:r>
    </w:p>
    <w:p>
      <w:pPr>
        <w:spacing w:after="0" w:line="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2014 and 2013, the carrying amount of total investments, which approximates the fair value, excluding investments in unconsolidated affiliates, was $3.9 billion and $3.4 billion, respectively.</w:t>
      </w:r>
    </w:p>
    <w:p>
      <w:pPr>
        <w:spacing w:after="0" w:line="3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purchase investment grade fixed maturity securities, selected non-investment grade fixed maturity securities, preferred stock and equity securities.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The securities in our portfolio are subject to economic conditions and normal market risks and uncertainties.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certain information regarding the investment ratings of our fixed maturity securities and preferred stock portfolio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and 2013:</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2"/>
              </w:rPr>
              <w:t>December 31,</w:t>
            </w: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24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2014</w:t>
            </w:r>
          </w:p>
        </w:tc>
        <w:tc>
          <w:tcPr>
            <w:tcW w:w="7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2013</w:t>
            </w:r>
          </w:p>
        </w:tc>
        <w:tc>
          <w:tcPr>
            <w:tcW w:w="8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r>
      <w:tr>
        <w:trPr>
          <w:trHeight w:val="258"/>
        </w:trPr>
        <w:tc>
          <w:tcPr>
            <w:tcW w:w="2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180" w:type="dxa"/>
            <w:vAlign w:val="bottom"/>
            <w:gridSpan w:val="2"/>
          </w:tcPr>
          <w:p>
            <w:pPr>
              <w:ind w:left="380"/>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22"/>
                <w:szCs w:val="22"/>
                <w:color w:val="auto"/>
              </w:rPr>
            </w:pP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080" w:type="dxa"/>
            <w:vAlign w:val="bottom"/>
            <w:gridSpan w:val="2"/>
          </w:tcPr>
          <w:p>
            <w:pPr>
              <w:ind w:left="340"/>
              <w:spacing w:after="0"/>
              <w:rPr>
                <w:sz w:val="20"/>
                <w:szCs w:val="20"/>
                <w:color w:val="auto"/>
              </w:rPr>
            </w:pPr>
            <w:r>
              <w:rPr>
                <w:rFonts w:ascii="Arial" w:cs="Arial" w:eastAsia="Arial" w:hAnsi="Arial"/>
                <w:sz w:val="14"/>
                <w:szCs w:val="14"/>
                <w:b w:val="1"/>
                <w:bCs w:val="1"/>
                <w:color w:val="auto"/>
              </w:rPr>
              <w:t>% of</w:t>
            </w:r>
          </w:p>
        </w:tc>
        <w:tc>
          <w:tcPr>
            <w:tcW w:w="140" w:type="dxa"/>
            <w:vAlign w:val="bottom"/>
          </w:tcPr>
          <w:p>
            <w:pPr>
              <w:spacing w:after="0"/>
              <w:rPr>
                <w:sz w:val="22"/>
                <w:szCs w:val="22"/>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Amortized</w:t>
            </w:r>
          </w:p>
        </w:tc>
        <w:tc>
          <w:tcPr>
            <w:tcW w:w="1180" w:type="dxa"/>
            <w:vAlign w:val="bottom"/>
            <w:gridSpan w:val="2"/>
          </w:tcPr>
          <w:p>
            <w:pPr>
              <w:ind w:left="380"/>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22"/>
                <w:szCs w:val="22"/>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1080" w:type="dxa"/>
            <w:vAlign w:val="bottom"/>
          </w:tcPr>
          <w:p>
            <w:pPr>
              <w:jc w:val="right"/>
              <w:ind w:right="314"/>
              <w:spacing w:after="0"/>
              <w:rPr>
                <w:sz w:val="20"/>
                <w:szCs w:val="20"/>
                <w:color w:val="auto"/>
              </w:rPr>
            </w:pPr>
            <w:r>
              <w:rPr>
                <w:rFonts w:ascii="Arial" w:cs="Arial" w:eastAsia="Arial" w:hAnsi="Arial"/>
                <w:sz w:val="14"/>
                <w:szCs w:val="14"/>
                <w:b w:val="1"/>
                <w:bCs w:val="1"/>
                <w:color w:val="auto"/>
              </w:rPr>
              <w:t>% of</w:t>
            </w:r>
          </w:p>
        </w:tc>
      </w:tr>
      <w:tr>
        <w:trPr>
          <w:trHeight w:val="276"/>
        </w:trPr>
        <w:tc>
          <w:tcPr>
            <w:tcW w:w="2400" w:type="dxa"/>
            <w:vAlign w:val="bottom"/>
          </w:tcPr>
          <w:p>
            <w:pPr>
              <w:ind w:left="40"/>
              <w:spacing w:after="0"/>
              <w:rPr>
                <w:sz w:val="20"/>
                <w:szCs w:val="20"/>
                <w:color w:val="auto"/>
              </w:rPr>
            </w:pPr>
            <w:r>
              <w:rPr>
                <w:rFonts w:ascii="Arial" w:cs="Arial" w:eastAsia="Arial" w:hAnsi="Arial"/>
                <w:sz w:val="14"/>
                <w:szCs w:val="14"/>
                <w:b w:val="1"/>
                <w:bCs w:val="1"/>
                <w:color w:val="auto"/>
              </w:rPr>
              <w:t>Rating(1)</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1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c>
          <w:tcPr>
            <w:tcW w:w="108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11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0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Total</w:t>
            </w:r>
          </w:p>
        </w:tc>
      </w:tr>
      <w:tr>
        <w:trPr>
          <w:trHeight w:val="196"/>
        </w:trPr>
        <w:tc>
          <w:tcPr>
            <w:tcW w:w="2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(Dollars in millions)</w:t>
            </w: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56"/>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Aaa/AAA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373</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379</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377</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388</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color w:val="auto"/>
              </w:rPr>
              <w:t>Aa/AA</w:t>
            </w: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1"/>
                <w:szCs w:val="21"/>
                <w:color w:val="auto"/>
              </w:rPr>
            </w:pPr>
          </w:p>
        </w:tc>
        <w:tc>
          <w:tcPr>
            <w:tcW w:w="1060" w:type="dxa"/>
            <w:vAlign w:val="bottom"/>
          </w:tcPr>
          <w:p>
            <w:pPr>
              <w:jc w:val="right"/>
              <w:ind w:right="95"/>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721</w:t>
            </w:r>
          </w:p>
        </w:tc>
        <w:tc>
          <w:tcPr>
            <w:tcW w:w="120" w:type="dxa"/>
            <w:vAlign w:val="bottom"/>
          </w:tcPr>
          <w:p>
            <w:pPr>
              <w:spacing w:after="0"/>
              <w:rPr>
                <w:sz w:val="21"/>
                <w:szCs w:val="21"/>
                <w:color w:val="auto"/>
              </w:rPr>
            </w:pPr>
          </w:p>
        </w:tc>
        <w:tc>
          <w:tcPr>
            <w:tcW w:w="960" w:type="dxa"/>
            <w:vAlign w:val="bottom"/>
          </w:tcPr>
          <w:p>
            <w:pPr>
              <w:jc w:val="right"/>
              <w:ind w:right="96"/>
              <w:spacing w:after="0"/>
              <w:rPr>
                <w:sz w:val="20"/>
                <w:szCs w:val="20"/>
                <w:color w:val="auto"/>
              </w:rPr>
            </w:pPr>
            <w:r>
              <w:rPr>
                <w:rFonts w:ascii="Arial" w:cs="Arial" w:eastAsia="Arial" w:hAnsi="Arial"/>
                <w:sz w:val="18"/>
                <w:szCs w:val="18"/>
                <w:color w:val="auto"/>
              </w:rPr>
              <w:t>22.1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21"/>
                <w:szCs w:val="21"/>
                <w:color w:val="auto"/>
              </w:rPr>
            </w:pPr>
          </w:p>
        </w:tc>
        <w:tc>
          <w:tcPr>
            <w:tcW w:w="1080" w:type="dxa"/>
            <w:vAlign w:val="bottom"/>
          </w:tcPr>
          <w:p>
            <w:pPr>
              <w:jc w:val="right"/>
              <w:ind w:right="115"/>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22.2</w:t>
            </w:r>
          </w:p>
        </w:tc>
      </w:tr>
      <w:tr>
        <w:trPr>
          <w:trHeight w:val="27"/>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1,061</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33.3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1,085</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34.0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34.0</w:t>
            </w: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color w:val="auto"/>
              </w:rPr>
              <w:t>Baa/BBB</w:t>
            </w: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764</w:t>
            </w:r>
          </w:p>
        </w:tc>
        <w:tc>
          <w:tcPr>
            <w:tcW w:w="100" w:type="dxa"/>
            <w:vAlign w:val="bottom"/>
          </w:tcPr>
          <w:p>
            <w:pPr>
              <w:spacing w:after="0"/>
              <w:rPr>
                <w:sz w:val="21"/>
                <w:szCs w:val="21"/>
                <w:color w:val="auto"/>
              </w:rPr>
            </w:pPr>
          </w:p>
        </w:tc>
        <w:tc>
          <w:tcPr>
            <w:tcW w:w="1060" w:type="dxa"/>
            <w:vAlign w:val="bottom"/>
          </w:tcPr>
          <w:p>
            <w:pPr>
              <w:jc w:val="right"/>
              <w:ind w:right="95"/>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21"/>
                <w:szCs w:val="21"/>
                <w:color w:val="auto"/>
              </w:rPr>
            </w:pPr>
          </w:p>
        </w:tc>
        <w:tc>
          <w:tcPr>
            <w:tcW w:w="960" w:type="dxa"/>
            <w:vAlign w:val="bottom"/>
          </w:tcPr>
          <w:p>
            <w:pPr>
              <w:jc w:val="right"/>
              <w:ind w:right="96"/>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787</w:t>
            </w:r>
          </w:p>
        </w:tc>
        <w:tc>
          <w:tcPr>
            <w:tcW w:w="120" w:type="dxa"/>
            <w:vAlign w:val="bottom"/>
          </w:tcPr>
          <w:p>
            <w:pPr>
              <w:spacing w:after="0"/>
              <w:rPr>
                <w:sz w:val="21"/>
                <w:szCs w:val="21"/>
                <w:color w:val="auto"/>
              </w:rPr>
            </w:pPr>
          </w:p>
        </w:tc>
        <w:tc>
          <w:tcPr>
            <w:tcW w:w="1080" w:type="dxa"/>
            <w:vAlign w:val="bottom"/>
          </w:tcPr>
          <w:p>
            <w:pPr>
              <w:jc w:val="right"/>
              <w:ind w:right="115"/>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803</w:t>
            </w:r>
          </w:p>
        </w:tc>
        <w:tc>
          <w:tcPr>
            <w:tcW w:w="10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25.8</w:t>
            </w:r>
          </w:p>
        </w:tc>
      </w:tr>
      <w:tr>
        <w:trPr>
          <w:trHeight w:val="27"/>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Ba/BB/B</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2.7</w:t>
            </w: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color w:val="auto"/>
              </w:rPr>
              <w:t>Lower</w:t>
            </w: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060" w:type="dxa"/>
            <w:vAlign w:val="bottom"/>
          </w:tcPr>
          <w:p>
            <w:pPr>
              <w:jc w:val="right"/>
              <w:ind w:right="95"/>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960" w:type="dxa"/>
            <w:vAlign w:val="bottom"/>
          </w:tcPr>
          <w:p>
            <w:pPr>
              <w:jc w:val="right"/>
              <w:ind w:right="96"/>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080" w:type="dxa"/>
            <w:vAlign w:val="bottom"/>
          </w:tcPr>
          <w:p>
            <w:pPr>
              <w:jc w:val="right"/>
              <w:ind w:right="115"/>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2.8</w:t>
            </w:r>
          </w:p>
        </w:tc>
      </w:tr>
      <w:tr>
        <w:trPr>
          <w:trHeight w:val="27"/>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(2)</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r>
      <w:tr>
        <w:trPr>
          <w:trHeight w:val="237"/>
        </w:trPr>
        <w:tc>
          <w:tcPr>
            <w:tcW w:w="24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3,186</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3,248</w:t>
            </w:r>
          </w:p>
        </w:tc>
        <w:tc>
          <w:tcPr>
            <w:tcW w:w="120" w:type="dxa"/>
            <w:vAlign w:val="bottom"/>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3,036</w:t>
            </w:r>
          </w:p>
        </w:tc>
        <w:tc>
          <w:tcPr>
            <w:tcW w:w="12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3,110</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24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2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w:t>
      </w:r>
    </w:p>
    <w:p>
      <w:pPr>
        <w:spacing w:after="0" w:line="2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Ratings as assigned by Moody’s Investors Service or Standard &amp; Poor’s Ratings Group if a Moody's rating is unavailable.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category is composed of unrated securities.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certain information regarding contractual maturities of our fixed maturity securities: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91"/>
              </w:rPr>
              <w:t>December 31, 2014</w:t>
            </w:r>
          </w:p>
        </w:tc>
        <w:tc>
          <w:tcPr>
            <w:tcW w:w="980" w:type="dxa"/>
            <w:vAlign w:val="bottom"/>
            <w:tcBorders>
              <w:bottom w:val="single" w:sz="8" w:color="auto"/>
            </w:tcBorders>
          </w:tcPr>
          <w:p>
            <w:pPr>
              <w:spacing w:after="0"/>
              <w:rPr>
                <w:sz w:val="16"/>
                <w:szCs w:val="16"/>
                <w:color w:val="auto"/>
              </w:rPr>
            </w:pPr>
          </w:p>
        </w:tc>
      </w:tr>
      <w:tr>
        <w:trPr>
          <w:trHeight w:val="258"/>
        </w:trPr>
        <w:tc>
          <w:tcPr>
            <w:tcW w:w="7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Amortized</w:t>
            </w:r>
          </w:p>
        </w:tc>
        <w:tc>
          <w:tcPr>
            <w:tcW w:w="1100" w:type="dxa"/>
            <w:vAlign w:val="bottom"/>
            <w:gridSpan w:val="2"/>
          </w:tcPr>
          <w:p>
            <w:pPr>
              <w:ind w:left="340"/>
              <w:spacing w:after="0"/>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22"/>
                <w:szCs w:val="22"/>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980" w:type="dxa"/>
            <w:vAlign w:val="bottom"/>
          </w:tcPr>
          <w:p>
            <w:pPr>
              <w:jc w:val="right"/>
              <w:ind w:right="254"/>
              <w:spacing w:after="0"/>
              <w:rPr>
                <w:sz w:val="20"/>
                <w:szCs w:val="20"/>
                <w:color w:val="auto"/>
              </w:rPr>
            </w:pPr>
            <w:r>
              <w:rPr>
                <w:rFonts w:ascii="Arial" w:cs="Arial" w:eastAsia="Arial" w:hAnsi="Arial"/>
                <w:sz w:val="14"/>
                <w:szCs w:val="14"/>
                <w:b w:val="1"/>
                <w:bCs w:val="1"/>
                <w:color w:val="auto"/>
              </w:rPr>
              <w:t>% of</w:t>
            </w:r>
          </w:p>
        </w:tc>
      </w:tr>
      <w:tr>
        <w:trPr>
          <w:trHeight w:val="276"/>
        </w:trPr>
        <w:tc>
          <w:tcPr>
            <w:tcW w:w="7080" w:type="dxa"/>
            <w:vAlign w:val="bottom"/>
          </w:tcPr>
          <w:p>
            <w:pPr>
              <w:ind w:left="40"/>
              <w:spacing w:after="0"/>
              <w:rPr>
                <w:sz w:val="20"/>
                <w:szCs w:val="20"/>
                <w:color w:val="auto"/>
              </w:rPr>
            </w:pPr>
            <w:r>
              <w:rPr>
                <w:rFonts w:ascii="Arial" w:cs="Arial" w:eastAsia="Arial" w:hAnsi="Arial"/>
                <w:sz w:val="16"/>
                <w:szCs w:val="16"/>
                <w:b w:val="1"/>
                <w:bCs w:val="1"/>
                <w:color w:val="auto"/>
              </w:rPr>
              <w:t>Maturity</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10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98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Total</w:t>
            </w:r>
          </w:p>
        </w:tc>
      </w:tr>
      <w:tr>
        <w:trPr>
          <w:trHeight w:val="196"/>
        </w:trPr>
        <w:tc>
          <w:tcPr>
            <w:tcW w:w="7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5"/>
              </w:rPr>
              <w:t>(Dollars in millions)</w:t>
            </w:r>
          </w:p>
        </w:tc>
        <w:tc>
          <w:tcPr>
            <w:tcW w:w="980" w:type="dxa"/>
            <w:vAlign w:val="bottom"/>
          </w:tcPr>
          <w:p>
            <w:pPr>
              <w:spacing w:after="0"/>
              <w:rPr>
                <w:sz w:val="17"/>
                <w:szCs w:val="17"/>
                <w:color w:val="auto"/>
              </w:rPr>
            </w:pPr>
          </w:p>
        </w:tc>
      </w:tr>
      <w:tr>
        <w:trPr>
          <w:trHeight w:val="256"/>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One year or less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309</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After one year through five years</w:t>
            </w: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2,035</w:t>
            </w:r>
          </w:p>
        </w:tc>
        <w:tc>
          <w:tcPr>
            <w:tcW w:w="100" w:type="dxa"/>
            <w:vAlign w:val="bottom"/>
          </w:tcPr>
          <w:p>
            <w:pPr>
              <w:spacing w:after="0"/>
              <w:rPr>
                <w:sz w:val="21"/>
                <w:szCs w:val="21"/>
                <w:color w:val="auto"/>
              </w:rPr>
            </w:pPr>
          </w:p>
        </w:tc>
        <w:tc>
          <w:tcPr>
            <w:tcW w:w="1000" w:type="dxa"/>
            <w:vAlign w:val="bottom"/>
          </w:tcPr>
          <w:p>
            <w:pPr>
              <w:jc w:val="right"/>
              <w:ind w:right="117"/>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2,077</w:t>
            </w:r>
          </w:p>
        </w:tc>
        <w:tc>
          <w:tcPr>
            <w:tcW w:w="120" w:type="dxa"/>
            <w:vAlign w:val="bottom"/>
          </w:tcPr>
          <w:p>
            <w:pPr>
              <w:spacing w:after="0"/>
              <w:rPr>
                <w:sz w:val="21"/>
                <w:szCs w:val="21"/>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68.7</w:t>
            </w:r>
          </w:p>
        </w:tc>
      </w:tr>
      <w:tr>
        <w:trPr>
          <w:trHeight w:val="27"/>
        </w:trPr>
        <w:tc>
          <w:tcPr>
            <w:tcW w:w="7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After five years through ten years</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521</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17.2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After ten years</w:t>
            </w:r>
          </w:p>
        </w:tc>
        <w:tc>
          <w:tcPr>
            <w:tcW w:w="14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000" w:type="dxa"/>
            <w:vAlign w:val="bottom"/>
          </w:tcPr>
          <w:p>
            <w:pPr>
              <w:jc w:val="right"/>
              <w:ind w:right="117"/>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0.4</w:t>
            </w:r>
          </w:p>
        </w:tc>
      </w:tr>
      <w:tr>
        <w:trPr>
          <w:trHeight w:val="27"/>
        </w:trPr>
        <w:tc>
          <w:tcPr>
            <w:tcW w:w="7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Mortgage-backed/asset-backed securities</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3.5</w:t>
            </w:r>
          </w:p>
        </w:tc>
      </w:tr>
      <w:tr>
        <w:trPr>
          <w:trHeight w:val="237"/>
        </w:trPr>
        <w:tc>
          <w:tcPr>
            <w:tcW w:w="70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2,964</w:t>
            </w:r>
          </w:p>
        </w:tc>
        <w:tc>
          <w:tcPr>
            <w:tcW w:w="10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3,025</w:t>
            </w:r>
          </w:p>
        </w:tc>
        <w:tc>
          <w:tcPr>
            <w:tcW w:w="120" w:type="dxa"/>
            <w:vAlign w:val="bottom"/>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70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December 31, 2014, all of our mortgage-backed and asset-backed securities are rated AAA by Moody's. The mortgage-backed and asset-backed securities are made up of $65 million of agency-backed mortgage-backed securities, $25 million of agency-backed collateralized mortgage obligations, and $15 million in asset-backed securities.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Expected maturities may differ from contractual maturities because certain borrowers have the right to call or prepay obligations with or without call or</w:t>
      </w:r>
    </w:p>
    <w:p>
      <w:pPr>
        <w:spacing w:after="0" w:line="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prepayment penalties. Because of the potential for prepayment on mortgage-backed and asset-backed securities, they are not categorized by contractual maturity. Fixed maturity securities with an amortized cost of $1,772 million and a fair value of $1,796 million were callable or had make-whole call provisions at December 31, 2014.</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equity securities at December 31, 2014 and 2013 consisted of investments with a cost basis of $72 million and $71 million, respectively, and fair value of $145 million and $136 million, respectively.</w:t>
      </w:r>
    </w:p>
    <w:p>
      <w:pPr>
        <w:spacing w:after="0" w:line="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December 31, 2014 and 2013, we also held $770 million and $357 million, respectively, in investments that are accounted for using the equity method of accounting, principally our ownership interests in Ceridian.</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2013, Other long-term investments included structured notes at a fair value of $38 million, which were purchased in the third quarter</w:t>
      </w:r>
    </w:p>
    <w:p>
      <w:pPr>
        <w:spacing w:after="0" w:line="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of 2009. During the third quarter of 2014, all of our outstanding structured notes matured and we received $39 million in cash upon maturity, resulting in a net realized gain of $1 million for the year ending December 31, 2014. We held no structured notes at December 31, 2014. Also included in Other long-term investments were investments accounted for using the cost method of accounting of $144 million and $124 million, as of December 31, 2014 and 2013, respectively.</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Short-term investments, which consist primarily of commercial paper and money market instruments which have an original maturity of one year or less,</w:t>
      </w:r>
    </w:p>
    <w:p>
      <w:pPr>
        <w:spacing w:after="0" w:line="8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are carried at amortized cost, which approximates fair value. As of December 31, 2014 and 2013, short-term investments amounted to $334 million and $26 million, respectively.</w:t>
      </w:r>
    </w:p>
    <w:p>
      <w:pPr>
        <w:sectPr>
          <w:pgSz w:w="11900" w:h="16838" w:orient="portrait"/>
          <w:cols w:equalWidth="0" w:num="1">
            <w:col w:w="11420"/>
          </w:cols>
          <w:pgMar w:left="240" w:top="125"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investment results for the years ended December 31, 2014, 2013 and 2012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5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4"/>
              </w:rPr>
              <w:t>December 31,</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75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2012</w:t>
            </w:r>
          </w:p>
        </w:tc>
      </w:tr>
      <w:tr>
        <w:trPr>
          <w:trHeight w:val="250"/>
        </w:trPr>
        <w:tc>
          <w:tcPr>
            <w:tcW w:w="20" w:type="dxa"/>
            <w:vAlign w:val="bottom"/>
          </w:tcPr>
          <w:p>
            <w:pPr>
              <w:spacing w:after="0"/>
              <w:rPr>
                <w:sz w:val="21"/>
                <w:szCs w:val="21"/>
                <w:color w:val="auto"/>
              </w:rPr>
            </w:pPr>
          </w:p>
        </w:tc>
        <w:tc>
          <w:tcPr>
            <w:tcW w:w="7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w w:val="96"/>
              </w:rPr>
              <w:t>(Dollars in millions)</w:t>
            </w: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investment income (1)</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139</w:t>
            </w:r>
          </w:p>
        </w:tc>
        <w:tc>
          <w:tcPr>
            <w:tcW w:w="2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197"/>
              <w:spacing w:after="0"/>
              <w:rPr>
                <w:sz w:val="20"/>
                <w:szCs w:val="20"/>
                <w:color w:val="auto"/>
              </w:rPr>
            </w:pPr>
            <w:r>
              <w:rPr>
                <w:rFonts w:ascii="Arial" w:cs="Arial" w:eastAsia="Arial" w:hAnsi="Arial"/>
                <w:sz w:val="18"/>
                <w:szCs w:val="18"/>
                <w:color w:val="auto"/>
              </w:rPr>
              <w:t>147</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163</w:t>
            </w:r>
          </w:p>
        </w:tc>
      </w:tr>
      <w:tr>
        <w:trPr>
          <w:trHeight w:val="243"/>
        </w:trPr>
        <w:tc>
          <w:tcPr>
            <w:tcW w:w="20" w:type="dxa"/>
            <w:vAlign w:val="bottom"/>
          </w:tcPr>
          <w:p>
            <w:pPr>
              <w:spacing w:after="0"/>
              <w:rPr>
                <w:sz w:val="21"/>
                <w:szCs w:val="21"/>
                <w:color w:val="auto"/>
              </w:rPr>
            </w:pPr>
          </w:p>
        </w:tc>
        <w:tc>
          <w:tcPr>
            <w:tcW w:w="7560" w:type="dxa"/>
            <w:vAlign w:val="bottom"/>
          </w:tcPr>
          <w:p>
            <w:pPr>
              <w:ind w:left="20"/>
              <w:spacing w:after="0"/>
              <w:rPr>
                <w:sz w:val="20"/>
                <w:szCs w:val="20"/>
                <w:color w:val="auto"/>
              </w:rPr>
            </w:pPr>
            <w:r>
              <w:rPr>
                <w:rFonts w:ascii="Arial" w:cs="Arial" w:eastAsia="Arial" w:hAnsi="Arial"/>
                <w:sz w:val="18"/>
                <w:szCs w:val="18"/>
                <w:color w:val="auto"/>
              </w:rPr>
              <w:t>Average invested assets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54"/>
              <w:spacing w:after="0"/>
              <w:rPr>
                <w:sz w:val="20"/>
                <w:szCs w:val="20"/>
                <w:color w:val="auto"/>
              </w:rPr>
            </w:pPr>
            <w:r>
              <w:rPr>
                <w:rFonts w:ascii="Arial" w:cs="Arial" w:eastAsia="Arial" w:hAnsi="Arial"/>
                <w:sz w:val="18"/>
                <w:szCs w:val="18"/>
                <w:color w:val="auto"/>
              </w:rPr>
              <w:t>3,819</w:t>
            </w:r>
          </w:p>
        </w:tc>
        <w:tc>
          <w:tcPr>
            <w:tcW w:w="220" w:type="dxa"/>
            <w:vAlign w:val="bottom"/>
          </w:tcPr>
          <w:p>
            <w:pPr>
              <w:ind w:lef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97"/>
              <w:spacing w:after="0"/>
              <w:rPr>
                <w:sz w:val="20"/>
                <w:szCs w:val="20"/>
                <w:color w:val="auto"/>
              </w:rPr>
            </w:pPr>
            <w:r>
              <w:rPr>
                <w:rFonts w:ascii="Arial" w:cs="Arial" w:eastAsia="Arial" w:hAnsi="Arial"/>
                <w:sz w:val="18"/>
                <w:szCs w:val="18"/>
                <w:color w:val="auto"/>
              </w:rPr>
              <w:t>3,627</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94"/>
              <w:spacing w:after="0"/>
              <w:rPr>
                <w:sz w:val="20"/>
                <w:szCs w:val="20"/>
                <w:color w:val="auto"/>
              </w:rPr>
            </w:pPr>
            <w:r>
              <w:rPr>
                <w:rFonts w:ascii="Arial" w:cs="Arial" w:eastAsia="Arial" w:hAnsi="Arial"/>
                <w:sz w:val="18"/>
                <w:szCs w:val="18"/>
                <w:color w:val="auto"/>
              </w:rPr>
              <w:t>3,698</w:t>
            </w:r>
          </w:p>
        </w:tc>
      </w:tr>
      <w:tr>
        <w:trPr>
          <w:trHeight w:val="27"/>
        </w:trPr>
        <w:tc>
          <w:tcPr>
            <w:tcW w:w="20" w:type="dxa"/>
            <w:vAlign w:val="bottom"/>
          </w:tcPr>
          <w:p>
            <w:pPr>
              <w:spacing w:after="0"/>
              <w:rPr>
                <w:sz w:val="2"/>
                <w:szCs w:val="2"/>
                <w:color w:val="auto"/>
              </w:rPr>
            </w:pPr>
          </w:p>
        </w:tc>
        <w:tc>
          <w:tcPr>
            <w:tcW w:w="7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return on average invested assets</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4.1%</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18"/>
        </w:trPr>
        <w:tc>
          <w:tcPr>
            <w:tcW w:w="20" w:type="dxa"/>
            <w:vAlign w:val="bottom"/>
          </w:tcPr>
          <w:p>
            <w:pPr>
              <w:spacing w:after="0"/>
              <w:rPr>
                <w:sz w:val="18"/>
                <w:szCs w:val="18"/>
                <w:color w:val="auto"/>
              </w:rPr>
            </w:pPr>
          </w:p>
        </w:tc>
        <w:tc>
          <w:tcPr>
            <w:tcW w:w="7560" w:type="dxa"/>
            <w:vAlign w:val="bottom"/>
          </w:tcPr>
          <w:p>
            <w:pPr>
              <w:jc w:val="right"/>
              <w:ind w:right="4070"/>
              <w:spacing w:after="0"/>
              <w:rPr>
                <w:sz w:val="20"/>
                <w:szCs w:val="20"/>
                <w:color w:val="auto"/>
              </w:rPr>
            </w:pPr>
            <w:r>
              <w:rPr>
                <w:rFonts w:ascii="Arial" w:cs="Arial" w:eastAsia="Arial" w:hAnsi="Arial"/>
                <w:sz w:val="18"/>
                <w:szCs w:val="18"/>
                <w:color w:val="auto"/>
                <w:w w:val="88"/>
              </w:rPr>
              <w:t>______________________________________</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r>
    </w:tbl>
    <w:p>
      <w:pPr>
        <w:ind w:left="660" w:hanging="328"/>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investment income as reported in our Consolidated Statements of Earnings has been adjusted in the presentation above to provide the tax equivalent yield on tax exempt investments.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Reserves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For information about our loss reserves, see Item 7. </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6"/>
          <w:szCs w:val="16"/>
          <w:color w:val="auto"/>
        </w:rPr>
        <w:t xml:space="preserve"> — Critical</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Accounting Estimates.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Operations</w:t>
      </w:r>
    </w:p>
    <w:p>
      <w:pPr>
        <w:spacing w:after="0" w:line="12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direct title operations are divided into approximately 150 profit centers. Each profit center processes title insurance transactions within its geographical area, which is usually identified by a county, a group of counties forming a region, or a state, depending on the management structure in that part of the country. We also transact title insurance business through a network of approximately 5,000 agents, primarily in those areas in which agents are the more prevalent title insurance provider. Substantially all of our revenues are generated in the United States.</w:t>
      </w:r>
    </w:p>
    <w:p>
      <w:pPr>
        <w:spacing w:after="0" w:line="6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approximate dollar and percentage volumes of our title insurance premium revenue by state: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3"/>
              </w:rPr>
              <w:t>Year Ended December 31,</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38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2014</w:t>
            </w: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center"/>
              <w:ind w:right="1020"/>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60"/>
              <w:spacing w:after="0"/>
              <w:rPr>
                <w:sz w:val="20"/>
                <w:szCs w:val="20"/>
                <w:color w:val="auto"/>
              </w:rPr>
            </w:pPr>
            <w:r>
              <w:rPr>
                <w:rFonts w:ascii="Arial" w:cs="Arial" w:eastAsia="Arial" w:hAnsi="Arial"/>
                <w:sz w:val="14"/>
                <w:szCs w:val="14"/>
                <w:b w:val="1"/>
                <w:bCs w:val="1"/>
                <w:color w:val="auto"/>
                <w:w w:val="96"/>
              </w:rPr>
              <w:t>2012</w:t>
            </w:r>
          </w:p>
        </w:tc>
      </w:tr>
      <w:tr>
        <w:trPr>
          <w:trHeight w:val="264"/>
        </w:trPr>
        <w:tc>
          <w:tcPr>
            <w:tcW w:w="38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740"/>
              <w:spacing w:after="0"/>
              <w:rPr>
                <w:sz w:val="20"/>
                <w:szCs w:val="20"/>
                <w:color w:val="auto"/>
              </w:rPr>
            </w:pPr>
            <w:r>
              <w:rPr>
                <w:rFonts w:ascii="Arial" w:cs="Arial" w:eastAsia="Arial" w:hAnsi="Arial"/>
                <w:sz w:val="14"/>
                <w:szCs w:val="14"/>
                <w:b w:val="1"/>
                <w:bCs w:val="1"/>
                <w:color w:val="auto"/>
              </w:rPr>
              <w:t>Amount</w:t>
            </w:r>
          </w:p>
        </w:tc>
        <w:tc>
          <w:tcPr>
            <w:tcW w:w="8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Amount</w:t>
            </w:r>
          </w:p>
        </w:tc>
        <w:tc>
          <w:tcPr>
            <w:tcW w:w="138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Amount</w:t>
            </w:r>
          </w:p>
        </w:tc>
        <w:tc>
          <w:tcPr>
            <w:tcW w:w="138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w:t>
            </w:r>
          </w:p>
        </w:tc>
      </w:tr>
      <w:tr>
        <w:trPr>
          <w:trHeight w:val="196"/>
        </w:trPr>
        <w:tc>
          <w:tcPr>
            <w:tcW w:w="3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(Dollars in millions)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6"/>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Texas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1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12.9</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California</w:t>
            </w:r>
          </w:p>
        </w:tc>
        <w:tc>
          <w:tcPr>
            <w:tcW w:w="2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552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632</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660</w:t>
            </w:r>
          </w:p>
        </w:tc>
        <w:tc>
          <w:tcPr>
            <w:tcW w:w="1380" w:type="dxa"/>
            <w:vAlign w:val="bottom"/>
            <w:gridSpan w:val="3"/>
          </w:tcPr>
          <w:p>
            <w:pPr>
              <w:jc w:val="right"/>
              <w:ind w:right="40"/>
              <w:spacing w:after="0"/>
              <w:rPr>
                <w:sz w:val="20"/>
                <w:szCs w:val="20"/>
                <w:color w:val="auto"/>
              </w:rPr>
            </w:pPr>
            <w:r>
              <w:rPr>
                <w:rFonts w:ascii="Arial" w:cs="Arial" w:eastAsia="Arial" w:hAnsi="Arial"/>
                <w:sz w:val="18"/>
                <w:szCs w:val="18"/>
                <w:color w:val="auto"/>
              </w:rPr>
              <w:t>17.2%</w:t>
            </w:r>
          </w:p>
        </w:tc>
      </w:tr>
      <w:tr>
        <w:trPr>
          <w:trHeight w:val="27"/>
        </w:trPr>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York</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7.4</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Florida</w:t>
            </w:r>
          </w:p>
        </w:tc>
        <w:tc>
          <w:tcPr>
            <w:tcW w:w="2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316</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255</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6.6</w:t>
            </w:r>
          </w:p>
        </w:tc>
      </w:tr>
      <w:tr>
        <w:trPr>
          <w:trHeight w:val="27"/>
        </w:trPr>
        <w:tc>
          <w:tcPr>
            <w:tcW w:w="38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Illinois</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3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4.8</w:t>
            </w: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All others</w:t>
            </w:r>
          </w:p>
        </w:tc>
        <w:tc>
          <w:tcPr>
            <w:tcW w:w="2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1,762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2,080</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50.1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1,957</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51.1</w:t>
            </w:r>
          </w:p>
        </w:tc>
      </w:tr>
      <w:tr>
        <w:trPr>
          <w:trHeight w:val="27"/>
        </w:trPr>
        <w:tc>
          <w:tcPr>
            <w:tcW w:w="38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8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3,671</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right="60" w:firstLine="324"/>
        <w:spacing w:after="0" w:line="277" w:lineRule="auto"/>
        <w:rPr>
          <w:sz w:val="20"/>
          <w:szCs w:val="20"/>
          <w:color w:val="auto"/>
        </w:rPr>
      </w:pPr>
      <w:r>
        <w:rPr>
          <w:rFonts w:ascii="Arial" w:cs="Arial" w:eastAsia="Arial" w:hAnsi="Arial"/>
          <w:sz w:val="18"/>
          <w:szCs w:val="18"/>
          <w:color w:val="auto"/>
        </w:rPr>
        <w:t>Our Restaurant Group operates and franchises restaurants in 42 states throughout the United States. All of our Restaurant Group's revenues are generated in those states.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As of January 24, 2015, we had 56,883 full-time equivalent employees, which includes 19,289 in our Title segment, 32,778 in our Restaurant Group segment, 4,124 in the BKFS segment and 692 in our remaining businesses. We monitor our staffing levels based on current economic activity. None of our employees are subject to collective bargaining agreements. We believe that our relations with employees are generally good.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by Operating Segment</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financial information by operating segment, see Note S of the Notes to Consolidated Financial Statements.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Statement Regarding Forward-Looking Information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statements contained in this Form 10-K or in our other documents or in oral presentations or other statements made by our management that are not</w:t>
      </w:r>
    </w:p>
    <w:p>
      <w:pPr>
        <w:spacing w:after="0" w:line="8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purely historical are forward-looking statements within the meaning of Section 27A of the Securities Act of 1933 and Section 21E of the Securities Exchange Act of 1934, including statements regarding our expectations, hopes, intentions, or strategies regarding the future. These statements relate to, among other things, future financial and operating results of the Company. In many cases, you can identify forward-looking statements by terminology such as “may,” “will,” “should,” “expect,” “plan,” “anticipate,” “believe,” “estimate,” “predict,” “potential,” or “continue,” or the negative of these terms and other</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comparable terminology. Actual results could differ materially from those anticipated in these statements as a result of a number of factors, including, but not limited to the following:</w:t>
      </w:r>
    </w:p>
    <w:p>
      <w:pPr>
        <w:spacing w:after="0" w:line="3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general economic, business, and political conditions, including changes in the financial markets;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severity of our title insurance claims;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downgrade of our credit rating by rating agencies;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changes in the level of real estate activity, which may be caused by, among other things, high or increasing interest rates, a limited supply of mortgage funding, increased mortgage defaults, or a weak U.S. economy;</w:t>
      </w:r>
    </w:p>
    <w:p>
      <w:pPr>
        <w:ind w:left="660" w:right="2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with extensive government regulation of our operating subsidiaries and adverse changes in applicable laws or regulations or in their application by regulators;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investigations of the title insurance industry;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of key personnel that could negatively affect our financial results and impair our operating abilities;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business concentration in the States of Texas and California are the source of approximately 15.2% and 15.0%, respectively, of our title insurance premiums;</w:t>
      </w: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potential inability to find suitable acquisition candidates, as well as the risks associated with acquisitions in lines of business that will not necessarily be limited to our traditional areas of focus, or difficulties integrating acquisitions;</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dependence on distributions from our title insurance underwriters as our main source of cash flow;</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competition from other title insurance companies;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risks detailed in "Risk Factors" below and elsewhere in this document and in our other filings with the SEC.</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not under any obligation (and expressly disclaim any such obligation) to update or alter our forward-looking statements, whether as a result of</w:t>
      </w:r>
    </w:p>
    <w:p>
      <w:pPr>
        <w:spacing w:after="0" w:line="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new information, future events or otherwise. You should carefully consider the possibility that actual results may differ materially from our forward-looking statements.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Additional Information</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website address is www.fnf.com. We make available free of charge on or through our website our Annual Report on Form 10-K, Quarterly Reports</w:t>
      </w:r>
    </w:p>
    <w:p>
      <w:pPr>
        <w:spacing w:after="0" w:line="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Form 10-Q, Current Reports on Form 8-K and all amendments to those reports filed or furnished pursuant to Section 13(a) or 15(d) of the Securities Exchange Act of 1934, as amended, as soon as reasonably practicable after such material is electronically filed with or furnished to the Securities and Exchange Commission. However, the information found on our website is not part of this or any other report.</w:t>
      </w:r>
    </w:p>
    <w:p>
      <w:pPr>
        <w:spacing w:after="0" w:line="4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94"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 addition to the normal risks of business, we are subject to significant risks and uncertainties, including those listed below and others described elsewhere in this Annual Report on Form 10-K. Any of the risks described herein could result in a significant or material adverse effect on our results of operations or financial condition.</w:t>
      </w:r>
    </w:p>
    <w:p>
      <w:pPr>
        <w:spacing w:after="0" w:line="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We have recorded goodwill as a result of prior acquisitions, and an economic downturn could cause these balances to become impaired, requiring write-downs that would reduce our operating income.</w:t>
      </w:r>
    </w:p>
    <w:p>
      <w:pPr>
        <w:spacing w:after="0" w:line="3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Goodwill aggregated approximately $4,721 million, or 34.0% of our total assets, as of December 31, 2014. Current accounting rules require that goodwill be assessed for impairment at least annually or whenever changes in circumstances indicate that the carrying amount may not be recoverable from estimated future cash flows. Factors that may be considered a change in circumstance indicating the carrying value of our intangible assets, including goodwill, may not be recoverable include, but are not limited to, significant underperformance relative to historical or projected future operating results, a significant decline in our stock price and market capitalization, and negative industry or economic trends. No goodwill impairment charge was recorded in 2014. However, if there is an economic downturn in the future, the carrying amount of our goodwill may no longer be recoverable, and we may be required to record an impairment charge, which would have a negative impact on our results of operations and financial condition. We will continue to monitor our market capitalization and the impact of the economy to determine if there is an impairment of goodwill in future periods.</w:t>
      </w:r>
    </w:p>
    <w:p>
      <w:pPr>
        <w:spacing w:after="0" w:line="44" w:lineRule="exact"/>
        <w:rPr>
          <w:sz w:val="20"/>
          <w:szCs w:val="20"/>
          <w:color w:val="auto"/>
        </w:rPr>
      </w:pPr>
    </w:p>
    <w:p>
      <w:pPr>
        <w:jc w:val="both"/>
        <w:ind w:left="180"/>
        <w:spacing w:after="0" w:line="312" w:lineRule="auto"/>
        <w:rPr>
          <w:sz w:val="20"/>
          <w:szCs w:val="20"/>
          <w:color w:val="auto"/>
        </w:rPr>
      </w:pPr>
      <w:r>
        <w:rPr>
          <w:rFonts w:ascii="Arial" w:cs="Arial" w:eastAsia="Arial" w:hAnsi="Arial"/>
          <w:sz w:val="16"/>
          <w:szCs w:val="16"/>
          <w:b w:val="1"/>
          <w:bCs w:val="1"/>
          <w:i w:val="1"/>
          <w:iCs w:val="1"/>
          <w:color w:val="auto"/>
        </w:rPr>
        <w:t>Our management has articulated a willingness to seek growth through acquisitions in lines of business that will not necessarily be limited to our traditional areas of focus or geographic areas. This expansion of our business subjects us to associated risks, such as the diversion of management’s attention and lack of experience in operating such businesses, and may affect our credit and ability to repay our debt.</w:t>
      </w:r>
    </w:p>
    <w:p>
      <w:pPr>
        <w:spacing w:after="0" w:line="1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management has stated that we may make acquisitions in lines of business that are not directly tied to or synergistic with our core operations. Accordingly, we have in the past acquired, and may in the future acquire, businesses in industries or geographic areas with which management is less familiar than we are with our core businesses. These activities involve risks that could adversely affect our operating results, such as diversion of management’s attention and lack of substantial experience in operating such businesses. There can be no guarantee that we will not enter into transactions or make acquisitions that will cause us to incur additional debt, increase our exposure to market and other risks and cause our credit or financial strength ratings to decline.</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are a holding company and depend on distributions from our subsidiaries for cash.</w:t>
      </w:r>
    </w:p>
    <w:p>
      <w:pPr>
        <w:spacing w:after="0" w:line="9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are a holding company whose primary assets are the securities of our operating subsidiaries. Our ability to pay interest on our outstanding debt and our other obligations and to pay dividends is dependent on the ability of our subsidiaries to pay dividends or make other distributions or payments to us. If our operating subsidiaries are not able to pay dividends to us, we may not be able to meet our obligations or pay dividends on our common stock.</w:t>
      </w:r>
    </w:p>
    <w:p>
      <w:pPr>
        <w:spacing w:after="0" w:line="1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title insurance subsidiaries must comply with state laws which require them to maintain minimum amounts of working capital, surplus and reserves, and place restrictions on the amount of dividends that they can distribute to us. Compliance with these laws will limit the amounts our regulated subsidiaries can dividend to us. During 2015, our title insurers may pay dividends or make distributions to us without prior regulatory approval of approximately $236 million.</w:t>
      </w:r>
    </w:p>
    <w:p>
      <w:pPr>
        <w:spacing w:after="0" w:line="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interpretation of statutory accounting requirements by regulators.</w:t>
      </w:r>
    </w:p>
    <w:p>
      <w:pPr>
        <w:spacing w:after="0" w:line="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The loss of key personnel could negatively affect our financial results and impair our operating abilities.</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success substantially depends on our ability to attract and retain key members of our senior management team and officers. If we lose one or more of these key employees, our operating results and in turn the value of our common stock could be materially adversely affected. Although we have employment agreements with many of our officers, there can be no assurance that the entire term of the employment agreement will be served or that the employment agreement will be renewed upon expiration.</w:t>
      </w:r>
    </w:p>
    <w:p>
      <w:pPr>
        <w:spacing w:after="0" w:line="52"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Failure of our information security systems or processes could result in a loss or disclosure of confidential information, damage to our reputation, monetary losses, additional costs and impairment of our ability to conduct business effectively.</w:t>
      </w:r>
    </w:p>
    <w:p>
      <w:pPr>
        <w:spacing w:after="0" w:line="3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Our core operations are highly dependent upon the effective operation of our computer systems. As part of our core operations, we electronically receive, process, store and transmit sensitive personal consumer data (such as names and addresses, social security numbers, driver's license numbers, credit card and bank account information) and important business information of our customers. We also electronically manage substantial cash, investment asset and escrow account balances on behalf of ourselves and our customers, as well as financial information about our businesses generally. The integrity of our information systems and the protection of the information that resides on such systems are important to our successful operation. If we fail to maintain an adequate security infrastructure, adapt to emerging security threats or follow our internal business processes with respect to security, the information or assets we hold could be compromised. Further, even if we (or third parties to which we outsource certain IT services) maintain a reasonable, industry standard information security infrastructure, it is possible that unauthorized persons still could obtain access to information or assets we hold. These risks are increased when we transmit information over the Internet and due to increasing security risks posed by organized crime. While, to date, we believe that we have not experienced a material breach of our information security systems, the existence or scope of such events is not always apparent. If additional information regarding an incident previously considered immaterial is discovered, or a new event were to occur, it could potentially have a material adverse effect on us. In addition, some laws and certain of our contracts require notification of various parties, including consumers or customers, in the event that confidential or personal information has or may have been taken or accessed by unauthorized third parties. Such notifications can result, among other things, in adverse publicity, distraction of managements’ time and energy, the attention of regulatory authorities, and fines and disruptions in sales, the effects of which may be material.</w:t>
      </w:r>
    </w:p>
    <w:p>
      <w:pPr>
        <w:spacing w:after="0" w:line="3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Further, our financial institution customers have obligations to safeguard their information technology systems and information. In certain of our businesses, we are bound contractually and/or by regulation to comply with the same requirements. If we fail to comply with these regulations and requirements, we could be exposed to suits for breach of contract, governmental proceedings or the imposition of fines. In addition, if more restrictive privacy laws, rules or industry security requirements are adopted in the future on the federal or state level or by a specific industry in which we do business, that could have an adverse impact on us through increased costs or restrictions on business processes. Any inability to prevent security or privacy breaches, or the perception that such breaches may occur, could inhibit our ability to retain existing customers or attract new customers and/or result in financial losses, litigation, increased costs or other adverse consequences to our business.</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economic and credit market conditions deteriorate, it could have a material adverse impact on our investment portfolio.</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investment portfolio is exposed to economic and financial market risks, including changes in interest rates, credit markets and prices of marketable equity and fixed-income securities. Our investment policy is designed to maximize total return through investment income and capital appreciation consistent with moderate risk of principal, while providing adequate liquidity and complying with internal and regulatory guidelines. To achieve this objective, our marketable debt investments are primarily investment grade, liquid, fixed-income securities and money market instruments denominated in U.S. dollars. We make investments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certain equity securities and preferred stock in order to take advantage of perceived value and for strategic purposes. In the past, economic and credit market conditions have adversely affected the ability of some issuers of investment securities to repay their obligations and have affected the values of investment securities. If the carrying value of our investments exceeds the fair value, and the decline in fair value is deemed to be other-than-temporary, we will be required to write down the value of our investments, which could have a material negative impact on our results of operations and financial condition.</w:t>
      </w:r>
    </w:p>
    <w:p>
      <w:pPr>
        <w:spacing w:after="0" w:line="1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own a minority interest in Ceridian, a leading provider of global human capital management and payment solutions. If the fair value of this company were to decline below book value, we would be required to write down the value of our investment, which could have a material negative impact on our results of operations and financial condition. If this company were to experience significant negative volatility in its results of operations it would have a material adverse effect on our own results of operations due to our inclusion of our portion of its earnings in our results of operations.</w:t>
      </w:r>
    </w:p>
    <w:p>
      <w:pPr>
        <w:spacing w:after="0" w:line="36" w:lineRule="exact"/>
        <w:rPr>
          <w:sz w:val="20"/>
          <w:szCs w:val="20"/>
          <w:color w:val="auto"/>
        </w:rPr>
      </w:pPr>
    </w:p>
    <w:p>
      <w:pPr>
        <w:jc w:val="both"/>
        <w:ind w:left="180"/>
        <w:spacing w:after="0" w:line="264" w:lineRule="auto"/>
        <w:rPr>
          <w:sz w:val="20"/>
          <w:szCs w:val="20"/>
          <w:color w:val="auto"/>
        </w:rPr>
      </w:pPr>
      <w:r>
        <w:rPr>
          <w:rFonts w:ascii="Arial" w:cs="Arial" w:eastAsia="Arial" w:hAnsi="Arial"/>
          <w:sz w:val="18"/>
          <w:szCs w:val="18"/>
          <w:b w:val="1"/>
          <w:bCs w:val="1"/>
          <w:i w:val="1"/>
          <w:iCs w:val="1"/>
          <w:color w:val="auto"/>
        </w:rPr>
        <w:t>Our substantial indebtedness could adversely affect our ability to raise additional capital to fund our operations, limit our ability to react to changes in the economy or our industry, expose us to interest rate risk to the extent of our variable rate debt and prevent us from meeting our obligations under our indebtedness.</w:t>
      </w:r>
    </w:p>
    <w:p>
      <w:pPr>
        <w:spacing w:after="0" w:line="4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of December 31, 2014, our outstanding debt was $2,826 million, including $1,208 million in variable rate debt. Our high degree of leverage could have important consequences, including the following: (i) a substantial portion of our cash flow from operations is dedicated to the payment of principal and interest on indebtedness, thereby reducing the funds available for operations, future business opportunities and capital expenditures; (ii) our ability to obtain additional financing for working capital, capital expenditures, debt service requirements, acquisitions and general corporate purposes in the future may be limited; (iii) certain of the borrowings are at variable rates of interest, which will increase our vulnerability to increases in interest rates; (iv) we may be unable to adjust rapidly to changing market conditions; (v) the debt service requirements of our other indebtedness could make it more difficult for us to satisfy our financial obligations; and (vi) we may be vulnerable in a downturn in general economic conditions or in our business and we may be unable to carry out activities that are important to our growth.</w:t>
      </w:r>
    </w:p>
    <w:p>
      <w:pPr>
        <w:spacing w:after="0" w:line="4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ability to make scheduled payments of the principal of, or to pay interest on, or to refinance indebtedness depends on and is subject to our financial and operating performance, which in turn is affected by general and regional economic, financial, competitive, business and other factors beyond our control. If we are unable to generate sufficient cash flow to service our debt or to fund our other liquidity needs, we will need to restructure or refinance all or a portion of our debt, which could cause us to default on our obligations and impair our liquidity. Any refinancing of our indebtedness could be at higher interest rates and may require us to comply with more stringent covenants that could further restrict our business operations. We from time to time may increase the amount of our indebtedness, modify the terms of our financing arrangements, issue dividends, make capital expenditures and take other actions that may substantially increase our leverage.</w:t>
      </w:r>
    </w:p>
    <w:p>
      <w:pPr>
        <w:spacing w:after="0" w:line="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Title</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If adverse changes in the levels of real estate activity occur, our revenues may decline.</w:t>
      </w:r>
    </w:p>
    <w:p>
      <w:pPr>
        <w:spacing w:after="0" w:line="90" w:lineRule="exact"/>
        <w:rPr>
          <w:sz w:val="20"/>
          <w:szCs w:val="20"/>
          <w:color w:val="auto"/>
        </w:rPr>
      </w:pPr>
    </w:p>
    <w:p>
      <w:pPr>
        <w:jc w:val="both"/>
        <w:ind w:firstLine="324"/>
        <w:spacing w:after="0" w:line="334" w:lineRule="auto"/>
        <w:rPr>
          <w:sz w:val="20"/>
          <w:szCs w:val="20"/>
          <w:color w:val="auto"/>
        </w:rPr>
      </w:pPr>
      <w:r>
        <w:rPr>
          <w:rFonts w:ascii="Arial" w:cs="Arial" w:eastAsia="Arial" w:hAnsi="Arial"/>
          <w:sz w:val="16"/>
          <w:szCs w:val="16"/>
          <w:color w:val="auto"/>
        </w:rPr>
        <w:t>Title insurance revenue is closely related to the level of real estate activity which includes sales, mortgage financing and mortgage refinancing. The levels of real estate activity are primarily affected by the average price of real estate sales, the availability of funds to finance purchases and mortgage interest rates.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We have found that residential real estate activity generally decreases in the following situations:</w:t>
      </w:r>
    </w:p>
    <w:p>
      <w:pPr>
        <w:spacing w:after="0" w:line="9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when mortgage interest rates are high or increasing;</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when the mortgage funding supply is limited;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when the United States economy is weak, including high unemployment levels.</w:t>
      </w:r>
    </w:p>
    <w:p>
      <w:pPr>
        <w:spacing w:after="0" w:line="10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Declines in the level of real estate activity or the average price of real estate sales are likely to adversely affect our title insurance revenues. The Mortgage Bankers Association's ("MBA") Mortgage Finance Forecast currently estimates an approximately $1.2 trillion mortgage origination market for 2015, which would be an increase of 8.9% from 2014. The MBA forecasts that the 8.9% increase will result almost entirely from increased purchase activity. Our revenues in future periods will continue to be subject to these and other factors which are beyond our control and, as a result, are likely to fluctuate.</w:t>
      </w:r>
    </w:p>
    <w:p>
      <w:pPr>
        <w:spacing w:after="0" w:line="1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If financial institutions at which we hold escrow funds fail, it could have a material adverse impact on our company.</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hold customers' assets in escrow at various financial institutions, pending completion of real estate transactions. These assets are maintained in segregated bank accounts and have not been included in the accompanying Consolidated Balance Sheets. We have a contingent liability relating to proper disposition of these balances for our customers, which amounted to $12.7 billion at December 31, 2014. Failure of one or more of these financial institutions may lead us to become liable for the funds owed to third parties and there is no guarantee that we would recover the funds deposited, whether through Federal Deposit Insurance Corporation coverage or otherwise.</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If we experience changes in the rate or severity of title insurance claims, it may be necessary for us to record additional charges to our claim loss reserve. This may result in lower net earnings and the potential for earnings volatility.</w:t>
      </w:r>
    </w:p>
    <w:p>
      <w:pPr>
        <w:spacing w:after="0" w:line="3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By their nature, claims are often complex, vary greatly in dollar amounts and are affected by economic and market conditions and the legal environment existing at the time of settlement of the claims. Estimating future title loss payments is difficult because of the complex nature of title claims, the long periods of time over which claims are paid, significantly varying dollar amounts of individual claims and other factors. From time to time, we experience large losses or an overall worsening of our loss payment experience in regard to the frequency or severity of claims that require us to record additional charges to our claims loss reserve. There are currently pending several large claims which we believe can be defended successfully without material loss payments. However, if unanticipated material payments are required to settle these claims, it could result in or contribute to additional charges to our claim loss reserves. These loss events are unpredictable and adversely affect our earnings.</w:t>
      </w:r>
    </w:p>
    <w:p>
      <w:pPr>
        <w:spacing w:after="0" w:line="4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At each quarter end, our recorded reserve for claim losses is initially the result of taking the prior recorded reserve for claim losses, adding the current provision to that balance and subtracting actual paid claims from that balance, resulting in an amount that management then compares to our actuary's central estimate provided in the actuarial calculation. Due to the uncertainty and judgment used by both management and our actuary, our ultimate liability may be greater or less than our current reserves and/or our actuary’s calculation. If the recorded amount is within a reasonable range of the actuary’s central estimate, but not at the central estimate, management assesses other factors in order to determine our best estimate. These factors, which are both qualitative and quantitative, can change from period to period and include items such as current trends in the real estate industry (which management can assess, but for which there is a time lag in the development of the data used by our actuary), any adjustments from the actuarial estimates needed for the effects of unusually large or small claims, improvements in our claims management processes, and other cost saving measures. Depending upon our assessment of these factors, we may or may not adjust the recorded reserve. If the recorded amount is not within a reasonable range of the actuary’s central estimate, we would record a charge or credit and reassess the provision rate on a go forward basis.</w:t>
      </w:r>
    </w:p>
    <w:p>
      <w:pPr>
        <w:spacing w:after="0" w:line="4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average provision for claim losses was 6.2% of title premiums in 2014. We will reassess the provision to be recorded in future periods consistent with this methodology and can make no assurance that we will not need to record additional charges in the future to increase reserves in respect of prior periods.</w:t>
      </w:r>
    </w:p>
    <w:p>
      <w:pPr>
        <w:spacing w:after="0" w:line="46"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Our insurance subsidiaries must comply with extensive regulations. These regulations may increase our costs or impede or impose burdensome conditions on actions that we might seek to take to increase the revenues of those subsidiaries.</w:t>
      </w:r>
    </w:p>
    <w:p>
      <w:pPr>
        <w:spacing w:after="0" w:line="3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Our insurance businesses are subject to extensive regulation by state insurance authorities in each state in which they operate. These agencies have broad administrative and supervisory power relating to the following, among other matters:</w:t>
      </w:r>
    </w:p>
    <w:p>
      <w:pPr>
        <w:spacing w:after="0" w:line="3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licensing requirements;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trade and marketing practices;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accounting and financing practices;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disclosure requirements on key terms of mortgage loans;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capital and surplus requirements;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of dividends and other payments made by insurance subsidiaries;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investment practices;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rate schedules;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deposits of securities for the benefit of policyholders;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reserves;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regulation of reinsurance.</w:t>
      </w:r>
    </w:p>
    <w:p>
      <w:pPr>
        <w:spacing w:after="0" w:line="7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Most states also regulate insurance holding companies like us with respect to acquisitions, changes of control and the terms of transactions with our affiliates. State regulations may impede or impose burdensome conditions on our ability to increase or maintain rate levels or on other actions that we may want to take to enhance our operating results. In addition, we may incur significant costs in the course of complying with regulatory requirements. Further, various state legislatures have in the past considered offering a public alternative to the title industry in their states, as a means to increase state government revenues. Although we think this situation is unlikely, if one or more such takeovers were to occur they could adversely affect our business. We cannot be assured that future legislative or regulatory changes will not adversely affect our business operations. See “Item 1.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 Regulation.”</w:t>
      </w:r>
    </w:p>
    <w:p>
      <w:pPr>
        <w:spacing w:after="0" w:line="3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State regulation of the rates we charge for title insurance could adversely affect our results of operations.</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title insurance subsidiaries are subject to extensive rate regulation by the applicable state agencies in the jurisdictions in which they operate. Title insurance rates are regulated differently in various states, with some states requiring the subsidiaries to file and receive approval of rates before such rates become effective and some states promulgating the rates that can be charged. In almost all states in which our title subsidiaries operate, our rates must not be excessive, inadequate or unfairly discriminatory.</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Regulatory investigations of the insurance industry may lead to fines, settlements, new regulation or legal uncertainty, which could negatively affect our results of operations.</w:t>
      </w:r>
    </w:p>
    <w:p>
      <w:pPr>
        <w:spacing w:after="0" w:line="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w:t>
      </w:r>
    </w:p>
    <w:p>
      <w:pPr>
        <w:spacing w:after="0" w:line="54"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Because we are dependent upon Texas and California for approximately 15.4% and 15.0% of our title insurance premiums, respectively, our business may be adversely affected by regulatory conditions in Texas and/or California.</w:t>
      </w:r>
    </w:p>
    <w:p>
      <w:pPr>
        <w:spacing w:after="0" w:line="3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Texas and California are the two largest sources of revenue for the our title segment and, in 2014, Texas-based premiums accounted for 21.0% of premiums earned by direct operations and 10.8% of our agency premium revenues. California-based premiums accounted for 32.4% of premiums earned by our direct operations and 0.5% of our agency premium revenues. In the aggregate, Texas and California accounted for approximately 15.4% and 15.0%, respectively, of our total title insurance premiums for 2014. A significant part of our revenues and profitability are therefore subject to our operations in Texas and California and to the prevailing regulatory conditions in Texas and California. Adverse regulatory developments in Texas and California, which could include reductions in the maximum rates permitted to be charged, inadequate rate increases or more fundamental changes in the design or implementation of the Texas and California title insurance regulatory framework, could have a material adverse effect on our results of operations and financial condition.</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5"/>
          <w:szCs w:val="15"/>
          <w:b w:val="1"/>
          <w:bCs w:val="1"/>
          <w:i w:val="1"/>
          <w:iCs w:val="1"/>
          <w:color w:val="auto"/>
        </w:rPr>
        <w:t>If the rating agencies downgrade our insurance companies, our results of operations and competitive position in the title insurance industry may suffer.</w:t>
      </w:r>
    </w:p>
    <w:p>
      <w:pPr>
        <w:spacing w:after="0" w:line="1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Ratings have always been an important factor in establishing the competitive position of insurance companies. Our title insurance subsidiaries are rated by S&amp;P, Moody’s, A.M. Best, and Demotech. Ratings reflect the opinion of a rating agency with regard to an insurance company’s or insurance holding company’s financial strength, operating performance and ability to meet its obligations to policyholders and are not evaluations directed to investors. Our ratings are subject to continued periodic review by rating agencies and the continued retention of those ratings cannot be assured. If our ratings are reduced from their current levels by those entities, our results of operations could be adversely affected.</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BKFS</w:t>
      </w:r>
    </w:p>
    <w:p>
      <w:pPr>
        <w:spacing w:after="0" w:line="94" w:lineRule="exact"/>
        <w:rPr>
          <w:sz w:val="20"/>
          <w:szCs w:val="20"/>
          <w:color w:val="auto"/>
        </w:rPr>
      </w:pPr>
    </w:p>
    <w:p>
      <w:pPr>
        <w:jc w:val="both"/>
        <w:ind w:left="180"/>
        <w:spacing w:after="0" w:line="286" w:lineRule="auto"/>
        <w:rPr>
          <w:sz w:val="20"/>
          <w:szCs w:val="20"/>
          <w:color w:val="auto"/>
        </w:rPr>
      </w:pPr>
      <w:r>
        <w:rPr>
          <w:rFonts w:ascii="Arial" w:cs="Arial" w:eastAsia="Arial" w:hAnsi="Arial"/>
          <w:sz w:val="17"/>
          <w:szCs w:val="17"/>
          <w:b w:val="1"/>
          <w:bCs w:val="1"/>
          <w:i w:val="1"/>
          <w:iCs w:val="1"/>
          <w:color w:val="auto"/>
        </w:rPr>
        <w:t>BKFS's clients and BKFS are subject to various governmental regulations, and a failure to comply with government regulations or changes in these regulations could result in penalties, restrict or limit it or its clients’ operations or make it more burdensome to conduct such operations, any of which could have a material adverse effect on its business, financial condition and results of operations.</w:t>
      </w:r>
    </w:p>
    <w:p>
      <w:pPr>
        <w:spacing w:after="0" w:line="3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Many of BKFS's clients’ and its businesses are subject to various federal, state, local and foreign laws and regulations. BKFS' failure to comply with applicable laws and regulations could restrict its ability to provide certain services or result in imposition of civil fines and criminal penalties, substantial regulatory and compliance costs, litigation expense, adverse publicity and loss of revenue.</w:t>
      </w:r>
    </w:p>
    <w:p>
      <w:pPr>
        <w:spacing w:after="0" w:line="46"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As a provider of electronic data processing to financial institutions, such as banks and credit unions, BKFS is subject to regulatory oversight and examination by the Federal Financial Institutions Examination Council, an interagency body of the Federal Reserve Board, the Office of the Comptroller of the Currency, or the OCC, the Federal Deposit Insurance Corporation, or the FDIC, and various other federal and state regulatory authorities. In addition, independent auditors annually review several of the BKFS operations to provide reports on internal controls for its clients’ auditors and regulators. BKFS may be subject to review by state agencies that regulate banks in each state in which it conducts its electronic processing activities.</w:t>
      </w:r>
    </w:p>
    <w:p>
      <w:pPr>
        <w:spacing w:after="0" w:line="3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addition, BKFS is subject to an increasing degree of compliance oversight by regulators and by its clients. Specifically, the CFPB has authority to write rules affecting the business of, supervise, conduct examinations of, and enforce compliance as to federal consumer financial protection laws and regulations with respect to certain “non-depository covered persons” determined by the CFPB to be “larger participants” that offer consumer financial products and services. The CFPB and other financial institution regulators such as the OCC also have the authority to examine BKFS in its role as a service provider to large financial institutions, although it is yet unclear how broadly they will apply this authority going forward. In addition, some of BKFS's largest bank clients are subject to consent orders with the OCC and/or are parties to the National Mortgage Settlement, both of which require them to exercise greater oversight and perform more rigorous audits of their key vendors such as BKFS.</w:t>
      </w:r>
    </w:p>
    <w:p>
      <w:pPr>
        <w:spacing w:after="0" w:line="4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Real Estate Settlement Procedures Act, or RESPA, and related regulations generally prohibit the payment or receipt of fees or any other item of value for the referral of real estate-related settlement services. RESPA also prohibits fee shares or splits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or unearned fees in connection with the provision of residential real estate settlement services, such as mortgage brokerage and real estate brokerage. Notwithstanding these prohibitions, RESPA permits payments for goods furnished or for services actually performed, so long as those payments bear a reasonable relationship to the market value of the goods or services provided. RESPA and related regulations may to some extent restrict our real estate-related businesses from entering into certain preferred alliance arrangements. The CFPB is responsible for enforcing RESPA.</w:t>
      </w:r>
    </w:p>
    <w:p>
      <w:pPr>
        <w:spacing w:after="0" w:line="3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Changes to laws and regulations and enhanced regulatory oversight of our clients and us may compel us to increase our prices in certain situations or decrease our prices in other situations, may restrict our ability to implement price increases, or otherwise limit the manner in which BKFS conducts its business. In addition, in response to increased regulatory oversight, participants in the mortgage lending industry may develop policies pursuant to which they limit the extent to which they can rely on any one vendor or service provider. If we are unable to adapt our products and services to conform to the new laws and regulations, or if these laws and regulations have a negative impact on our clients, we may experience client losses or increased operating costs, which could have a material adverse effect on our business, financial condition and results of operations.</w:t>
      </w:r>
    </w:p>
    <w:p>
      <w:pPr>
        <w:spacing w:after="0" w:line="43" w:lineRule="exact"/>
        <w:rPr>
          <w:sz w:val="20"/>
          <w:szCs w:val="20"/>
          <w:color w:val="auto"/>
        </w:rPr>
      </w:pPr>
    </w:p>
    <w:p>
      <w:pPr>
        <w:jc w:val="both"/>
        <w:ind w:left="180"/>
        <w:spacing w:after="0" w:line="259" w:lineRule="auto"/>
        <w:rPr>
          <w:sz w:val="20"/>
          <w:szCs w:val="20"/>
          <w:color w:val="auto"/>
        </w:rPr>
      </w:pPr>
      <w:r>
        <w:rPr>
          <w:rFonts w:ascii="Arial" w:cs="Arial" w:eastAsia="Arial" w:hAnsi="Arial"/>
          <w:sz w:val="18"/>
          <w:szCs w:val="18"/>
          <w:b w:val="1"/>
          <w:bCs w:val="1"/>
          <w:i w:val="1"/>
          <w:iCs w:val="1"/>
          <w:color w:val="auto"/>
        </w:rPr>
        <w:t>BKFS relies on its top clients for a significant portion of its revenue and profit, which makes it susceptible to the same macro-economic and regulatory factors that impact its clients. If these clients are negatively impacted by current economic or regulatory conditions or otherwise experience financial hardship or stress, or if the terms of its relationships with these clients change, it could have a material adverse effect on its business, financial condition and results of operations.</w:t>
      </w:r>
    </w:p>
    <w:p>
      <w:pPr>
        <w:spacing w:after="0" w:line="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BKFS operates in a consolidated industry and as a result, a small number of its clients have accounted for a significant portion of its revenues. BKFS expects that a limited number of its clients will continue to represent a significant portion of its revenues for the foreseeable future. During 2014, BKFS's largest client, Wells Fargo, N.A., or Wells Fargo, accounted for approximately 13.5% of BKFS' consolidated revenues. JPMorgan Chase Bank, N.A., or JPMorgan Chase, BKFS's second largest client, accounted for approximately 11.8% of BKFS' consolidated revenues.</w:t>
      </w:r>
    </w:p>
    <w:p>
      <w:pPr>
        <w:spacing w:after="0" w:line="3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BKFS's clients face continued pressure in the current economic and regulatory climate. Many of BKFS's relationships with these clients are long-standing and are important to its business and results of operations, but there is no guarantee that BKFS will be able to retain or renew existing agreements or maintain its relationships on acceptable terms or at all. Additionally, BKFS relies on cross-selling its products and services to its existing clients as a source of growth. The deterioration in or termination of any of these relationships could significantly reduce its revenue and could have a material adverse effect on its business, financial condition and results of operations. As a result, BKFS may be disproportionately affected by declining revenue from, or loss of, a significant BKFS client. In addition, by virtue of their significant relationships with us, these clients may be able to exert pressure on us with respect to the pricing of BKFS services.</w:t>
      </w:r>
    </w:p>
    <w:p>
      <w:pPr>
        <w:spacing w:after="0" w:line="54"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There may be consolidation in BKFS' end client market, which would reduce the use of its services by its clients and could have a material adverse effect on its business, financial condition and results of operations.</w:t>
      </w:r>
    </w:p>
    <w:p>
      <w:pPr>
        <w:spacing w:after="0" w:line="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Mergers or consolidations among existing or potential clients could reduce the number of BKFS' clients and potential clients. If BKFS's clients merge with or are acquired by other entities that are not BKFS' clients, or that use fewer of BKFS' services, they may discontinue or reduce their use of BKFS's services. In addition, if potential clients merge, BKFS's ability to increase its client base may be adversely affected and the ability of BKFS's customers to exert pressure on BKFS' pricing may increase. Any of these developments could have a material adverse effect on BKFS's business, financial condition and results of operations.</w:t>
      </w:r>
    </w:p>
    <w:p>
      <w:pPr>
        <w:spacing w:after="0" w:line="53" w:lineRule="exact"/>
        <w:rPr>
          <w:sz w:val="20"/>
          <w:szCs w:val="20"/>
          <w:color w:val="auto"/>
        </w:rPr>
      </w:pPr>
    </w:p>
    <w:p>
      <w:pPr>
        <w:jc w:val="both"/>
        <w:ind w:left="180"/>
        <w:spacing w:after="0" w:line="264" w:lineRule="auto"/>
        <w:rPr>
          <w:sz w:val="20"/>
          <w:szCs w:val="20"/>
          <w:color w:val="auto"/>
        </w:rPr>
      </w:pPr>
      <w:r>
        <w:rPr>
          <w:rFonts w:ascii="Arial" w:cs="Arial" w:eastAsia="Arial" w:hAnsi="Arial"/>
          <w:sz w:val="18"/>
          <w:szCs w:val="18"/>
          <w:b w:val="1"/>
          <w:bCs w:val="1"/>
          <w:i w:val="1"/>
          <w:iCs w:val="1"/>
          <w:color w:val="auto"/>
        </w:rPr>
        <w:t>If BKFS fails to adapt its solutions to technological changes or evolving industry standards, or if BKFS's ongoing efforts to upgrade its technology are not successful, BKFS could lose clients and have difficulty attracting new clients for its solutions, which could have a material adverse effect on its business, financial condition and results of operations.</w:t>
      </w:r>
    </w:p>
    <w:p>
      <w:pPr>
        <w:spacing w:after="0" w:line="4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markets for BKFS's solutions are characterized by constant technological changes, frequent introductions of new products and services and evolving industry standards. BKFS's future success will be significantly affected by BKFS's ability to successfully enhance BKFS's current solutions, and develop and introduce new solutions and services that address the increasingly sophisticated needs of BKFS's clients and their customers. These initiatives carry the risks associated with any new product or service development effort, including cost overruns, delays in delivery and performance issues. There can be no assurance that BKFS will be successful in developing, marketing and selling new solutions and services that meet these changing demands, that BKFS will not experience difficulties that could delay or prevent the successful development, introduction, and marketing of these solutions and services, or that BKFS' new solutions and services and their enhancements will adequately meet the demands of the marketplace and achieve market acceptance. If BKFS' efforts are unsuccessful, it could have a material adverse effect on BKFS' business, financial condition and results of operations.</w:t>
      </w:r>
    </w:p>
    <w:p>
      <w:pPr>
        <w:spacing w:after="0" w:line="31"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BKFS operates in a competitive business environment and, if BKFS is unable to compete effectively, it could have a material adverse effect on its business, financial condition and results of operations.</w:t>
      </w:r>
    </w:p>
    <w:p>
      <w:pPr>
        <w:spacing w:after="0" w:line="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markets for BKFS's solutions are intensely competitive. BKFS's competitors vary in size and in the scope and breadth of the services they offer. Some of BKFS's competitors have substantial resources. In addition, BKFS expects that the markets in which BKFS competes will continue to attract new competitors and new technologies. There can be no assurance that BKFS will</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 able to compete successfully against current or future competitors or that competitive pressures BKFS faces in the markets in which BKFS operates will not have a material adverse effect on its business, financial condition and results of operations.</w:t>
      </w:r>
    </w:p>
    <w:p>
      <w:pPr>
        <w:spacing w:after="0" w:line="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Further, because many of BKFS' larger potential clients have historically developed their key processing applications in-house and therefore view their system requirements from a make-versus-buy perspective, BKFS often competes against BKFS's potential clients’ in-house capacities. There can be no assurance that BKFS's strategies for overcoming potential clients’ reluctance to change will be successful, and if BKFS is unsuccessful, it could have a material adverse effect on BKFS's business, financial condition and results of operations.</w:t>
      </w:r>
    </w:p>
    <w:p>
      <w:pPr>
        <w:spacing w:after="0" w:line="52"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BKFS relies on proprietary technology and information rights, and if BKFS is unable to protect its rights, it could have a material adverse effect on BKFS's business, financial condition and results of operations.</w:t>
      </w:r>
    </w:p>
    <w:p>
      <w:pPr>
        <w:spacing w:after="0" w:line="3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BKFS's success depends, in part, upon its intellectual property rights. BKFS relies primarily on a combination of patents, copyrights, trade secrets, and trademark laws and nondisclosure and other contractual restrictions on copying, distribution and creation of derivative products to protect BKFS's proprietary technology and information. This protection is limited, and BKFS's intellectual property could be used by others without their consent. In addition, patents may not be issued with respect to BKFS's pending or future patent applications, and BKFS's patents may not be upheld as valid or may not prevent the development of competitive products. Any infringement, disclosure, loss, invalidity of, or failure to protect BKFS's intellectual property could have a material adverse effect on its business, financial condition and results of operations. Moreover, litigation may be necessary to enforce or protect its intellectual property rights, to protect its trade secrets, or to determine the validity and scope of the proprietary rights of others. Such litigation could be time-consuming, result in substantial costs and diversion of resources and could have a material adverse effect on its business, financial condition and results of operations.</w:t>
      </w:r>
    </w:p>
    <w:p>
      <w:pPr>
        <w:spacing w:after="0" w:line="31" w:lineRule="exact"/>
        <w:rPr>
          <w:sz w:val="20"/>
          <w:szCs w:val="20"/>
          <w:color w:val="auto"/>
        </w:rPr>
      </w:pPr>
    </w:p>
    <w:p>
      <w:pPr>
        <w:jc w:val="both"/>
        <w:ind w:left="180"/>
        <w:spacing w:after="0" w:line="264" w:lineRule="auto"/>
        <w:rPr>
          <w:sz w:val="20"/>
          <w:szCs w:val="20"/>
          <w:color w:val="auto"/>
        </w:rPr>
      </w:pPr>
      <w:r>
        <w:rPr>
          <w:rFonts w:ascii="Arial" w:cs="Arial" w:eastAsia="Arial" w:hAnsi="Arial"/>
          <w:sz w:val="18"/>
          <w:szCs w:val="18"/>
          <w:b w:val="1"/>
          <w:bCs w:val="1"/>
          <w:i w:val="1"/>
          <w:iCs w:val="1"/>
          <w:color w:val="auto"/>
        </w:rPr>
        <w:t>Because BKFS's revenue from clients in the mortgage lending industry is affected by the strength of the economy and the housing market generally, including the volume of real estate transactions, a change in any of these conditions could have a material adverse effect on its business, financial condition and results of operations.</w:t>
      </w:r>
    </w:p>
    <w:p>
      <w:pPr>
        <w:spacing w:after="0" w:line="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BKFS's revenue is primarily generated from technology, data and analytics BKFS provides to the mortgage lending industry and, as a result, a weak economy or housing market may have a material adverse effect on BKFS's business, financial condition and results of operations. The volume of mortgage origination and residential real estate transactions is highly variable and reductions in these transaction volumes could have a direct impact on the revenues BKFS generates.</w:t>
      </w:r>
    </w:p>
    <w:p>
      <w:pPr>
        <w:spacing w:after="0" w:line="5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The revenues BKFS generates from its servicing technology depend upon the total number of mortgage loans processed on its MSP platform, which tends to be comparatively consistent regardless of economic conditions. However, in the event that a difficult economy or other factors lead to a decline in levels of home ownership and a reduction in the number of mortgage loans outstanding and BKFS is not able to counter the impact of those events with increased market share or higher fees, BKFS's mortgage processing revenues could be adversely affected. Moreover, negative economic conditions, including increased unemployment or interest rates or a downturn in other general economic factors, among other things, could adversely affect the performance and financial condition of some of BKFS's clients in many of its businesses, which may have a material adverse effect on its business, financial condition and results of operations if these clients exit certain businesses.</w:t>
      </w:r>
    </w:p>
    <w:p>
      <w:pPr>
        <w:spacing w:after="0" w:line="4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 weaker economy and housing market tend to increase the volume of consumer mortgage defaults, which can increase revenues from BKFS's applications focused on supporting default management functions. However, government regulation of the mortgage industry in general, and the default and foreclosure process in particular, has greatly slowed the processing of defaulted mortgages in recent years and has changed the way many of its clients address mortgage loans in default. A downturn in the origination market and a concurrent slowdown or change in the way mortgage loans in default are addressed could have a material adverse effect on its business, financial condition and results of operations.</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FNFV</w:t>
      </w:r>
    </w:p>
    <w:p>
      <w:pPr>
        <w:spacing w:after="0" w:line="94"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Our operations could be adversely affected by the results of our acquired restaurant companies due to the risks inherent in that segment.</w:t>
      </w:r>
    </w:p>
    <w:p>
      <w:pPr>
        <w:spacing w:after="0" w:line="10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acquired restaurant companies face certain risks that could negatively impact their results of operations. These risks include such things as the risks of unfavorable economic conditions, changing consumer preferences, unfavorable publicity, increasing food and labor costs, effectiveness of marketing campaigns, and the ability to compete successfully with other restaurants. In addition, risks related to supply chain, food quality, and protecting guests' personal information are inherent to the restaurant business. These companies are also subject to compliance with extensive government laws and regulations related to employment practices and policies and the manufacture, preparation, and sale of food and alcohol. If our restaurant companies are not able to respond effectively to one or more of these risks, it could have a material adverse impact on the results of operations of those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Ownership of Our FNFV Group Common Stock due to our Tracking Stock Capitalization</w:t>
      </w:r>
    </w:p>
    <w:p>
      <w:pPr>
        <w:spacing w:after="0" w:line="121" w:lineRule="exact"/>
        <w:rPr>
          <w:sz w:val="20"/>
          <w:szCs w:val="20"/>
          <w:color w:val="auto"/>
        </w:rPr>
      </w:pPr>
    </w:p>
    <w:p>
      <w:pPr>
        <w:ind w:left="180"/>
        <w:spacing w:after="0" w:line="308" w:lineRule="auto"/>
        <w:rPr>
          <w:sz w:val="20"/>
          <w:szCs w:val="20"/>
          <w:color w:val="auto"/>
        </w:rPr>
      </w:pPr>
      <w:r>
        <w:rPr>
          <w:rFonts w:ascii="Arial" w:cs="Arial" w:eastAsia="Arial" w:hAnsi="Arial"/>
          <w:sz w:val="17"/>
          <w:szCs w:val="17"/>
          <w:b w:val="1"/>
          <w:bCs w:val="1"/>
          <w:i w:val="1"/>
          <w:iCs w:val="1"/>
          <w:color w:val="auto"/>
        </w:rPr>
        <w:t>Holders of FNF Group common stock and FNFV Group common stock are common shareholders of FNF and are, therefore, subject to risks associated with an investment in FNF as a whole, even if a holder does not own shares of common stock of both of our groups.</w:t>
      </w:r>
    </w:p>
    <w:p>
      <w:pPr>
        <w:spacing w:after="0" w:line="11"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Even though we have attributed, for financial reporting purposes, all of our consolidated assets, liabilities, revenue, expenses to either the FNF Group or the FNFV Group in order to prepare the separate financial results for each of these groups included herein, we retain legal title to all of our assets and our capitalization does not limit our legal responsibility, or that of our subsidiaries, for the liabilities included in any disclosed financial results. Holders of FNF Group common stock and FNFV Group common stock do not have any legal rights related to specific assets attributed to the FNF Group or the FNFV Group and, in any liquidation, holders of FNF Group common stock and holders of FNFV Group common stock will be entitled to receive a pro rata share of our available net assets based on their respective numbers of liquidation units as specified in our certificate of incorporation (our "Corporate Charter").</w:t>
      </w:r>
    </w:p>
    <w:p>
      <w:pPr>
        <w:spacing w:after="0" w:line="57"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Board of Directors’ ability to reattribute businesses, assets and expenses between tracking stock groups may make it difficult to assess the future prospects of either tracking stock group based on its past performance.</w:t>
      </w:r>
    </w:p>
    <w:p>
      <w:pPr>
        <w:spacing w:after="0" w:line="3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Board of Directors is vested with discretion to reattribute businesses, assets and liabilities that are attributed to one tracking stock group to the other tracking stock group, without the approval of any of our shareholders, in accordance with our management and allocation policies and our Corporate Charter. Any such reattribution made by our Board of Directors, as well as the existence of the right in and of itself to effect a reattribution, may impact the ability of investors to assess the future prospects of either tracking stock group, including its liquidity and capital resource needs, based on its past performance. Shareholders may also have difficulty evaluating the liquidity and capital resources of each group based on past performance, as our Board of Directors may use one group’s liquidity to fund the other group’s liquidity and capital expenditure requirements through the use of inter-group loans and inter-group interests.</w:t>
      </w:r>
    </w:p>
    <w:p>
      <w:pPr>
        <w:spacing w:after="0" w:line="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could be required to use assets attributed to one group to pay liabilities attributed to the other group.</w:t>
      </w:r>
    </w:p>
    <w:p>
      <w:pPr>
        <w:spacing w:after="0" w:line="90"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The assets attributed to one group are potentially subject to the liabilities attributed to the other group, even if those liabilities arise from lawsuits, contracts or indebtedness that are attributed to such other group. While our current management and allocation policies provide that reattributions of assets between groups will result in the creation of an inter-group loan or an inter-group interest or an offsetting reattribution of cash or other assets, no provision of our Corporate Charter prevents us from satisfying liabilities of one group with assets of the other group, and our creditors will not in any way be limited by our tracking stock capitalization from proceeding against any assets they could have proceeded against if we did not have a tracking stock capitalization.</w:t>
      </w:r>
    </w:p>
    <w:p>
      <w:pPr>
        <w:spacing w:after="0" w:line="50"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The market price of FNF Group common stock and FNFV Group common stock may not reflect the performance of the FNF Group and the FNFV Group, respectively, as we intend.</w:t>
      </w:r>
    </w:p>
    <w:p>
      <w:pPr>
        <w:spacing w:after="0" w:line="3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cannot assure you that the market price of the common stock of a group will, in fact, reflect the performance of the group of businesses, assets and liabilities attributed to that group. Holders of FNF Group common stock and FNFV Group common stock are common shareholders of FNF as a whole and, as such, will be subject to all risks associated with an investment in FNF and all of our businesses, assets and liabilities. As a result, the market price of each class of stock of a group may simply reflect the performance of FNF as a whole or may more independently reflect the performance of some or all of the group of assets attributed to such group. In addition, investors may discount the value of the stock of a group because it is part of a common enterprise rather than a stand-alone entity.</w:t>
      </w:r>
    </w:p>
    <w:p>
      <w:pPr>
        <w:spacing w:after="0" w:line="85"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The market price of FNF Group common stock and FNFV Group common stock may be volatile, could fluctuate substantially and could be affected by factors that do not affect traditional common stock.</w:t>
      </w:r>
    </w:p>
    <w:p>
      <w:pPr>
        <w:spacing w:after="0" w:line="3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To the extent the market prices of FNF Group common stock and FNFV Group common stock track the performance of more focused groups of businesses, assets and liabilities than the historic FNF Class A common stock did, the market prices of these new tracking stocks may be more volatile than the market price of FNF Class A common stock was historically. The market prices of FNF Group common stock and FNFV Group common stock may be materially affected by, among other things:</w:t>
      </w:r>
    </w:p>
    <w:p>
      <w:pPr>
        <w:spacing w:after="0" w:line="79"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actual or anticipated fluctuations in a group’s operating results or in the operating results of particular companies attributable to such group;</w:t>
      </w:r>
    </w:p>
    <w:p>
      <w:pPr>
        <w:spacing w:after="0" w:line="34" w:lineRule="exact"/>
        <w:rPr>
          <w:rFonts w:ascii="Arial" w:cs="Arial" w:eastAsia="Arial" w:hAnsi="Arial"/>
          <w:sz w:val="17"/>
          <w:szCs w:val="17"/>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acquisition activity by FNF or the companies in which we invest;</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issuances of debt or equity securities to raise capital by FNF or the companies in which we invest and the manner in which that debt or the proceeds of an equity issuance are attributed to each of the groups;</w:t>
      </w:r>
    </w:p>
    <w:p>
      <w:pPr>
        <w:ind w:left="660" w:right="2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regarding FNF Group common stock or FNFV Group common stock or the companies attributable to either of our tracking stock groups;</w:t>
      </w:r>
    </w:p>
    <w:p>
      <w:pPr>
        <w:ind w:left="660" w:hanging="328"/>
        <w:spacing w:after="0" w:line="26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complex nature and the potential difficulties investors may have in understanding the terms of both of our tracking stocks, as well as concerns regarding the possible effect of certain of those terms on an investment in our stock; and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117"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The market value of FNF Group common stock and FNFV Group common stock could be adversely affected by events involving the assets and businesses attributed to either of the groups.</w:t>
      </w:r>
    </w:p>
    <w:p>
      <w:pPr>
        <w:spacing w:after="0" w:line="35"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Because we are the issuer of FNF Group common stock and FNFV Group common stock, an adverse market reaction to events relating to the assets and businesses attributed to either of our groups, such as earnings announcements or announcements of new products or services, acquisitions or dispositions that the market does not view favorably, may cause an adverse reaction to the common stock of the other group. This could occur even if the triggering event is not material to us as a whole. A certain triggering event may also have a greater impact on one group than the same triggering event would have on the other group due to the asset composition of the affected group. In addition, the incurrence of significant indebtedness by us or any of our subsidiaries on behalf of one group, including indebtedness incurred or assumed in connection with acquisitions of or investments in businesses, could affect our credit rating and that of our subsidiaries and, therefore, could increase the borrowing costs of businesses attributable to our other group or the borrowing costs of FNF as a whole.</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not pay dividends equally or at all on FNF Group common stock or FNFV Group common stock.</w:t>
      </w:r>
    </w:p>
    <w:p>
      <w:pPr>
        <w:spacing w:after="0" w:line="9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FNF has historically paid quarterly dividends to its shareholders. We have the right to pay dividends on the shares of common stock of each group in equal or unequal amounts, and we may pay dividends on the shares of common stock of one group and not pay dividends on shares of common stock of the other group. In addition, any dividends or distributions on, or repurchases of, shares relating to either group will reduce our assets legally available to be paid as dividends on the shares relating to the other group.</w:t>
      </w:r>
    </w:p>
    <w:p>
      <w:pPr>
        <w:spacing w:after="0" w:line="79"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tracking stock capital structure could create conflicts of interest, and our Board of Directors may make decisions that could adversely affect only some holders of our common stock.</w:t>
      </w:r>
    </w:p>
    <w:p>
      <w:pPr>
        <w:spacing w:after="0" w:line="35" w:lineRule="exact"/>
        <w:rPr>
          <w:sz w:val="20"/>
          <w:szCs w:val="20"/>
          <w:color w:val="auto"/>
        </w:rPr>
      </w:pPr>
    </w:p>
    <w:p>
      <w:pPr>
        <w:jc w:val="both"/>
        <w:ind w:firstLine="243"/>
        <w:spacing w:after="0" w:line="293" w:lineRule="auto"/>
        <w:rPr>
          <w:sz w:val="20"/>
          <w:szCs w:val="20"/>
          <w:color w:val="auto"/>
        </w:rPr>
      </w:pPr>
      <w:r>
        <w:rPr>
          <w:rFonts w:ascii="Arial" w:cs="Arial" w:eastAsia="Arial" w:hAnsi="Arial"/>
          <w:sz w:val="16"/>
          <w:szCs w:val="16"/>
          <w:color w:val="auto"/>
        </w:rPr>
        <w:t>Our tracking stock capital structure could give rise to occasions when the interests of holders of stock of one group might diverge or appear to diverge from the interests of holders of stock of the other group. In addition, given the nature of their businesses, there may be inherent conflicts of interests between the FNF Group and the FNFV Group. Our tracking stock groups are not separate entities and thus holders of FNF Group common stock and FNFV Group common stock do not have the right to elect separate Boards of Directors. As a result, our FNF’s officers and directors owe fiduciary duties to FNF as a whole and all of our shareholders as opposed to only holders of a particular group. Decisions deemed to be in the best interest of our Company and all of our shareholders may not be in the best interest of a particular group when considered independently. Examples include:</w:t>
      </w:r>
    </w:p>
    <w:p>
      <w:pPr>
        <w:spacing w:after="0" w:line="57" w:lineRule="exact"/>
        <w:rPr>
          <w:sz w:val="20"/>
          <w:szCs w:val="20"/>
          <w:color w:val="auto"/>
        </w:rPr>
      </w:pPr>
    </w:p>
    <w:p>
      <w:pPr>
        <w:ind w:left="660" w:right="20" w:hanging="328"/>
        <w:spacing w:after="0" w:line="25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decisions as to the terms of any business relationships that may be created between the FNF Group and the FNFV Group or the terms of any reattributions of assets between the groups;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decisions as to the allocation of consideration among the holders of FNF Group common stock and FNFV Group common stock to be received in connection with a merger involving FNF;</w:t>
      </w:r>
    </w:p>
    <w:p>
      <w:pPr>
        <w:ind w:left="660" w:hanging="328"/>
        <w:spacing w:after="0" w:line="250"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decisions as to the allocation of corporate opportunities between the groups, especially where the opportunities might meet the strategic business objectives of both groups;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decisions as to operational and financial matters that could be considered detrimental to one group but beneficial to the other;</w:t>
      </w:r>
    </w:p>
    <w:p>
      <w:pPr>
        <w:spacing w:after="0" w:line="9" w:lineRule="exact"/>
        <w:rPr>
          <w:rFonts w:ascii="Arial" w:cs="Arial" w:eastAsia="Arial" w:hAnsi="Arial"/>
          <w:sz w:val="18"/>
          <w:szCs w:val="18"/>
          <w:color w:val="auto"/>
        </w:rPr>
      </w:pPr>
    </w:p>
    <w:p>
      <w:pPr>
        <w:jc w:val="both"/>
        <w:ind w:left="660" w:hanging="328"/>
        <w:spacing w:after="0" w:line="265"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decisions as to the conversion of shares of common stock of one group into shares of common stock of the other, which the Board of Directors may make in its sole discretion, so long as the shares are converted (other than in connection with the disposition of all or substantially all of a group’s assets) at a ratio that provides the shareholders of the converted stock with a premium based on the following requirements:</w:t>
      </w:r>
    </w:p>
    <w:p>
      <w:pPr>
        <w:ind w:left="880" w:hanging="224"/>
        <w:spacing w:after="0"/>
        <w:tabs>
          <w:tab w:leader="none" w:pos="8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10% premium to such stock’s market price for the first year following the recapitalization,</w:t>
      </w:r>
    </w:p>
    <w:p>
      <w:pPr>
        <w:spacing w:after="0" w:line="9" w:lineRule="exact"/>
        <w:rPr>
          <w:rFonts w:ascii="Arial" w:cs="Arial" w:eastAsia="Arial" w:hAnsi="Arial"/>
          <w:sz w:val="18"/>
          <w:szCs w:val="18"/>
          <w:color w:val="auto"/>
        </w:rPr>
      </w:pPr>
    </w:p>
    <w:p>
      <w:pPr>
        <w:ind w:left="920" w:hanging="264"/>
        <w:spacing w:after="0"/>
        <w:tabs>
          <w:tab w:leader="none" w:pos="9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 8% premium to such stock’s market price for the second year following the recapitalization,</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6% premium to such stock’s market price for the third year following the recapitalization,</w:t>
      </w:r>
    </w:p>
    <w:p>
      <w:pPr>
        <w:spacing w:after="0" w:line="9" w:lineRule="exact"/>
        <w:rPr>
          <w:rFonts w:ascii="Arial" w:cs="Arial" w:eastAsia="Arial" w:hAnsi="Arial"/>
          <w:sz w:val="18"/>
          <w:szCs w:val="18"/>
          <w:color w:val="auto"/>
        </w:rPr>
      </w:pPr>
    </w:p>
    <w:p>
      <w:pPr>
        <w:ind w:left="960" w:hanging="304"/>
        <w:spacing w:after="0"/>
        <w:tabs>
          <w:tab w:leader="none" w:pos="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4% premium to such stock’s market price for fourth year following the recapitalization,</w:t>
      </w:r>
    </w:p>
    <w:p>
      <w:pPr>
        <w:spacing w:after="0" w:line="9" w:lineRule="exact"/>
        <w:rPr>
          <w:rFonts w:ascii="Arial" w:cs="Arial" w:eastAsia="Arial" w:hAnsi="Arial"/>
          <w:sz w:val="18"/>
          <w:szCs w:val="18"/>
          <w:color w:val="auto"/>
        </w:rPr>
      </w:pPr>
    </w:p>
    <w:p>
      <w:pPr>
        <w:ind w:left="920" w:hanging="264"/>
        <w:spacing w:after="0"/>
        <w:tabs>
          <w:tab w:leader="none" w:pos="9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2% premium to such stock’s market price for the fifth year following the recapitalization, and</w:t>
      </w:r>
    </w:p>
    <w:p>
      <w:pPr>
        <w:spacing w:after="0" w:line="9" w:lineRule="exact"/>
        <w:rPr>
          <w:rFonts w:ascii="Arial" w:cs="Arial" w:eastAsia="Arial" w:hAnsi="Arial"/>
          <w:sz w:val="18"/>
          <w:szCs w:val="18"/>
          <w:color w:val="auto"/>
        </w:rPr>
      </w:pPr>
    </w:p>
    <w:p>
      <w:pPr>
        <w:jc w:val="both"/>
        <w:ind w:left="660" w:hanging="4"/>
        <w:spacing w:after="0" w:line="265" w:lineRule="auto"/>
        <w:tabs>
          <w:tab w:leader="none" w:pos="971" w:val="left"/>
        </w:tabs>
        <w:numPr>
          <w:ilvl w:val="1"/>
          <w:numId w:val="19"/>
        </w:numPr>
        <w:rPr>
          <w:rFonts w:ascii="Arial" w:cs="Arial" w:eastAsia="Arial" w:hAnsi="Arial"/>
          <w:sz w:val="17"/>
          <w:szCs w:val="17"/>
          <w:color w:val="auto"/>
        </w:rPr>
      </w:pPr>
      <w:r>
        <w:rPr>
          <w:rFonts w:ascii="Arial" w:cs="Arial" w:eastAsia="Arial" w:hAnsi="Arial"/>
          <w:sz w:val="17"/>
          <w:szCs w:val="17"/>
          <w:color w:val="auto"/>
        </w:rPr>
        <w:t>no premium to such stock’s market price thereafter, with such premium to be based on, in each case, the market price of such stock over the 10 day trading period preceding the date on the which the Board of Directors determines to effect any such conversion; no conversion premium is available for a conversion in connection with the disposition of all or substantially all of the assets of either group;</w:t>
      </w:r>
    </w:p>
    <w:p>
      <w:pPr>
        <w:spacing w:after="0" w:line="1" w:lineRule="exact"/>
        <w:rPr>
          <w:sz w:val="20"/>
          <w:szCs w:val="20"/>
          <w:color w:val="auto"/>
        </w:rPr>
      </w:pPr>
    </w:p>
    <w:p>
      <w:pPr>
        <w:ind w:left="660" w:hanging="328"/>
        <w:spacing w:after="0" w:line="250"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decisions regarding the creation of, and, if created, the subsequent increase or decrease of any intergroup interest that one group may own in the other group;</w:t>
      </w:r>
    </w:p>
    <w:p>
      <w:pPr>
        <w:spacing w:after="0" w:line="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decisions as to the internal or external financing attributable to businesses or assets attributed to either of our groups;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decisions as to the dispositions of assets of either of our groups;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decisions as to the payment of dividends on the stock relating to either of our groups.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directors’ or officers’ ownership of FNF Group common stock and FNFV Group common stock may create or appear to create conflicts of interest.</w:t>
      </w:r>
    </w:p>
    <w:p>
      <w:pPr>
        <w:spacing w:after="0" w:line="3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If directors or officers own disproportionate interests (in percentage or value terms) in FNF Group common stock or FNFV Group common stock, that disparity could create or appear to create conflicts of interest when they are faced with decisions that could have different implications for the holders of FNF Group common stock or FNFV Group common stock.</w:t>
      </w:r>
    </w:p>
    <w:p>
      <w:pPr>
        <w:spacing w:after="0" w:line="73"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We have not adopted any specific procedures for consideration of matters involving a divergence of interests among holders of shares of stock relating to our two groups.</w:t>
      </w:r>
    </w:p>
    <w:p>
      <w:pPr>
        <w:spacing w:after="0" w:line="35"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Rather than develop additional specific procedures in advance, our Board of Directors intends to exercise its judgment from time to time, depending on the circumstances, as to how best to:</w:t>
      </w:r>
    </w:p>
    <w:p>
      <w:pPr>
        <w:spacing w:after="0" w:line="62"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 information regarding the divergence (or potential divergence) of interests;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determine under what circumstances to seek the assistance of outside advisers;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determine whether a committee of our Board of Directors should be appointed to address a specific matter and the appropriate members of that committee; and</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assess what is in our best interest and the best interest of all of our shareholders.</w:t>
      </w:r>
    </w:p>
    <w:p>
      <w:pPr>
        <w:spacing w:after="0" w:line="10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Our Board of Directors believes the advantage of retaining flexibility in determining how to fulfill its responsibilities in any such circumstances as they may arise outweighs any perceived advantages of adopting additional specific procedures in advance.</w:t>
      </w:r>
    </w:p>
    <w:p>
      <w:pPr>
        <w:spacing w:after="0" w:line="62"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Our Board of Directors may change the management and allocation policies following their implementation to the detriment of either group without shareholder approval.</w:t>
      </w:r>
    </w:p>
    <w:p>
      <w:pPr>
        <w:spacing w:after="0" w:line="35"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Our Board of Directors intends to adopt certain management and allocation policies as guidelines in making decisions regarding the relationships between the FNF Group and the FNFV Group with respect to matters such as tax liabilities and benefits, inter-group loans, inter-group interests, attribution of assets, financing alternatives, corporate opportunities and similar items. These policies also set forth the initial focuses and strategies of these groups and the initial attribution of our businesses, assets and liabilities between them. Our Board of Directors may at any time change or make exceptions to these policies. Because these policies relate to matters concerning the day-to-day management of FNF as opposed to significant corporate actions, such as a merger involving FNF or a sale of substantially all of our assets, no shareholder approval is required with respect to policy adoption or amendment. A decision to change, or make exceptions to, these policies or adopt additional policies could disadvantage one group while advantaging the other.</w:t>
      </w:r>
    </w:p>
    <w:p>
      <w:pPr>
        <w:spacing w:after="0" w:line="59"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Holders of shares of stock relating to a particular group may not have any remedies if any action by our Directors or Officers has an adverse effect on only that stock.</w:t>
      </w:r>
    </w:p>
    <w:p>
      <w:pPr>
        <w:spacing w:after="0" w:line="35" w:lineRule="exact"/>
        <w:rPr>
          <w:sz w:val="20"/>
          <w:szCs w:val="20"/>
          <w:color w:val="auto"/>
        </w:rPr>
      </w:pPr>
    </w:p>
    <w:p>
      <w:pPr>
        <w:jc w:val="both"/>
        <w:ind w:firstLine="243"/>
        <w:spacing w:after="0" w:line="288" w:lineRule="auto"/>
        <w:rPr>
          <w:sz w:val="20"/>
          <w:szCs w:val="20"/>
          <w:color w:val="auto"/>
        </w:rPr>
      </w:pPr>
      <w:r>
        <w:rPr>
          <w:rFonts w:ascii="Arial" w:cs="Arial" w:eastAsia="Arial" w:hAnsi="Arial"/>
          <w:sz w:val="16"/>
          <w:szCs w:val="16"/>
          <w:color w:val="auto"/>
        </w:rPr>
        <w:t>Principles of Delaware law and the provisions of our Corporate Charter may protect decisions of our Board of Directors that have a disparate impact upon holders of shares of stock relating to a particular group. Under Delaware law, the Board of Directors has a duty to act with due care and in the best interests of all shareholders, regardless of the stock held. Principles of Delaware law established in cases involving differing treatment of multiple classes or series of stock provide that a Board of Directors owes an equal duty to all shareholders and does not have separate or additional duties to any subset of shareholders. Judicial opinions in Delaware involving tracking stocks have established that decisions by directors or officers involving differing treatment of holders of tracking stocks may be judged under the business judgment rule. In some circumstances, our directors or officers may be required to make a decision that is viewed as adverse to the holders of shares relating to a particular group. Under the principles of Delaware law and the business judgment rule referred to above, you may not be able to successfully challenge decisions that you believe have a disparate impact upon the shareholders of one of our groups if a majority of our Board of Directors is disinterested and independent with respect to the action taken, is adequately informed with respect to the action taken and acts in good faith and in the honest belief that the Board of Directors is acting in the best interest of FNF and our shareholders as a whole.</w:t>
      </w:r>
    </w:p>
    <w:p>
      <w:pPr>
        <w:spacing w:after="0" w:line="61"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Shareholders will not vote on how to attribute consideration received in connection with a merger involving FNF among holders of FNF Group common stock and FNFV Group common stock.</w:t>
      </w:r>
    </w:p>
    <w:p>
      <w:pPr>
        <w:spacing w:after="0" w:line="35"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Our Corporate Charter does not contain any provisions governing how consideration received in connection with a merger or consolidation involving FNF is to be attributed to the holders of FNF Group common stock and holders of FNFV Group common stock, and none of the holders of FNF Group common stock or FNFV Group common stock will have a separate class vote in the event of such a merger or consolidation. Consistent with applicable principles of Delaware law, our Board of Directors will seek to divide the type and amount of consideration received in a merger or consolidation involving FNF among holders of FNF Group common stock and FNFV Group common stock in a fair manner. As the different ways our Board of Directors may divide the consideration between holders of stock relating to the different groups might have materially different results, the consideration to be received by holders of FNF Group common stock and FNFV Group common stock in any such merger or consolidation may be materially less valuable than the consideration they would have received if they had a separate class vote on such merger or consolidation.</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We may dispose of assets of the FNF Group or the FNFV Group without your approval.</w:t>
      </w:r>
    </w:p>
    <w:p>
      <w:pPr>
        <w:spacing w:after="0" w:line="9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Delaware law requires shareholder approval only for a sale or other disposition of all or substantially all of the assets of FNF taken as a whole, and our Corporate Charter does not require a separate class vote in the case of a sale of a significant amount of assets of any of our groups. As long as the assets attributed to the FNF Group or the FNFV Group proposed to be disposed of represent less than substantially all of our assets, we may approve sales and other dispositions of any amount of the assets of such group without any shareholder approval. If we dispose of all or substantially all of the assets attributed to any group (which means, for this purpose, assets representing 80% of the fair market value of the total assets of the disposing group, as determined by our Board of Directors), we would be required, if the disposition is not an exempt disposition under the terms of our Corporate Charter, to choose one or more of the following three alternatives:</w:t>
      </w:r>
    </w:p>
    <w:p>
      <w:pPr>
        <w:spacing w:after="0" w:line="81"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declare and pay a dividend on the disposing group’s common stock;</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redeem shares of the disposing group’s common stock in exchange for cash, securities or other property; and/or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convert all or a portion of the disposing group’s outstanding common stock into common stock of the other group.</w:t>
      </w:r>
    </w:p>
    <w:p>
      <w:pPr>
        <w:spacing w:after="0" w:line="10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In this type of a transaction, holders of the disposing group’s common stock may receive less value than the value that a third-party buyer might pay for all or substantially all of the assets of the disposing group. Our Board of Directors will decide, in its sole discretion, how to proceed and is not required to select the option that would result in the highest value to holders of any group of our common stock.</w:t>
      </w:r>
    </w:p>
    <w:p>
      <w:pPr>
        <w:spacing w:after="0" w:line="73"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Holders of FNF Group common stock or FNFV Group common stock may receive less consideration upon a sale of the assets attributed to that group than if that group were a separate company.</w:t>
      </w:r>
    </w:p>
    <w:p>
      <w:pPr>
        <w:spacing w:after="0" w:line="35"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If the FNF Group or the FNFV Group were a separate, independent company and its shares were acquired by another person, certain costs of that sale, including corporate level taxes, might not be payable in connection with that acquisition. As a result, shareholders of a separate, independent company with the same assets might receive a greater amount of proceeds than the holders of FNF Group common stock or FNFV Group common stock would receive upon a sale of all or substantially all of the assets of the group to which their shares relate. In addition, we cannot assure you that in the event of such a sale the per share consideration to be paid to holders of FNF Group common stock or FNFV Group common stock, as the case may be, will be equal to or more than the per share value of that share of stock prior to or after the announcement of a sale of all or substantially all of the assets of the applicable group. Further, there is no requirement that the consideration paid be tax-free to the holders of the shares of common stock of that group. Accordingly, if we sell all or substantially all of the assets attributed to the FNF Group or the FNFV Group, our shareholders could suffer a loss in the value of their investment in FNF.</w:t>
      </w:r>
    </w:p>
    <w:p>
      <w:pPr>
        <w:spacing w:after="0" w:line="58"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b w:val="1"/>
          <w:bCs w:val="1"/>
          <w:i w:val="1"/>
          <w:iCs w:val="1"/>
          <w:color w:val="auto"/>
        </w:rPr>
        <w:t>In the event of a liquidation of FNF, holders of FNF Group common stock and FNFV Group common stock will not have a priority with respect to the assets attributed to the related tracking stock group remaining for distribution to shareholders.</w:t>
      </w:r>
    </w:p>
    <w:p>
      <w:pPr>
        <w:spacing w:after="0" w:line="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Under the Corporate Charter, upon FNF’s liquidation, dissolution or winding up, holders of the FNF Group common stock and the FNFV Group common stock will be entitled to receive, in respect of their shares of such stock, their proportionate interest in all of FNF’s assets, if any, remaining for distribution to holders of common stock in proportion to their respective number of “liquidation units” per share. Relative liquidation units will be based on the volume weighted average prices of the FNF Group common stock and the FNFV Group common stock over the 10 trading day period commencing shortly after the initial filing of the Corporate Charter. Hence, the assets to be distributed to a holder of either tracking stock upon a liquidation, dissolution or winding up of FNF will have nothing to do with the value of the assets attributed to the related tracking stock group or to changes in the relative value of the FNF Group common stock and the FNFV Group common stock over time.</w:t>
      </w:r>
    </w:p>
    <w:p>
      <w:pPr>
        <w:spacing w:after="0" w:line="81" w:lineRule="exact"/>
        <w:rPr>
          <w:sz w:val="20"/>
          <w:szCs w:val="20"/>
          <w:color w:val="auto"/>
        </w:rPr>
      </w:pPr>
    </w:p>
    <w:p>
      <w:pPr>
        <w:jc w:val="both"/>
        <w:ind w:left="180"/>
        <w:spacing w:after="0" w:line="264" w:lineRule="auto"/>
        <w:rPr>
          <w:sz w:val="20"/>
          <w:szCs w:val="20"/>
          <w:color w:val="auto"/>
        </w:rPr>
      </w:pPr>
      <w:r>
        <w:rPr>
          <w:rFonts w:ascii="Arial" w:cs="Arial" w:eastAsia="Arial" w:hAnsi="Arial"/>
          <w:sz w:val="18"/>
          <w:szCs w:val="18"/>
          <w:b w:val="1"/>
          <w:bCs w:val="1"/>
          <w:i w:val="1"/>
          <w:iCs w:val="1"/>
          <w:color w:val="auto"/>
        </w:rPr>
        <w:t>Our Board of Directors may in its sole discretion elect to convert the common stock relating to one group into common stock relating to the other group, thereby changing the nature of your investment and possibly diluting your economic interest in FNF, which could result in a loss in value to you.</w:t>
      </w:r>
    </w:p>
    <w:p>
      <w:pPr>
        <w:spacing w:after="0" w:line="4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Corporate Charter permits our Board of Directors, in its sole discretion, to convert all of the outstanding shares of common stock relating to either of our groups into shares of common stock of the other group so long as the shares are converted at a ratio that provides the shareholders of the converted stock with the applicable Conversion Premium (if any) to which they are entitled. A conversion would preclude the holders of stock in each group involved in such conversion from retaining their investment in a security that is intended to reflect separately the performance of the relevant group. We cannot predict the impact on the market value of our stock of (1) our Board of Directors’ ability to effect any such conversion or (2) the exercise of this conversion right by FNF. In addition, our Board of Directors may effect such a conversion at a time when the market value of our stock could cause the shareholders of one group to be disadvantaged.</w:t>
      </w:r>
    </w:p>
    <w:p>
      <w:pPr>
        <w:spacing w:after="0" w:line="8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Holders of FNF Group common stock and FNFV Group common stock vote together and have limited separate voting rights.</w:t>
      </w:r>
    </w:p>
    <w:p>
      <w:pPr>
        <w:spacing w:after="0" w:line="9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Holders of FNF Group common stock and FNFV Group common stock vote together as a single class, except in certain limited circumstances prescribed by our Corporate Charter and under Delaware law. Each share of common stock of each group has one vote per share. When holders of FNF Group common stock and FNFV Group common stock vote together as a single class, holders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having a majority of the votes are in a position to control the outcome of the vote even if the matter involves a conflict of interest among our shareholders or has a greater impact on one group than the other.</w:t>
      </w:r>
    </w:p>
    <w:p>
      <w:pPr>
        <w:spacing w:after="0" w:line="62" w:lineRule="exact"/>
        <w:rPr>
          <w:sz w:val="20"/>
          <w:szCs w:val="20"/>
          <w:color w:val="auto"/>
        </w:rPr>
      </w:pPr>
    </w:p>
    <w:p>
      <w:pPr>
        <w:jc w:val="both"/>
        <w:ind w:left="180"/>
        <w:spacing w:after="0" w:line="264" w:lineRule="auto"/>
        <w:rPr>
          <w:sz w:val="20"/>
          <w:szCs w:val="20"/>
          <w:color w:val="auto"/>
        </w:rPr>
      </w:pPr>
      <w:r>
        <w:rPr>
          <w:rFonts w:ascii="Arial" w:cs="Arial" w:eastAsia="Arial" w:hAnsi="Arial"/>
          <w:sz w:val="18"/>
          <w:szCs w:val="18"/>
          <w:b w:val="1"/>
          <w:bCs w:val="1"/>
          <w:i w:val="1"/>
          <w:iCs w:val="1"/>
          <w:color w:val="auto"/>
        </w:rPr>
        <w:t>Our capital structure, as well as the fact that the FNF Group and the FNFV Group are not independent companies may inhibit or prevent acquisition bids for the FNF Group or the FNFV Group and may make it difficult for a third party to acquire us, even if doing so may be beneficial to our shareholders.</w:t>
      </w:r>
    </w:p>
    <w:p>
      <w:pPr>
        <w:spacing w:after="0" w:line="46"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If the FNF Group and the FNFV Group were separate independent companies, any person interested in acquiring the FNF Group or the FNFV Group without negotiating with management could seek control of that group by obtaining control of its outstanding voting stock, by means of a tender offer, or by means of a proxy contest. Although we intend FNF Group common stock and FNFV Group common stock to reflect the separate economic performance of the FNF Group and the FNFV Group, respectively, those groups are not separate entities and a person interested in acquiring only one group without negotiation with our management could obtain control of that group only by obtaining control of a majority in voting power of all of the outstanding shares of common stock of FNF. The existence of shares of common stock relating to different groups could present complexities and in certain circumstances pose obstacles, financial and otherwise, to an acquiring person that are not present in companies that do not have capital structures similar to ours. Certain provisions of our Corporate Charter and bylaws may discourage, delay or prevent a change in control of FNF that a shareholder may consider favorable. These provisions include:</w:t>
      </w:r>
    </w:p>
    <w:p>
      <w:pPr>
        <w:spacing w:after="0" w:line="89"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classifying our Board of Directors with staggered three-year terms, which may lengthen the time required to gain control of our Board of Directors;</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limiting who may call special meetings of shareholders;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of candidates for election to our board of directors; and</w:t>
      </w:r>
    </w:p>
    <w:p>
      <w:pPr>
        <w:spacing w:after="0" w:line="9"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existence of authorized and unissued stock, including “blank check” preferred stock, which could be issued by our Board of Directors to persons friendly to our then current management, thereby protecting the continuity of our management, or which could be used to dilute the stock ownership of persons seeking to obtain control of FNF.</w:t>
      </w:r>
    </w:p>
    <w:p>
      <w:pPr>
        <w:spacing w:after="0" w:line="7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8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corporate headquarters are on our campus in Jacksonville, Florida in owned facilities.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Title</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majority of our branch offices are leased from third parties (see Note M to Notes to Consolidated Financial Statements). Our subsidiaries conduct their business operations primarily in leased office space in 41 states, Washington, DC, Puerto Rico, Canada and India.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BKFS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BFKS owns one facility in Sharon, Pennsylvania, and leases office space throughout the United States.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Restaurant Group</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Restaurant Group's headquarters are located in Nashville, Tennessee with other office locations in Woburn, Massachusetts and Denver, Colorado.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majority of the restaurants are leased from third parties, and are located in 43 states.</w:t>
      </w:r>
    </w:p>
    <w:p>
      <w:pPr>
        <w:spacing w:after="0" w:line="20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9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For a description of our legal proceedings see discussion of </w:t>
      </w:r>
      <w:r>
        <w:rPr>
          <w:rFonts w:ascii="Arial" w:cs="Arial" w:eastAsia="Arial" w:hAnsi="Arial"/>
          <w:sz w:val="18"/>
          <w:szCs w:val="18"/>
          <w:i w:val="1"/>
          <w:iCs w:val="1"/>
          <w:color w:val="auto"/>
        </w:rPr>
        <w:t>Legal and Regulatory Contingencies</w:t>
      </w:r>
      <w:r>
        <w:rPr>
          <w:rFonts w:ascii="Arial" w:cs="Arial" w:eastAsia="Arial" w:hAnsi="Arial"/>
          <w:sz w:val="18"/>
          <w:szCs w:val="18"/>
          <w:color w:val="auto"/>
        </w:rPr>
        <w:t xml:space="preserve"> in Note N to the Consolidated Financial Statements included in Item 8 of Part II of this Report, which is incorporated by reference into this Part I, Item 3.</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9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June 30, 2014, we completed the approved recapitalization of FNF common stock into two tracking stocks, FNF Group common stock and FNFV Group common stock. Each share of the previously outstanding FNF Class A common stock ("Old FNF common stock") was converted into one share of FNF Group common stock, which continues to trade under the trading symbol "FNF," and 0.3333 of a share of FNFV Group common stock, which trades under the trading symbol "FNFV." Both FNF and FNFV began regular trading on July 1, 2014. Both classes of our common stock trade on the New York Stock Exchange. The tables below provide the high and low closing sales prices of each class of our common stock and cash dividends declared per share of common stock for each quarter during 2014 and 2013.</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left="720"/>
        <w:spacing w:after="0"/>
        <w:rPr>
          <w:sz w:val="20"/>
          <w:szCs w:val="20"/>
          <w:color w:val="auto"/>
        </w:rPr>
      </w:pPr>
      <w:r>
        <w:rPr>
          <w:rFonts w:ascii="Arial" w:cs="Arial" w:eastAsia="Arial" w:hAnsi="Arial"/>
          <w:sz w:val="22"/>
          <w:szCs w:val="22"/>
          <w:b w:val="1"/>
          <w:bCs w:val="1"/>
          <w:color w:val="auto"/>
        </w:rPr>
        <w:t>Old FNF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1"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Year ended December 31, 2014 (1)</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Second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Year ended December 31, 2013 (1)</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First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Second quarter</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Third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Fourth quarter</w:t>
      </w:r>
    </w:p>
    <w:p>
      <w:pPr>
        <w:spacing w:after="0" w:line="347" w:lineRule="exact"/>
        <w:rPr>
          <w:sz w:val="20"/>
          <w:szCs w:val="20"/>
          <w:color w:val="auto"/>
        </w:rPr>
      </w:pPr>
    </w:p>
    <w:p>
      <w:pPr>
        <w:jc w:val="center"/>
        <w:ind w:left="760"/>
        <w:spacing w:after="0"/>
        <w:rPr>
          <w:sz w:val="20"/>
          <w:szCs w:val="20"/>
          <w:color w:val="auto"/>
        </w:rPr>
      </w:pPr>
      <w:r>
        <w:rPr>
          <w:rFonts w:ascii="Arial" w:cs="Arial" w:eastAsia="Arial" w:hAnsi="Arial"/>
          <w:sz w:val="22"/>
          <w:szCs w:val="22"/>
          <w:b w:val="1"/>
          <w:bCs w:val="1"/>
          <w:color w:val="auto"/>
        </w:rPr>
        <w:t>FNF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51"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Year ended December 31, 2014</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Third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Fourth quarter</w:t>
      </w:r>
    </w:p>
    <w:p>
      <w:pPr>
        <w:spacing w:after="0" w:line="347" w:lineRule="exact"/>
        <w:rPr>
          <w:sz w:val="20"/>
          <w:szCs w:val="20"/>
          <w:color w:val="auto"/>
        </w:rPr>
      </w:pPr>
    </w:p>
    <w:p>
      <w:pPr>
        <w:jc w:val="center"/>
        <w:ind w:left="720"/>
        <w:spacing w:after="0"/>
        <w:rPr>
          <w:sz w:val="20"/>
          <w:szCs w:val="20"/>
          <w:color w:val="auto"/>
        </w:rPr>
      </w:pPr>
      <w:r>
        <w:rPr>
          <w:rFonts w:ascii="Arial" w:cs="Arial" w:eastAsia="Arial" w:hAnsi="Arial"/>
          <w:sz w:val="21"/>
          <w:szCs w:val="21"/>
          <w:b w:val="1"/>
          <w:bCs w:val="1"/>
          <w:color w:val="auto"/>
        </w:rPr>
        <w:t>FNFV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Year ended December 31, 2014</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Third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Fourth quarter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4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w w:val="95"/>
              </w:rPr>
              <w:t>Stock Price High</w:t>
            </w: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Stock Price Low</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Cash Dividends</w:t>
            </w:r>
          </w:p>
        </w:tc>
        <w:tc>
          <w:tcPr>
            <w:tcW w:w="0" w:type="dxa"/>
            <w:vAlign w:val="bottom"/>
          </w:tcPr>
          <w:p>
            <w:pPr>
              <w:spacing w:after="0"/>
              <w:rPr>
                <w:sz w:val="1"/>
                <w:szCs w:val="1"/>
                <w:color w:val="auto"/>
              </w:rPr>
            </w:pPr>
          </w:p>
        </w:tc>
      </w:tr>
      <w:tr>
        <w:trPr>
          <w:trHeight w:val="192"/>
        </w:trPr>
        <w:tc>
          <w:tcPr>
            <w:tcW w:w="1240" w:type="dxa"/>
            <w:vAlign w:val="bottom"/>
            <w:gridSpan w:val="2"/>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134"/>
              <w:spacing w:after="0"/>
              <w:rPr>
                <w:sz w:val="20"/>
                <w:szCs w:val="20"/>
                <w:color w:val="auto"/>
              </w:rPr>
            </w:pPr>
            <w:r>
              <w:rPr>
                <w:rFonts w:ascii="Arial" w:cs="Arial" w:eastAsia="Arial" w:hAnsi="Arial"/>
                <w:sz w:val="14"/>
                <w:szCs w:val="14"/>
                <w:b w:val="1"/>
                <w:bCs w:val="1"/>
                <w:color w:val="auto"/>
                <w:w w:val="91"/>
              </w:rPr>
              <w:t>Declared</w:t>
            </w:r>
          </w:p>
        </w:tc>
        <w:tc>
          <w:tcPr>
            <w:tcW w:w="0" w:type="dxa"/>
            <w:vAlign w:val="bottom"/>
          </w:tcPr>
          <w:p>
            <w:pPr>
              <w:spacing w:after="0"/>
              <w:rPr>
                <w:sz w:val="1"/>
                <w:szCs w:val="1"/>
                <w:color w:val="auto"/>
              </w:rPr>
            </w:pPr>
          </w:p>
        </w:tc>
      </w:tr>
      <w:tr>
        <w:trPr>
          <w:trHeight w:val="513"/>
        </w:trPr>
        <w:tc>
          <w:tcPr>
            <w:tcW w:w="360" w:type="dxa"/>
            <w:vAlign w:val="bottom"/>
          </w:tcPr>
          <w:p>
            <w:pPr>
              <w:jc w:val="right"/>
              <w:ind w:right="178"/>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33.22</w:t>
            </w:r>
          </w:p>
        </w:tc>
        <w:tc>
          <w:tcPr>
            <w:tcW w:w="380" w:type="dxa"/>
            <w:vAlign w:val="bottom"/>
            <w:tcBorders>
              <w:top w:val="single" w:sz="8" w:color="auto"/>
            </w:tcBorders>
          </w:tcPr>
          <w:p>
            <w:pPr>
              <w:jc w:val="right"/>
              <w:ind w:right="178"/>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29.78</w:t>
            </w:r>
          </w:p>
        </w:tc>
        <w:tc>
          <w:tcPr>
            <w:tcW w:w="100" w:type="dxa"/>
            <w:vAlign w:val="bottom"/>
          </w:tcPr>
          <w:p>
            <w:pPr>
              <w:spacing w:after="0"/>
              <w:rPr>
                <w:sz w:val="24"/>
                <w:szCs w:val="24"/>
                <w:color w:val="auto"/>
              </w:rPr>
            </w:pPr>
          </w:p>
        </w:tc>
        <w:tc>
          <w:tcPr>
            <w:tcW w:w="2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34.45</w:t>
            </w:r>
          </w:p>
        </w:tc>
        <w:tc>
          <w:tcPr>
            <w:tcW w:w="38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31.11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810"/>
        </w:trPr>
        <w:tc>
          <w:tcPr>
            <w:tcW w:w="360" w:type="dxa"/>
            <w:vAlign w:val="bottom"/>
          </w:tcPr>
          <w:p>
            <w:pPr>
              <w:jc w:val="right"/>
              <w:ind w:right="178"/>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26.41</w:t>
            </w:r>
          </w:p>
        </w:tc>
        <w:tc>
          <w:tcPr>
            <w:tcW w:w="380" w:type="dxa"/>
            <w:vAlign w:val="bottom"/>
          </w:tcPr>
          <w:p>
            <w:pPr>
              <w:jc w:val="right"/>
              <w:ind w:right="178"/>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23.45</w:t>
            </w:r>
          </w:p>
        </w:tc>
        <w:tc>
          <w:tcPr>
            <w:tcW w:w="100" w:type="dxa"/>
            <w:vAlign w:val="bottom"/>
          </w:tcPr>
          <w:p>
            <w:pPr>
              <w:spacing w:after="0"/>
              <w:rPr>
                <w:sz w:val="24"/>
                <w:szCs w:val="24"/>
                <w:color w:val="auto"/>
              </w:rPr>
            </w:pPr>
          </w:p>
        </w:tc>
        <w:tc>
          <w:tcPr>
            <w:tcW w:w="220" w:type="dxa"/>
            <w:vAlign w:val="bottom"/>
          </w:tcPr>
          <w:p>
            <w:pPr>
              <w:jc w:val="right"/>
              <w:ind w:right="18"/>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27.17</w:t>
            </w:r>
          </w:p>
        </w:tc>
        <w:tc>
          <w:tcPr>
            <w:tcW w:w="38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21.99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26.75</w:t>
            </w:r>
          </w:p>
        </w:tc>
        <w:tc>
          <w:tcPr>
            <w:tcW w:w="38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23.23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33.80</w:t>
            </w:r>
          </w:p>
        </w:tc>
        <w:tc>
          <w:tcPr>
            <w:tcW w:w="38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25.50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423"/>
        </w:trPr>
        <w:tc>
          <w:tcPr>
            <w:tcW w:w="124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w w:val="95"/>
              </w:rPr>
              <w:t>Stock Price High</w:t>
            </w: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Stock Price Low</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Cash Dividends</w:t>
            </w:r>
          </w:p>
        </w:tc>
        <w:tc>
          <w:tcPr>
            <w:tcW w:w="0" w:type="dxa"/>
            <w:vAlign w:val="bottom"/>
          </w:tcPr>
          <w:p>
            <w:pPr>
              <w:spacing w:after="0"/>
              <w:rPr>
                <w:sz w:val="1"/>
                <w:szCs w:val="1"/>
                <w:color w:val="auto"/>
              </w:rPr>
            </w:pPr>
          </w:p>
        </w:tc>
      </w:tr>
      <w:tr>
        <w:trPr>
          <w:trHeight w:val="192"/>
        </w:trPr>
        <w:tc>
          <w:tcPr>
            <w:tcW w:w="1240" w:type="dxa"/>
            <w:vAlign w:val="bottom"/>
            <w:gridSpan w:val="2"/>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134"/>
              <w:spacing w:after="0"/>
              <w:rPr>
                <w:sz w:val="20"/>
                <w:szCs w:val="20"/>
                <w:color w:val="auto"/>
              </w:rPr>
            </w:pPr>
            <w:r>
              <w:rPr>
                <w:rFonts w:ascii="Arial" w:cs="Arial" w:eastAsia="Arial" w:hAnsi="Arial"/>
                <w:sz w:val="14"/>
                <w:szCs w:val="14"/>
                <w:b w:val="1"/>
                <w:bCs w:val="1"/>
                <w:color w:val="auto"/>
                <w:w w:val="91"/>
              </w:rPr>
              <w:t>Declared</w:t>
            </w:r>
          </w:p>
        </w:tc>
        <w:tc>
          <w:tcPr>
            <w:tcW w:w="0" w:type="dxa"/>
            <w:vAlign w:val="bottom"/>
          </w:tcPr>
          <w:p>
            <w:pPr>
              <w:spacing w:after="0"/>
              <w:rPr>
                <w:sz w:val="1"/>
                <w:szCs w:val="1"/>
                <w:color w:val="auto"/>
              </w:rPr>
            </w:pPr>
          </w:p>
        </w:tc>
      </w:tr>
      <w:tr>
        <w:trPr>
          <w:trHeight w:val="513"/>
        </w:trPr>
        <w:tc>
          <w:tcPr>
            <w:tcW w:w="360" w:type="dxa"/>
            <w:vAlign w:val="bottom"/>
          </w:tcPr>
          <w:p>
            <w:pPr>
              <w:jc w:val="right"/>
              <w:ind w:right="178"/>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28.24</w:t>
            </w:r>
          </w:p>
        </w:tc>
        <w:tc>
          <w:tcPr>
            <w:tcW w:w="380" w:type="dxa"/>
            <w:vAlign w:val="bottom"/>
            <w:tcBorders>
              <w:top w:val="single" w:sz="8" w:color="auto"/>
            </w:tcBorders>
          </w:tcPr>
          <w:p>
            <w:pPr>
              <w:jc w:val="right"/>
              <w:ind w:right="178"/>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26.27</w:t>
            </w:r>
          </w:p>
        </w:tc>
        <w:tc>
          <w:tcPr>
            <w:tcW w:w="100" w:type="dxa"/>
            <w:vAlign w:val="bottom"/>
          </w:tcPr>
          <w:p>
            <w:pPr>
              <w:spacing w:after="0"/>
              <w:rPr>
                <w:sz w:val="24"/>
                <w:szCs w:val="24"/>
                <w:color w:val="auto"/>
              </w:rPr>
            </w:pPr>
          </w:p>
        </w:tc>
        <w:tc>
          <w:tcPr>
            <w:tcW w:w="2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36.02</w:t>
            </w:r>
          </w:p>
        </w:tc>
        <w:tc>
          <w:tcPr>
            <w:tcW w:w="38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26.06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423"/>
        </w:trPr>
        <w:tc>
          <w:tcPr>
            <w:tcW w:w="124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w w:val="95"/>
              </w:rPr>
              <w:t>Stock Price High</w:t>
            </w:r>
          </w:p>
        </w:tc>
        <w:tc>
          <w:tcPr>
            <w:tcW w:w="12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Stock Price Low</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Cash Dividends</w:t>
            </w:r>
          </w:p>
        </w:tc>
        <w:tc>
          <w:tcPr>
            <w:tcW w:w="0" w:type="dxa"/>
            <w:vAlign w:val="bottom"/>
          </w:tcPr>
          <w:p>
            <w:pPr>
              <w:spacing w:after="0"/>
              <w:rPr>
                <w:sz w:val="1"/>
                <w:szCs w:val="1"/>
                <w:color w:val="auto"/>
              </w:rPr>
            </w:pPr>
          </w:p>
        </w:tc>
      </w:tr>
      <w:tr>
        <w:trPr>
          <w:trHeight w:val="192"/>
        </w:trPr>
        <w:tc>
          <w:tcPr>
            <w:tcW w:w="1240" w:type="dxa"/>
            <w:vAlign w:val="bottom"/>
            <w:gridSpan w:val="2"/>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center"/>
              <w:ind w:right="134"/>
              <w:spacing w:after="0"/>
              <w:rPr>
                <w:sz w:val="20"/>
                <w:szCs w:val="20"/>
                <w:color w:val="auto"/>
              </w:rPr>
            </w:pPr>
            <w:r>
              <w:rPr>
                <w:rFonts w:ascii="Arial" w:cs="Arial" w:eastAsia="Arial" w:hAnsi="Arial"/>
                <w:sz w:val="14"/>
                <w:szCs w:val="14"/>
                <w:b w:val="1"/>
                <w:bCs w:val="1"/>
                <w:color w:val="auto"/>
                <w:w w:val="91"/>
              </w:rPr>
              <w:t>Declared</w:t>
            </w:r>
          </w:p>
        </w:tc>
        <w:tc>
          <w:tcPr>
            <w:tcW w:w="0" w:type="dxa"/>
            <w:vAlign w:val="bottom"/>
          </w:tcPr>
          <w:p>
            <w:pPr>
              <w:spacing w:after="0"/>
              <w:rPr>
                <w:sz w:val="1"/>
                <w:szCs w:val="1"/>
                <w:color w:val="auto"/>
              </w:rPr>
            </w:pPr>
          </w:p>
        </w:tc>
      </w:tr>
      <w:tr>
        <w:trPr>
          <w:trHeight w:val="513"/>
        </w:trPr>
        <w:tc>
          <w:tcPr>
            <w:tcW w:w="360" w:type="dxa"/>
            <w:vAlign w:val="bottom"/>
          </w:tcPr>
          <w:p>
            <w:pPr>
              <w:jc w:val="right"/>
              <w:ind w:right="178"/>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12.91</w:t>
            </w:r>
          </w:p>
        </w:tc>
        <w:tc>
          <w:tcPr>
            <w:tcW w:w="380" w:type="dxa"/>
            <w:vAlign w:val="bottom"/>
            <w:tcBorders>
              <w:top w:val="single" w:sz="8" w:color="auto"/>
            </w:tcBorders>
          </w:tcPr>
          <w:p>
            <w:pPr>
              <w:jc w:val="right"/>
              <w:ind w:right="178"/>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24"/>
                <w:szCs w:val="24"/>
                <w:color w:val="auto"/>
              </w:rPr>
            </w:pPr>
          </w:p>
        </w:tc>
        <w:tc>
          <w:tcPr>
            <w:tcW w:w="2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0" w:type="dxa"/>
            <w:vAlign w:val="bottom"/>
          </w:tcPr>
          <w:p>
            <w:pPr>
              <w:spacing w:after="0"/>
              <w:rPr>
                <w:sz w:val="23"/>
                <w:szCs w:val="23"/>
                <w:color w:val="auto"/>
              </w:rPr>
            </w:pPr>
          </w:p>
        </w:tc>
        <w:tc>
          <w:tcPr>
            <w:tcW w:w="880" w:type="dxa"/>
            <w:vAlign w:val="bottom"/>
          </w:tcPr>
          <w:p>
            <w:pPr>
              <w:jc w:val="right"/>
              <w:ind w:right="130"/>
              <w:spacing w:after="0"/>
              <w:rPr>
                <w:sz w:val="20"/>
                <w:szCs w:val="20"/>
                <w:color w:val="auto"/>
              </w:rPr>
            </w:pPr>
            <w:r>
              <w:rPr>
                <w:rFonts w:ascii="Arial" w:cs="Arial" w:eastAsia="Arial" w:hAnsi="Arial"/>
                <w:sz w:val="18"/>
                <w:szCs w:val="18"/>
                <w:color w:val="auto"/>
              </w:rPr>
              <w:t>12.00</w:t>
            </w:r>
          </w:p>
        </w:tc>
        <w:tc>
          <w:tcPr>
            <w:tcW w:w="38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21" w:lineRule="exact"/>
        <w:rPr>
          <w:sz w:val="20"/>
          <w:szCs w:val="20"/>
          <w:color w:val="auto"/>
        </w:rPr>
      </w:pPr>
    </w:p>
    <w:p>
      <w:pPr>
        <w:sectPr>
          <w:pgSz w:w="11900" w:h="16838" w:orient="portrait"/>
          <w:cols w:equalWidth="0" w:num="2">
            <w:col w:w="7080" w:space="720"/>
            <w:col w:w="3620"/>
          </w:cols>
          <w:pgMar w:left="240" w:top="125" w:right="239" w:bottom="1440" w:gutter="0" w:footer="0" w:header="0"/>
        </w:sectPr>
      </w:pPr>
    </w:p>
    <w:p>
      <w:pPr>
        <w:ind w:left="340" w:right="480" w:hanging="8"/>
        <w:spacing w:after="0" w:line="483" w:lineRule="auto"/>
        <w:tabs>
          <w:tab w:leader="none" w:pos="595" w:val="left"/>
        </w:tabs>
        <w:numPr>
          <w:ilvl w:val="0"/>
          <w:numId w:val="25"/>
        </w:numPr>
        <w:rPr>
          <w:rFonts w:ascii="Arial" w:cs="Arial" w:eastAsia="Arial" w:hAnsi="Arial"/>
          <w:sz w:val="16"/>
          <w:szCs w:val="16"/>
          <w:color w:val="auto"/>
        </w:rPr>
      </w:pPr>
      <w:r>
        <w:rPr>
          <w:rFonts w:ascii="Arial" w:cs="Arial" w:eastAsia="Arial" w:hAnsi="Arial"/>
          <w:sz w:val="16"/>
          <w:szCs w:val="16"/>
          <w:color w:val="auto"/>
        </w:rPr>
        <w:t>Prices listed for Old FNF are unadjusted prices which do not give effect to the recapitalization and tracking stock formation on June 30, 2014. Information concerning securities authorized for issuance under our equity compensation plans will be included in Item 12 of Part III of this report.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GRAPH</w:t>
      </w:r>
    </w:p>
    <w:p>
      <w:pPr>
        <w:spacing w:after="0" w:line="9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Set forth below is a graph comparing cumulative total shareholder return on our FNF Group common stock against the cumulative total return on the S &amp; P 500 Index and against the cumulative total return of a peer group index consisting of certain companies in the primary industry in which we compete (SIC code 6361 — Title Insurance) for the period ending December 31, 2014. This peer group consists of the following companies: First American Financial Corporation and Stewart Information Services Corp. The peer group comparison has been weighted based on their stock market capitalization. The graph assumes an initial investment of $100.00 on December 31, 2009, with dividends reinvested over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50253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5025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4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12/31/2009</w:t>
            </w:r>
          </w:p>
        </w:tc>
        <w:tc>
          <w:tcPr>
            <w:tcW w:w="12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12/31/2010</w:t>
            </w:r>
          </w:p>
        </w:tc>
        <w:tc>
          <w:tcPr>
            <w:tcW w:w="12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12/31/2011</w:t>
            </w:r>
          </w:p>
        </w:tc>
        <w:tc>
          <w:tcPr>
            <w:tcW w:w="12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12/31/2012</w:t>
            </w:r>
          </w:p>
        </w:tc>
        <w:tc>
          <w:tcPr>
            <w:tcW w:w="12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12/31/2013</w:t>
            </w:r>
          </w:p>
        </w:tc>
        <w:tc>
          <w:tcPr>
            <w:tcW w:w="11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12/31/2014</w:t>
            </w:r>
          </w:p>
        </w:tc>
      </w:tr>
      <w:tr>
        <w:trPr>
          <w:trHeight w:val="393"/>
        </w:trPr>
        <w:tc>
          <w:tcPr>
            <w:tcW w:w="3040" w:type="dxa"/>
            <w:vAlign w:val="bottom"/>
          </w:tcPr>
          <w:p>
            <w:pPr>
              <w:ind w:left="40"/>
              <w:spacing w:after="0"/>
              <w:rPr>
                <w:sz w:val="20"/>
                <w:szCs w:val="20"/>
                <w:color w:val="auto"/>
              </w:rPr>
            </w:pPr>
            <w:r>
              <w:rPr>
                <w:rFonts w:ascii="Arial" w:cs="Arial" w:eastAsia="Arial" w:hAnsi="Arial"/>
                <w:sz w:val="14"/>
                <w:szCs w:val="14"/>
                <w:color w:val="auto"/>
              </w:rPr>
              <w:t>Fidelity National Financial, Inc.</w:t>
            </w:r>
          </w:p>
        </w:tc>
        <w:tc>
          <w:tcPr>
            <w:tcW w:w="2220" w:type="dxa"/>
            <w:vAlign w:val="bottom"/>
          </w:tcPr>
          <w:p>
            <w:pPr>
              <w:jc w:val="right"/>
              <w:ind w:right="148"/>
              <w:spacing w:after="0"/>
              <w:rPr>
                <w:sz w:val="20"/>
                <w:szCs w:val="20"/>
                <w:color w:val="auto"/>
              </w:rPr>
            </w:pPr>
            <w:r>
              <w:rPr>
                <w:rFonts w:ascii="Arial" w:cs="Arial" w:eastAsia="Arial" w:hAnsi="Arial"/>
                <w:sz w:val="14"/>
                <w:szCs w:val="14"/>
                <w:color w:val="auto"/>
              </w:rPr>
              <w:t>100.00</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112.82</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140.44</w:t>
            </w: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220.37</w:t>
            </w: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319.97</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432.96</w:t>
            </w:r>
          </w:p>
        </w:tc>
      </w:tr>
      <w:tr>
        <w:trPr>
          <w:trHeight w:val="270"/>
        </w:trPr>
        <w:tc>
          <w:tcPr>
            <w:tcW w:w="3040" w:type="dxa"/>
            <w:vAlign w:val="bottom"/>
          </w:tcPr>
          <w:p>
            <w:pPr>
              <w:ind w:left="40"/>
              <w:spacing w:after="0"/>
              <w:rPr>
                <w:sz w:val="20"/>
                <w:szCs w:val="20"/>
                <w:color w:val="auto"/>
              </w:rPr>
            </w:pPr>
            <w:r>
              <w:rPr>
                <w:rFonts w:ascii="Arial" w:cs="Arial" w:eastAsia="Arial" w:hAnsi="Arial"/>
                <w:sz w:val="14"/>
                <w:szCs w:val="14"/>
                <w:color w:val="auto"/>
              </w:rPr>
              <w:t>S&amp;P 500</w:t>
            </w:r>
          </w:p>
        </w:tc>
        <w:tc>
          <w:tcPr>
            <w:tcW w:w="2220" w:type="dxa"/>
            <w:vAlign w:val="bottom"/>
          </w:tcPr>
          <w:p>
            <w:pPr>
              <w:jc w:val="right"/>
              <w:ind w:right="148"/>
              <w:spacing w:after="0"/>
              <w:rPr>
                <w:sz w:val="20"/>
                <w:szCs w:val="20"/>
                <w:color w:val="auto"/>
              </w:rPr>
            </w:pPr>
            <w:r>
              <w:rPr>
                <w:rFonts w:ascii="Arial" w:cs="Arial" w:eastAsia="Arial" w:hAnsi="Arial"/>
                <w:sz w:val="14"/>
                <w:szCs w:val="14"/>
                <w:color w:val="auto"/>
              </w:rPr>
              <w:t>100.00</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115.06</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117.49</w:t>
            </w: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136.3</w:t>
            </w: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180.44</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205.14</w:t>
            </w:r>
          </w:p>
        </w:tc>
      </w:tr>
      <w:tr>
        <w:trPr>
          <w:trHeight w:val="270"/>
        </w:trPr>
        <w:tc>
          <w:tcPr>
            <w:tcW w:w="3040" w:type="dxa"/>
            <w:vAlign w:val="bottom"/>
          </w:tcPr>
          <w:p>
            <w:pPr>
              <w:ind w:left="40"/>
              <w:spacing w:after="0"/>
              <w:rPr>
                <w:sz w:val="20"/>
                <w:szCs w:val="20"/>
                <w:color w:val="auto"/>
              </w:rPr>
            </w:pPr>
            <w:r>
              <w:rPr>
                <w:rFonts w:ascii="Arial" w:cs="Arial" w:eastAsia="Arial" w:hAnsi="Arial"/>
                <w:sz w:val="14"/>
                <w:szCs w:val="14"/>
                <w:color w:val="auto"/>
              </w:rPr>
              <w:t>Peer Group</w:t>
            </w:r>
          </w:p>
        </w:tc>
        <w:tc>
          <w:tcPr>
            <w:tcW w:w="2220" w:type="dxa"/>
            <w:vAlign w:val="bottom"/>
          </w:tcPr>
          <w:p>
            <w:pPr>
              <w:jc w:val="right"/>
              <w:ind w:right="148"/>
              <w:spacing w:after="0"/>
              <w:rPr>
                <w:sz w:val="20"/>
                <w:szCs w:val="20"/>
                <w:color w:val="auto"/>
              </w:rPr>
            </w:pPr>
            <w:r>
              <w:rPr>
                <w:rFonts w:ascii="Arial" w:cs="Arial" w:eastAsia="Arial" w:hAnsi="Arial"/>
                <w:sz w:val="14"/>
                <w:szCs w:val="14"/>
                <w:color w:val="auto"/>
              </w:rPr>
              <w:t>100.00</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81.89</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71.96</w:t>
            </w:r>
          </w:p>
        </w:tc>
        <w:tc>
          <w:tcPr>
            <w:tcW w:w="1240" w:type="dxa"/>
            <w:vAlign w:val="bottom"/>
          </w:tcPr>
          <w:p>
            <w:pPr>
              <w:jc w:val="right"/>
              <w:ind w:right="128"/>
              <w:spacing w:after="0"/>
              <w:rPr>
                <w:sz w:val="20"/>
                <w:szCs w:val="20"/>
                <w:color w:val="auto"/>
              </w:rPr>
            </w:pPr>
            <w:r>
              <w:rPr>
                <w:rFonts w:ascii="Arial" w:cs="Arial" w:eastAsia="Arial" w:hAnsi="Arial"/>
                <w:sz w:val="14"/>
                <w:szCs w:val="14"/>
                <w:color w:val="auto"/>
              </w:rPr>
              <w:t>142.68</w:t>
            </w:r>
          </w:p>
        </w:tc>
        <w:tc>
          <w:tcPr>
            <w:tcW w:w="1260" w:type="dxa"/>
            <w:vAlign w:val="bottom"/>
          </w:tcPr>
          <w:p>
            <w:pPr>
              <w:jc w:val="right"/>
              <w:ind w:right="148"/>
              <w:spacing w:after="0"/>
              <w:rPr>
                <w:sz w:val="20"/>
                <w:szCs w:val="20"/>
                <w:color w:val="auto"/>
              </w:rPr>
            </w:pPr>
            <w:r>
              <w:rPr>
                <w:rFonts w:ascii="Arial" w:cs="Arial" w:eastAsia="Arial" w:hAnsi="Arial"/>
                <w:sz w:val="14"/>
                <w:szCs w:val="14"/>
                <w:color w:val="auto"/>
              </w:rPr>
              <w:t>171.61</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209.45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Set forth below is a graph comparing cumulative total shareholder return on our FNFV Group common stock against the cumulative total return on the S &amp; P 500 Index and against the cumulative total return of a peer group index consisting of certain companies against which we compete for the period ending December 31, 2014. The peer group comparison has been weighted based on their stock market capitalization. The graph assumes an initial investment of $100.00 on July 1, 2014, with dividends reinvested over the periods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50253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5025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Borders>
              <w:bottom w:val="single" w:sz="8" w:color="auto"/>
            </w:tcBorders>
          </w:tcPr>
          <w:p>
            <w:pPr>
              <w:spacing w:after="0"/>
              <w:rPr>
                <w:sz w:val="16"/>
                <w:szCs w:val="16"/>
                <w:color w:val="auto"/>
              </w:rPr>
            </w:pPr>
          </w:p>
        </w:tc>
        <w:tc>
          <w:tcPr>
            <w:tcW w:w="38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7/1/2014</w:t>
            </w:r>
          </w:p>
        </w:tc>
        <w:tc>
          <w:tcPr>
            <w:tcW w:w="12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9/30/2014</w:t>
            </w:r>
          </w:p>
        </w:tc>
        <w:tc>
          <w:tcPr>
            <w:tcW w:w="11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12/31/2014</w:t>
            </w:r>
          </w:p>
        </w:tc>
      </w:tr>
      <w:tr>
        <w:trPr>
          <w:trHeight w:val="393"/>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Fidelity National Financial Ventures</w:t>
            </w:r>
          </w:p>
        </w:tc>
        <w:tc>
          <w:tcPr>
            <w:tcW w:w="3880" w:type="dxa"/>
            <w:vAlign w:val="bottom"/>
          </w:tcPr>
          <w:p>
            <w:pPr>
              <w:jc w:val="right"/>
              <w:ind w:right="148"/>
              <w:spacing w:after="0"/>
              <w:rPr>
                <w:sz w:val="20"/>
                <w:szCs w:val="20"/>
                <w:color w:val="auto"/>
              </w:rPr>
            </w:pPr>
            <w:r>
              <w:rPr>
                <w:rFonts w:ascii="Arial" w:cs="Arial" w:eastAsia="Arial" w:hAnsi="Arial"/>
                <w:sz w:val="14"/>
                <w:szCs w:val="14"/>
                <w:b w:val="1"/>
                <w:bCs w:val="1"/>
                <w:color w:val="auto"/>
              </w:rPr>
              <w:t>100.00</w:t>
            </w:r>
          </w:p>
        </w:tc>
        <w:tc>
          <w:tcPr>
            <w:tcW w:w="1240" w:type="dxa"/>
            <w:vAlign w:val="bottom"/>
          </w:tcPr>
          <w:p>
            <w:pPr>
              <w:jc w:val="right"/>
              <w:ind w:right="148"/>
              <w:spacing w:after="0"/>
              <w:rPr>
                <w:sz w:val="20"/>
                <w:szCs w:val="20"/>
                <w:color w:val="auto"/>
              </w:rPr>
            </w:pPr>
            <w:r>
              <w:rPr>
                <w:rFonts w:ascii="Arial" w:cs="Arial" w:eastAsia="Arial" w:hAnsi="Arial"/>
                <w:sz w:val="14"/>
                <w:szCs w:val="14"/>
                <w:b w:val="1"/>
                <w:bCs w:val="1"/>
                <w:color w:val="auto"/>
              </w:rPr>
              <w:t>83.19</w:t>
            </w: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95.16</w:t>
            </w:r>
          </w:p>
        </w:tc>
      </w:tr>
      <w:tr>
        <w:trPr>
          <w:trHeight w:val="270"/>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S&amp;P 500</w:t>
            </w:r>
          </w:p>
        </w:tc>
        <w:tc>
          <w:tcPr>
            <w:tcW w:w="3880" w:type="dxa"/>
            <w:vAlign w:val="bottom"/>
          </w:tcPr>
          <w:p>
            <w:pPr>
              <w:jc w:val="right"/>
              <w:ind w:right="148"/>
              <w:spacing w:after="0"/>
              <w:rPr>
                <w:sz w:val="20"/>
                <w:szCs w:val="20"/>
                <w:color w:val="auto"/>
              </w:rPr>
            </w:pPr>
            <w:r>
              <w:rPr>
                <w:rFonts w:ascii="Arial" w:cs="Arial" w:eastAsia="Arial" w:hAnsi="Arial"/>
                <w:sz w:val="14"/>
                <w:szCs w:val="14"/>
                <w:b w:val="1"/>
                <w:bCs w:val="1"/>
                <w:color w:val="auto"/>
              </w:rPr>
              <w:t>100.00</w:t>
            </w:r>
          </w:p>
        </w:tc>
        <w:tc>
          <w:tcPr>
            <w:tcW w:w="1240" w:type="dxa"/>
            <w:vAlign w:val="bottom"/>
          </w:tcPr>
          <w:p>
            <w:pPr>
              <w:jc w:val="right"/>
              <w:ind w:right="148"/>
              <w:spacing w:after="0"/>
              <w:rPr>
                <w:sz w:val="20"/>
                <w:szCs w:val="20"/>
                <w:color w:val="auto"/>
              </w:rPr>
            </w:pPr>
            <w:r>
              <w:rPr>
                <w:rFonts w:ascii="Arial" w:cs="Arial" w:eastAsia="Arial" w:hAnsi="Arial"/>
                <w:sz w:val="14"/>
                <w:szCs w:val="14"/>
                <w:b w:val="1"/>
                <w:bCs w:val="1"/>
                <w:color w:val="auto"/>
              </w:rPr>
              <w:t>101.13</w:t>
            </w: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106.12</w:t>
            </w:r>
          </w:p>
        </w:tc>
      </w:tr>
      <w:tr>
        <w:trPr>
          <w:trHeight w:val="270"/>
        </w:trPr>
        <w:tc>
          <w:tcPr>
            <w:tcW w:w="5160" w:type="dxa"/>
            <w:vAlign w:val="bottom"/>
          </w:tcPr>
          <w:p>
            <w:pPr>
              <w:ind w:left="40"/>
              <w:spacing w:after="0"/>
              <w:rPr>
                <w:sz w:val="20"/>
                <w:szCs w:val="20"/>
                <w:color w:val="auto"/>
              </w:rPr>
            </w:pPr>
            <w:r>
              <w:rPr>
                <w:rFonts w:ascii="Arial" w:cs="Arial" w:eastAsia="Arial" w:hAnsi="Arial"/>
                <w:sz w:val="14"/>
                <w:szCs w:val="14"/>
                <w:b w:val="1"/>
                <w:bCs w:val="1"/>
                <w:color w:val="auto"/>
              </w:rPr>
              <w:t>Peer Group (1)</w:t>
            </w:r>
          </w:p>
        </w:tc>
        <w:tc>
          <w:tcPr>
            <w:tcW w:w="3880" w:type="dxa"/>
            <w:vAlign w:val="bottom"/>
          </w:tcPr>
          <w:p>
            <w:pPr>
              <w:jc w:val="right"/>
              <w:ind w:right="148"/>
              <w:spacing w:after="0"/>
              <w:rPr>
                <w:sz w:val="20"/>
                <w:szCs w:val="20"/>
                <w:color w:val="auto"/>
              </w:rPr>
            </w:pPr>
            <w:r>
              <w:rPr>
                <w:rFonts w:ascii="Arial" w:cs="Arial" w:eastAsia="Arial" w:hAnsi="Arial"/>
                <w:sz w:val="14"/>
                <w:szCs w:val="14"/>
                <w:b w:val="1"/>
                <w:bCs w:val="1"/>
                <w:color w:val="auto"/>
              </w:rPr>
              <w:t>100.00</w:t>
            </w:r>
          </w:p>
        </w:tc>
        <w:tc>
          <w:tcPr>
            <w:tcW w:w="1240" w:type="dxa"/>
            <w:vAlign w:val="bottom"/>
          </w:tcPr>
          <w:p>
            <w:pPr>
              <w:jc w:val="right"/>
              <w:ind w:right="148"/>
              <w:spacing w:after="0"/>
              <w:rPr>
                <w:sz w:val="20"/>
                <w:szCs w:val="20"/>
                <w:color w:val="auto"/>
              </w:rPr>
            </w:pPr>
            <w:r>
              <w:rPr>
                <w:rFonts w:ascii="Arial" w:cs="Arial" w:eastAsia="Arial" w:hAnsi="Arial"/>
                <w:sz w:val="14"/>
                <w:szCs w:val="14"/>
                <w:b w:val="1"/>
                <w:bCs w:val="1"/>
                <w:color w:val="auto"/>
              </w:rPr>
              <w:t>98.49</w:t>
            </w: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106.56</w:t>
            </w:r>
          </w:p>
        </w:tc>
      </w:tr>
    </w:tbl>
    <w:p>
      <w:pPr>
        <w:spacing w:after="0" w:line="74" w:lineRule="exact"/>
        <w:rPr>
          <w:sz w:val="20"/>
          <w:szCs w:val="20"/>
          <w:color w:val="auto"/>
        </w:rPr>
      </w:pPr>
    </w:p>
    <w:p>
      <w:pPr>
        <w:ind w:firstLine="332"/>
        <w:spacing w:after="0" w:line="273" w:lineRule="auto"/>
        <w:tabs>
          <w:tab w:leader="none" w:pos="529" w:val="left"/>
        </w:tabs>
        <w:numPr>
          <w:ilvl w:val="0"/>
          <w:numId w:val="26"/>
        </w:numPr>
        <w:rPr>
          <w:rFonts w:ascii="Arial" w:cs="Arial" w:eastAsia="Arial" w:hAnsi="Arial"/>
          <w:sz w:val="14"/>
          <w:szCs w:val="14"/>
          <w:color w:val="auto"/>
        </w:rPr>
      </w:pPr>
      <w:r>
        <w:rPr>
          <w:rFonts w:ascii="Arial" w:cs="Arial" w:eastAsia="Arial" w:hAnsi="Arial"/>
          <w:sz w:val="14"/>
          <w:szCs w:val="14"/>
          <w:color w:val="auto"/>
        </w:rPr>
        <w:t>This peer group consists of the following companies: American Capital, Ltd., Apollo Global Management, LLC, BlackRock, Inc., The Blackstone Group L.P., The Carlyle Group, Compass Diversified Holdings, Fortress Investment Group, LLC, KKR &amp; Co. L.P., Leucadia National Corporation, Liberty Interactive Corporation, and Liberty Media Corporation.</w:t>
      </w:r>
    </w:p>
    <w:p>
      <w:pPr>
        <w:spacing w:after="0" w:line="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January 31, 2015, the last reported sale price of our FNF Group common stock and FNFV Group common stock on the New York Stock Exchange was $35.10 and $12.40 per share, respectively. We had approximately 7,400 shareholders of record of FNF Group common stock and 5,700 shareholders of record of FNFV Group common stock combined.</w:t>
      </w:r>
    </w:p>
    <w:p>
      <w:pPr>
        <w:spacing w:after="0" w:line="4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January 27, 2015, our Board of Directors formally declared an $0.19 per FNF Group share cash dividend that is payable on March 31, 2015 to FNF Group shareholders of record as of March 17, 2015.</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 dividends were declared on our FNFV Group common stock.</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current FNF Group dividend policy anticipates the payment of quarterly dividends in the future. The declaration and payment of dividends will be at the discretion of our Board of Directors and will be dependent upon our future earnings, financial condition and capital requirements. There are no restrictions on our retained earnings regarding our ability to pay dividends to shareholders, although there are limits on the ability of certain subsidiaries to pay dividends to us, as described below. Our ability to declare dividends is subject to restrictions under our existing credit agreement. We do not believe the restrictions contained in our credit agreement will, in the foreseeable future, adversely affect our ability to pay cash dividends at the current dividend rate.</w:t>
      </w:r>
    </w:p>
    <w:p>
      <w:pPr>
        <w:spacing w:after="0" w:line="2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Since we are a holding company, our ability to pay dividends will depend largely on the ability of our subsidiaries to pay dividends to us, and the ability of our title insurance subsidiaries to do so is subject to, among other factors, their compliance with applicable insurance regulations. As of December 31, 2014, $2,108 million of our net assets are restricted from dividend payments without prior approval from the Departments of Insurance in the States where our title insurance subsidiaries are domiciled. During 2015, our directly owned title insurance subsidiaries can pay dividends or make distributions to us of approximately $236 million without prior approval. The limits placed on such subsidiaries’ abilities to pay dividends affect our ability to pay dividends.</w:t>
      </w:r>
    </w:p>
    <w:p>
      <w:pPr>
        <w:spacing w:after="0" w:line="2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not paid any dividends on our FNFV Group common stock, and our current FNFV Group dividend policy does not presently anticipate the payment of dividends. Payment of dividends, if any, in the future will be determined by our Board of Directors in light of our earnings, financial condition and other relevant considerations. On February 23, 2015, we announced a tender offer to purchase up to $185 million of shares of our FNFV Group Common stock at a purchase price of no greater than $15.40 per share, nor less than $14.30 per share in cash. We are conducting this Offer through a procedure commonly called a “modified Dutch auction.” This procedure allows shareholders to select the price within a price range specified by us at which the shareholders are willing to sell their shares. The offer is set to expire at 12:00 Midnight, New York City time, at the end of Friday, March 20, 2015, unless we extend the offer.</w:t>
      </w:r>
    </w:p>
    <w:p>
      <w:pPr>
        <w:spacing w:after="0" w:line="5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October 28, 2014, our Board of Directors approved a three-year stock purchase program, effective November 6, 2014, under which we can repurchase up to 10 million shares of our FNFV Group common stock through November 30, 2017. We may make repurchases from time to time in the open market, in block purchases or in privately negotiated transactions, depending on market conditions and other factors. In the year ended December 31, 2014, we repurchased a total of 116,100 shares for $2 million, or an average of $14.00 per share under this program. Subsequent to year-end we repurchased a total of 423,350 shares for $5 million, or an average of $12.34 per share under this program through market close on February 27, 2015. Since the original commencement of the plan adopted November 6, 2014, we have repurchased a total of 539,450 shares for $7 million, or an average of $12.70 per share, and there are 9,460,550 shares available to be repurchased under this program. For more information, see “Liquidity and Capital Resources” in Item 7 of this Form 10-K.</w:t>
      </w:r>
    </w:p>
    <w:p>
      <w:pPr>
        <w:spacing w:after="0" w:line="5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June 30, 2014, we completed the recapitalization of Old FNF common stock into two tracking stocks, FNF Group common stock and FNFV Group common stock. We issued 277,462,875 shares of FNF Group common stock and 91,711,237 shares of FNFV Group common stock. See Note A for further discussion on the recapitalization of FNF common stock.</w:t>
      </w:r>
    </w:p>
    <w:p>
      <w:pPr>
        <w:spacing w:after="0" w:line="4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January 2, 2014 as part of the LPS Acquisition, we issued $839 million or 25,920,078 shares of Old FNF common stock as consideration for the LPS Acquisition to the former shareholders of LPS.</w:t>
      </w:r>
    </w:p>
    <w:p>
      <w:pPr>
        <w:spacing w:after="0" w:line="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October 24, 2013, we offered 17,250,000 shares of our Old FNF common stock at an offering price of $26.75 per share, pursuant to an effective registration statement previously filed with the Securities and Exchange Commission. We granted the underwriters a 30-day option to purchase 2,587,500 additional shares at the offering price, which was subsequently exercised in full. A total of 19,837,500 shares were issued on October 30, 2013, for net proceeds of approximately $511 million. The net proceeds from this offering were used to pay a portion of the cash consideration for the LPS Acquisition on January 2, 2014.</w:t>
      </w:r>
    </w:p>
    <w:p>
      <w:pPr>
        <w:spacing w:after="0" w:line="16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July 21, 2012, our Board of Directors approved a three-year stock repurchase program, effective August 1, 2012, under which we can repurchase up to 15 million shares of our common stock through July 31, 2015. We may make repurchases from time to time in the open market, in block purchases or in privately negotiated transactions, depending on market conditions and other factors. In the year ended December 31, 2014, we did not repurchase any FNF Group shares under this program. Subsequent to year-end we did not repurchase any shares through market close on February 27, 2015. Since the original commencement of the plan adopted July 21, 2012, we have repurchased a total of 2,080,000 Old FNF common shares for $50 million, or an average of $23.90 per share, and there are 12,920,000 shares available to be repurchased under this program. During the year ending December 31, 2014, we did not repurchase any Old FNF Shares. For more information, see “Liquidity and Capital Resources” in Item 7 of this Form 10-K.</w:t>
      </w:r>
    </w:p>
    <w:p>
      <w:pPr>
        <w:spacing w:after="0" w:line="3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21, 2009, the Board of Directors approved a three-year stock repurchase program under which we can repurchase up to 15 million shares of our common stock through July 31, 2012. On January 27, 2011, our Board of Directors approved an additional 5 million shares that may be repurchased under the program. This program expired July 31, 2012, and we repurchased a total of 16,528,512 shares for $243 million, or an average of $14.73 per share under this program.</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repurchases of equity securities by FNFV during the year ending December 31, 2014:</w:t>
      </w:r>
    </w:p>
    <w:p>
      <w:pPr>
        <w:spacing w:after="0" w:line="243"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0" w:type="dxa"/>
            <w:vAlign w:val="bottom"/>
          </w:tcPr>
          <w:p>
            <w:pPr>
              <w:jc w:val="center"/>
              <w:ind w:left="68"/>
              <w:spacing w:after="0"/>
              <w:rPr>
                <w:sz w:val="20"/>
                <w:szCs w:val="20"/>
                <w:color w:val="auto"/>
              </w:rPr>
            </w:pPr>
            <w:r>
              <w:rPr>
                <w:rFonts w:ascii="Arial" w:cs="Arial" w:eastAsia="Arial" w:hAnsi="Arial"/>
                <w:sz w:val="14"/>
                <w:szCs w:val="14"/>
                <w:b w:val="1"/>
                <w:bCs w:val="1"/>
                <w:color w:val="auto"/>
                <w:w w:val="92"/>
              </w:rPr>
              <w:t>Total Number of Shares</w:t>
            </w:r>
          </w:p>
        </w:tc>
        <w:tc>
          <w:tcPr>
            <w:tcW w:w="0" w:type="dxa"/>
            <w:vAlign w:val="bottom"/>
          </w:tcPr>
          <w:p>
            <w:pPr>
              <w:spacing w:after="0"/>
              <w:rPr>
                <w:sz w:val="1"/>
                <w:szCs w:val="1"/>
                <w:color w:val="auto"/>
              </w:rPr>
            </w:pPr>
          </w:p>
        </w:tc>
      </w:tr>
      <w:tr>
        <w:trPr>
          <w:trHeight w:val="149"/>
        </w:trPr>
        <w:tc>
          <w:tcPr>
            <w:tcW w:w="2220" w:type="dxa"/>
            <w:vAlign w:val="bottom"/>
          </w:tcPr>
          <w:p>
            <w:pPr>
              <w:spacing w:after="0"/>
              <w:rPr>
                <w:sz w:val="12"/>
                <w:szCs w:val="12"/>
                <w:color w:val="auto"/>
              </w:rPr>
            </w:pPr>
          </w:p>
        </w:tc>
        <w:tc>
          <w:tcPr>
            <w:tcW w:w="3420" w:type="dxa"/>
            <w:vAlign w:val="bottom"/>
            <w:vMerge w:val="restart"/>
          </w:tcPr>
          <w:p>
            <w:pPr>
              <w:jc w:val="center"/>
              <w:ind w:left="1588"/>
              <w:spacing w:after="0"/>
              <w:rPr>
                <w:sz w:val="20"/>
                <w:szCs w:val="20"/>
                <w:color w:val="auto"/>
              </w:rPr>
            </w:pPr>
            <w:r>
              <w:rPr>
                <w:rFonts w:ascii="Arial" w:cs="Arial" w:eastAsia="Arial" w:hAnsi="Arial"/>
                <w:sz w:val="14"/>
                <w:szCs w:val="14"/>
                <w:b w:val="1"/>
                <w:bCs w:val="1"/>
                <w:color w:val="auto"/>
                <w:w w:val="93"/>
              </w:rPr>
              <w:t>Total Number of Shares</w:t>
            </w: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Average Price Paid per</w:t>
            </w:r>
          </w:p>
        </w:tc>
        <w:tc>
          <w:tcPr>
            <w:tcW w:w="160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0" w:type="dxa"/>
            <w:vAlign w:val="bottom"/>
          </w:tcPr>
          <w:p>
            <w:pPr>
              <w:spacing w:after="0"/>
              <w:rPr>
                <w:sz w:val="1"/>
                <w:szCs w:val="1"/>
                <w:color w:val="auto"/>
              </w:rPr>
            </w:pPr>
          </w:p>
        </w:tc>
      </w:tr>
      <w:tr>
        <w:trPr>
          <w:trHeight w:val="149"/>
        </w:trPr>
        <w:tc>
          <w:tcPr>
            <w:tcW w:w="222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3420" w:type="dxa"/>
            <w:vAlign w:val="bottom"/>
            <w:vMerge w:val="continue"/>
          </w:tcPr>
          <w:p>
            <w:pPr>
              <w:spacing w:after="0"/>
              <w:rPr>
                <w:sz w:val="12"/>
                <w:szCs w:val="12"/>
                <w:color w:val="auto"/>
              </w:rPr>
            </w:pPr>
          </w:p>
        </w:tc>
        <w:tc>
          <w:tcPr>
            <w:tcW w:w="1680" w:type="dxa"/>
            <w:vAlign w:val="bottom"/>
            <w:vMerge w:val="continue"/>
          </w:tcPr>
          <w:p>
            <w:pPr>
              <w:spacing w:after="0"/>
              <w:rPr>
                <w:sz w:val="12"/>
                <w:szCs w:val="12"/>
                <w:color w:val="auto"/>
              </w:rPr>
            </w:pPr>
          </w:p>
        </w:tc>
        <w:tc>
          <w:tcPr>
            <w:tcW w:w="160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3"/>
              </w:rPr>
              <w:t>Publicly Announced</w:t>
            </w:r>
          </w:p>
        </w:tc>
        <w:tc>
          <w:tcPr>
            <w:tcW w:w="0" w:type="dxa"/>
            <w:vAlign w:val="bottom"/>
          </w:tcPr>
          <w:p>
            <w:pPr>
              <w:spacing w:after="0"/>
              <w:rPr>
                <w:sz w:val="1"/>
                <w:szCs w:val="1"/>
                <w:color w:val="auto"/>
              </w:rPr>
            </w:pPr>
          </w:p>
        </w:tc>
      </w:tr>
      <w:tr>
        <w:trPr>
          <w:trHeight w:val="186"/>
        </w:trPr>
        <w:tc>
          <w:tcPr>
            <w:tcW w:w="2220" w:type="dxa"/>
            <w:vAlign w:val="bottom"/>
            <w:vMerge w:val="continue"/>
          </w:tcPr>
          <w:p>
            <w:pPr>
              <w:spacing w:after="0"/>
              <w:rPr>
                <w:sz w:val="16"/>
                <w:szCs w:val="16"/>
                <w:color w:val="auto"/>
              </w:rPr>
            </w:pPr>
          </w:p>
        </w:tc>
        <w:tc>
          <w:tcPr>
            <w:tcW w:w="3420" w:type="dxa"/>
            <w:vAlign w:val="bottom"/>
          </w:tcPr>
          <w:p>
            <w:pPr>
              <w:jc w:val="center"/>
              <w:ind w:left="1588"/>
              <w:spacing w:after="0"/>
              <w:rPr>
                <w:sz w:val="20"/>
                <w:szCs w:val="20"/>
                <w:color w:val="auto"/>
              </w:rPr>
            </w:pPr>
            <w:r>
              <w:rPr>
                <w:rFonts w:ascii="Arial" w:cs="Arial" w:eastAsia="Arial" w:hAnsi="Arial"/>
                <w:sz w:val="14"/>
                <w:szCs w:val="14"/>
                <w:b w:val="1"/>
                <w:bCs w:val="1"/>
                <w:color w:val="auto"/>
                <w:w w:val="89"/>
              </w:rPr>
              <w:t>Purchased</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7"/>
              </w:rPr>
              <w:t>Share</w:t>
            </w:r>
          </w:p>
        </w:tc>
        <w:tc>
          <w:tcPr>
            <w:tcW w:w="1600" w:type="dxa"/>
            <w:vAlign w:val="bottom"/>
          </w:tcPr>
          <w:p>
            <w:pPr>
              <w:jc w:val="center"/>
              <w:ind w:left="68"/>
              <w:spacing w:after="0"/>
              <w:rPr>
                <w:sz w:val="20"/>
                <w:szCs w:val="20"/>
                <w:color w:val="auto"/>
              </w:rPr>
            </w:pPr>
            <w:r>
              <w:rPr>
                <w:rFonts w:ascii="Arial" w:cs="Arial" w:eastAsia="Arial" w:hAnsi="Arial"/>
                <w:sz w:val="14"/>
                <w:szCs w:val="14"/>
                <w:b w:val="1"/>
                <w:bCs w:val="1"/>
                <w:color w:val="auto"/>
                <w:w w:val="92"/>
              </w:rPr>
              <w:t>Plans or Programs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460"/>
        <w:spacing w:after="0" w:line="258" w:lineRule="auto"/>
        <w:rPr>
          <w:sz w:val="20"/>
          <w:szCs w:val="20"/>
          <w:color w:val="auto"/>
        </w:rPr>
      </w:pPr>
      <w:r>
        <w:rPr>
          <w:rFonts w:ascii="Arial" w:cs="Arial" w:eastAsia="Arial" w:hAnsi="Arial"/>
          <w:sz w:val="13"/>
          <w:szCs w:val="13"/>
          <w:b w:val="1"/>
          <w:bCs w:val="1"/>
          <w:color w:val="auto"/>
        </w:rPr>
        <w:t>Maximum Number of Shares that May Yet Be Purchased Under the Plans or Programs (2)</w:t>
      </w:r>
    </w:p>
    <w:p>
      <w:pPr>
        <w:spacing w:after="0" w:line="1" w:lineRule="exact"/>
        <w:rPr>
          <w:sz w:val="20"/>
          <w:szCs w:val="20"/>
          <w:color w:val="auto"/>
        </w:rPr>
      </w:pPr>
    </w:p>
    <w:p>
      <w:pPr>
        <w:sectPr>
          <w:pgSz w:w="11900" w:h="16838" w:orient="portrait"/>
          <w:cols w:equalWidth="0" w:num="2">
            <w:col w:w="9280" w:space="240"/>
            <w:col w:w="1900"/>
          </w:cols>
          <w:pgMar w:left="240" w:top="125" w:right="239" w:bottom="1440" w:gutter="0" w:footer="0" w:header="0"/>
        </w:sectPr>
      </w:pPr>
    </w:p>
    <w:tbl>
      <w:tblPr>
        <w:tblLayout w:type="fixed"/>
        <w:tblInd w:w="340" w:type="dxa"/>
        <w:tblCellMar>
          <w:top w:w="0" w:type="dxa"/>
          <w:left w:w="0" w:type="dxa"/>
          <w:bottom w:w="0" w:type="dxa"/>
          <w:right w:w="0" w:type="dxa"/>
        </w:tblCellMar>
      </w:tblPr>
      <w:tr>
        <w:trPr>
          <w:trHeight w:val="245"/>
        </w:trPr>
        <w:tc>
          <w:tcPr>
            <w:tcW w:w="38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11/6/2014 - 11/30/2014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9,990,900</w:t>
            </w:r>
          </w:p>
        </w:tc>
      </w:tr>
      <w:tr>
        <w:trPr>
          <w:trHeight w:val="243"/>
        </w:trPr>
        <w:tc>
          <w:tcPr>
            <w:tcW w:w="3860" w:type="dxa"/>
            <w:vAlign w:val="bottom"/>
          </w:tcPr>
          <w:p>
            <w:pPr>
              <w:ind w:left="20"/>
              <w:spacing w:after="0"/>
              <w:rPr>
                <w:sz w:val="20"/>
                <w:szCs w:val="20"/>
                <w:color w:val="auto"/>
              </w:rPr>
            </w:pPr>
            <w:r>
              <w:rPr>
                <w:rFonts w:ascii="Arial" w:cs="Arial" w:eastAsia="Arial" w:hAnsi="Arial"/>
                <w:sz w:val="18"/>
                <w:szCs w:val="18"/>
                <w:color w:val="auto"/>
              </w:rPr>
              <w:t>12/1/2014 - 12/31/2014</w:t>
            </w:r>
          </w:p>
        </w:tc>
        <w:tc>
          <w:tcPr>
            <w:tcW w:w="1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107,000</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13.97</w:t>
            </w:r>
          </w:p>
        </w:tc>
        <w:tc>
          <w:tcPr>
            <w:tcW w:w="10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107,000</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9,883,900</w:t>
            </w:r>
          </w:p>
        </w:tc>
      </w:tr>
      <w:tr>
        <w:trPr>
          <w:trHeight w:val="27"/>
        </w:trPr>
        <w:tc>
          <w:tcPr>
            <w:tcW w:w="38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44"/>
        </w:trPr>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116,100</w:t>
            </w:r>
          </w:p>
        </w:tc>
        <w:tc>
          <w:tcPr>
            <w:tcW w:w="740" w:type="dxa"/>
            <w:vAlign w:val="bottom"/>
            <w:tcBorders>
              <w:bottom w:val="single" w:sz="8" w:color="CCEEFF"/>
            </w:tcBorders>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13.97</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116,100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________________________</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bl>
    <w:p>
      <w:pPr>
        <w:spacing w:after="0" w:line="52" w:lineRule="exact"/>
        <w:rPr>
          <w:sz w:val="20"/>
          <w:szCs w:val="20"/>
          <w:color w:val="auto"/>
        </w:rPr>
      </w:pPr>
    </w:p>
    <w:p>
      <w:pPr>
        <w:ind w:left="980" w:hanging="648"/>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October 28, 2014, our Board of Directors approved a three-year stock purchase program, effective November 6, 2014, under which we can repurchase up to 10 million shares of our FNFV Group common stock through November 30, 2017.</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(2)As of the last day of the applicable month.</w:t>
      </w:r>
    </w:p>
    <w:p>
      <w:pPr>
        <w:spacing w:after="0" w:line="383"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Selected Financial Data</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information set forth below should be read in conjunction with the consolidated financial statements and related notes and “Management’s Discussion and Analysis of Financial Condition and Results of Operations” included elsewhere in this Form 10-K. Certain reclassifications have been made to the prior year amounts to conform with the 2014 presentation.</w:t>
      </w:r>
    </w:p>
    <w:p>
      <w:pPr>
        <w:spacing w:after="0" w:line="4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December 31, 2014, we completed the distribution of Remy to our FNFV shareholders. The operations of Remy are included in discontinued operations for all periods presented.</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January 2, 2014, we completed the purchase of LPS and consolidated the operations of LPS beginning on January 3, 2014.</w:t>
      </w:r>
    </w:p>
    <w:p>
      <w:pPr>
        <w:spacing w:after="0" w:line="11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On April 9, 2012, we successfully closed a tender offer for the outstanding common stock of O'Charley's Inc. We have consolidated the results of O'Charley's as of April 9, 2012. On May 11, 2012, we merged O'Charley's with our investment in ABRH in exchange for an increase in our ownership position in ABRH from 45% to 55%. We have consolidated the operations of ABRH with the O'Charley's group of companies, beginning on May 11, 2012.</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ind w:left="7840"/>
        <w:spacing w:after="0"/>
        <w:rPr>
          <w:sz w:val="20"/>
          <w:szCs w:val="20"/>
          <w:color w:val="auto"/>
        </w:rPr>
      </w:pPr>
      <w:r>
        <w:rPr>
          <w:rFonts w:ascii="Arial" w:cs="Arial" w:eastAsia="Arial" w:hAnsi="Arial"/>
          <w:sz w:val="14"/>
          <w:szCs w:val="14"/>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48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spacing w:after="0"/>
              <w:rPr>
                <w:sz w:val="23"/>
                <w:szCs w:val="23"/>
                <w:color w:val="auto"/>
              </w:rPr>
            </w:pPr>
          </w:p>
        </w:tc>
        <w:tc>
          <w:tcPr>
            <w:tcW w:w="800" w:type="dxa"/>
            <w:vAlign w:val="bottom"/>
            <w:tcBorders>
              <w:top w:val="single" w:sz="8" w:color="auto"/>
              <w:bottom w:val="single" w:sz="8" w:color="auto"/>
            </w:tcBorders>
            <w:shd w:val="clear" w:color="auto" w:fill="CCEEFF"/>
          </w:tcPr>
          <w:p>
            <w:pPr>
              <w:jc w:val="right"/>
              <w:ind w:right="29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top w:val="single" w:sz="8" w:color="auto"/>
              <w:bottom w:val="single" w:sz="8" w:color="auto"/>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780" w:type="dxa"/>
            <w:vAlign w:val="bottom"/>
            <w:tcBorders>
              <w:top w:val="single" w:sz="8" w:color="auto"/>
              <w:bottom w:val="single" w:sz="8" w:color="auto"/>
            </w:tcBorders>
            <w:shd w:val="clear" w:color="auto" w:fill="CCEEFF"/>
          </w:tcPr>
          <w:p>
            <w:pPr>
              <w:jc w:val="right"/>
              <w:ind w:right="29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auto"/>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800" w:type="dxa"/>
            <w:vAlign w:val="bottom"/>
            <w:tcBorders>
              <w:top w:val="single" w:sz="8" w:color="auto"/>
              <w:bottom w:val="single" w:sz="8" w:color="auto"/>
            </w:tcBorders>
            <w:shd w:val="clear" w:color="auto" w:fill="CCEEFF"/>
          </w:tcPr>
          <w:p>
            <w:pPr>
              <w:jc w:val="right"/>
              <w:ind w:right="29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bottom w:val="single" w:sz="8" w:color="auto"/>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780" w:type="dxa"/>
            <w:vAlign w:val="bottom"/>
            <w:tcBorders>
              <w:top w:val="single" w:sz="8" w:color="auto"/>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top w:val="single" w:sz="8" w:color="auto"/>
              <w:bottom w:val="single" w:sz="8" w:color="auto"/>
            </w:tcBorders>
            <w:shd w:val="clear" w:color="auto" w:fill="CCEEFF"/>
          </w:tcPr>
          <w:p>
            <w:pPr>
              <w:spacing w:after="0"/>
              <w:rPr>
                <w:sz w:val="23"/>
                <w:szCs w:val="23"/>
                <w:color w:val="auto"/>
              </w:rPr>
            </w:pPr>
          </w:p>
        </w:tc>
        <w:tc>
          <w:tcPr>
            <w:tcW w:w="240" w:type="dxa"/>
            <w:vAlign w:val="bottom"/>
            <w:tcBorders>
              <w:top w:val="single" w:sz="8" w:color="auto"/>
              <w:bottom w:val="single" w:sz="8" w:color="auto"/>
            </w:tcBorders>
            <w:shd w:val="clear" w:color="auto" w:fill="CCEEFF"/>
          </w:tcPr>
          <w:p>
            <w:pPr>
              <w:spacing w:after="0"/>
              <w:rPr>
                <w:sz w:val="23"/>
                <w:szCs w:val="23"/>
                <w:color w:val="auto"/>
              </w:rPr>
            </w:pPr>
          </w:p>
        </w:tc>
        <w:tc>
          <w:tcPr>
            <w:tcW w:w="780" w:type="dxa"/>
            <w:vAlign w:val="bottom"/>
            <w:tcBorders>
              <w:top w:val="single" w:sz="8" w:color="auto"/>
              <w:bottom w:val="single" w:sz="8" w:color="auto"/>
            </w:tcBorders>
            <w:shd w:val="clear" w:color="auto" w:fill="CCEEFF"/>
          </w:tcPr>
          <w:p>
            <w:pPr>
              <w:jc w:val="right"/>
              <w:ind w:right="271"/>
              <w:spacing w:after="0"/>
              <w:rPr>
                <w:sz w:val="20"/>
                <w:szCs w:val="20"/>
                <w:color w:val="auto"/>
              </w:rPr>
            </w:pPr>
            <w:r>
              <w:rPr>
                <w:rFonts w:ascii="Arial" w:cs="Arial" w:eastAsia="Arial" w:hAnsi="Arial"/>
                <w:sz w:val="14"/>
                <w:szCs w:val="14"/>
                <w:b w:val="1"/>
                <w:bCs w:val="1"/>
                <w:color w:val="auto"/>
              </w:rPr>
              <w:t>2010</w:t>
            </w:r>
          </w:p>
        </w:tc>
        <w:tc>
          <w:tcPr>
            <w:tcW w:w="0" w:type="dxa"/>
            <w:vAlign w:val="bottom"/>
          </w:tcPr>
          <w:p>
            <w:pPr>
              <w:spacing w:after="0"/>
              <w:rPr>
                <w:sz w:val="1"/>
                <w:szCs w:val="1"/>
                <w:color w:val="auto"/>
              </w:rPr>
            </w:pPr>
          </w:p>
        </w:tc>
      </w:tr>
      <w:tr>
        <w:trPr>
          <w:trHeight w:val="196"/>
        </w:trPr>
        <w:tc>
          <w:tcPr>
            <w:tcW w:w="5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60" w:type="dxa"/>
            <w:vAlign w:val="bottom"/>
            <w:gridSpan w:val="8"/>
          </w:tcPr>
          <w:p>
            <w:pPr>
              <w:ind w:left="220"/>
              <w:spacing w:after="0"/>
              <w:rPr>
                <w:sz w:val="20"/>
                <w:szCs w:val="20"/>
                <w:color w:val="auto"/>
              </w:rPr>
            </w:pPr>
            <w:r>
              <w:rPr>
                <w:rFonts w:ascii="Arial" w:cs="Arial" w:eastAsia="Arial" w:hAnsi="Arial"/>
                <w:sz w:val="14"/>
                <w:szCs w:val="14"/>
                <w:b w:val="1"/>
                <w:bCs w:val="1"/>
                <w:color w:val="auto"/>
              </w:rPr>
              <w:t>(Dollars in millions, except share data)</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Data:</w:t>
            </w:r>
          </w:p>
        </w:tc>
        <w:tc>
          <w:tcPr>
            <w:tcW w:w="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40"/>
              <w:spacing w:after="0"/>
              <w:rPr>
                <w:sz w:val="20"/>
                <w:szCs w:val="20"/>
                <w:color w:val="auto"/>
              </w:rPr>
            </w:pPr>
            <w:r>
              <w:rPr>
                <w:rFonts w:ascii="Arial" w:cs="Arial" w:eastAsia="Arial" w:hAnsi="Arial"/>
                <w:sz w:val="18"/>
                <w:szCs w:val="18"/>
                <w:color w:val="auto"/>
              </w:rPr>
              <w:t>Revenue</w:t>
            </w:r>
          </w:p>
        </w:tc>
        <w:tc>
          <w:tcPr>
            <w:tcW w:w="6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8,024</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7,440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6,668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4,800</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5,413</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tcPr>
          <w:p>
            <w:pPr>
              <w:ind w:left="280"/>
              <w:spacing w:after="0"/>
              <w:rPr>
                <w:sz w:val="20"/>
                <w:szCs w:val="20"/>
                <w:color w:val="auto"/>
              </w:rPr>
            </w:pPr>
            <w:r>
              <w:rPr>
                <w:rFonts w:ascii="Arial" w:cs="Arial" w:eastAsia="Arial" w:hAnsi="Arial"/>
                <w:sz w:val="18"/>
                <w:szCs w:val="18"/>
                <w:color w:val="auto"/>
              </w:rPr>
              <w:t>Personnel costs</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2,540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2,061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1,834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1,568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Agent commissions</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1,758</w:t>
            </w:r>
          </w:p>
        </w:tc>
        <w:tc>
          <w:tcPr>
            <w:tcW w:w="0" w:type="dxa"/>
            <w:vAlign w:val="bottom"/>
          </w:tcPr>
          <w:p>
            <w:pPr>
              <w:spacing w:after="0"/>
              <w:rPr>
                <w:sz w:val="1"/>
                <w:szCs w:val="1"/>
                <w:color w:val="auto"/>
              </w:rPr>
            </w:pPr>
          </w:p>
        </w:tc>
      </w:tr>
      <w:tr>
        <w:trPr>
          <w:trHeight w:val="243"/>
        </w:trPr>
        <w:tc>
          <w:tcPr>
            <w:tcW w:w="548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1,643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1,269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1,064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restaurant revenues</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4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title claim losses</w:t>
            </w:r>
          </w:p>
        </w:tc>
        <w:tc>
          <w:tcPr>
            <w:tcW w:w="3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43"/>
        </w:trPr>
        <w:tc>
          <w:tcPr>
            <w:tcW w:w="54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54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7,632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5,922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4,864</w:t>
            </w:r>
          </w:p>
        </w:tc>
        <w:tc>
          <w:tcPr>
            <w:tcW w:w="0" w:type="dxa"/>
            <w:vAlign w:val="bottom"/>
          </w:tcPr>
          <w:p>
            <w:pPr>
              <w:spacing w:after="0"/>
              <w:rPr>
                <w:sz w:val="1"/>
                <w:szCs w:val="1"/>
                <w:color w:val="auto"/>
              </w:rPr>
            </w:pPr>
          </w:p>
        </w:tc>
      </w:tr>
      <w:tr>
        <w:trPr>
          <w:trHeight w:val="209"/>
        </w:trPr>
        <w:tc>
          <w:tcPr>
            <w:tcW w:w="5480" w:type="dxa"/>
            <w:vAlign w:val="bottom"/>
          </w:tcPr>
          <w:p>
            <w:pPr>
              <w:ind w:left="40"/>
              <w:spacing w:after="0"/>
              <w:rPr>
                <w:sz w:val="20"/>
                <w:szCs w:val="20"/>
                <w:color w:val="auto"/>
              </w:rPr>
            </w:pPr>
            <w:r>
              <w:rPr>
                <w:rFonts w:ascii="Arial" w:cs="Arial" w:eastAsia="Arial" w:hAnsi="Arial"/>
                <w:sz w:val="18"/>
                <w:szCs w:val="18"/>
                <w:color w:val="auto"/>
                <w:w w:val="92"/>
              </w:rPr>
              <w:t>Earnings before income taxes, equity in earnings (loss) of unconsolidated</w:t>
            </w: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40"/>
              <w:spacing w:after="0"/>
              <w:rPr>
                <w:sz w:val="20"/>
                <w:szCs w:val="20"/>
                <w:color w:val="auto"/>
              </w:rPr>
            </w:pPr>
            <w:r>
              <w:rPr>
                <w:rFonts w:ascii="Arial" w:cs="Arial" w:eastAsia="Arial" w:hAnsi="Arial"/>
                <w:sz w:val="18"/>
                <w:szCs w:val="18"/>
                <w:color w:val="auto"/>
              </w:rPr>
              <w:t>affiliates, and noncontrolling interest</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2"/>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3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7"/>
        </w:trPr>
        <w:tc>
          <w:tcPr>
            <w:tcW w:w="5480" w:type="dxa"/>
            <w:vAlign w:val="bottom"/>
          </w:tcPr>
          <w:p>
            <w:pPr>
              <w:ind w:left="40"/>
              <w:spacing w:after="0"/>
              <w:rPr>
                <w:sz w:val="20"/>
                <w:szCs w:val="20"/>
                <w:color w:val="auto"/>
              </w:rPr>
            </w:pPr>
            <w:r>
              <w:rPr>
                <w:rFonts w:ascii="Arial" w:cs="Arial" w:eastAsia="Arial" w:hAnsi="Arial"/>
                <w:sz w:val="18"/>
                <w:szCs w:val="18"/>
                <w:color w:val="auto"/>
              </w:rPr>
              <w:t>Earnings before equity in earnings (loss) of unconsolidated affiliates</w:t>
            </w:r>
          </w:p>
        </w:tc>
        <w:tc>
          <w:tcPr>
            <w:tcW w:w="3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 earnings (loss) of unconsolidated affiliates</w:t>
            </w:r>
          </w:p>
        </w:tc>
        <w:tc>
          <w:tcPr>
            <w:tcW w:w="3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480" w:type="dxa"/>
            <w:vAlign w:val="bottom"/>
          </w:tcPr>
          <w:p>
            <w:pPr>
              <w:ind w:left="40"/>
              <w:spacing w:after="0"/>
              <w:rPr>
                <w:sz w:val="20"/>
                <w:szCs w:val="20"/>
                <w:color w:val="auto"/>
              </w:rPr>
            </w:pPr>
            <w:r>
              <w:rPr>
                <w:rFonts w:ascii="Arial" w:cs="Arial" w:eastAsia="Arial" w:hAnsi="Arial"/>
                <w:sz w:val="18"/>
                <w:szCs w:val="18"/>
                <w:color w:val="auto"/>
              </w:rPr>
              <w:t>Earnings from continuing operations, net of tax</w:t>
            </w:r>
          </w:p>
        </w:tc>
        <w:tc>
          <w:tcPr>
            <w:tcW w:w="3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discontinued operations, net of tax</w:t>
            </w:r>
          </w:p>
        </w:tc>
        <w:tc>
          <w:tcPr>
            <w:tcW w:w="3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548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34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612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7"/>
        </w:trPr>
        <w:tc>
          <w:tcPr>
            <w:tcW w:w="5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(loss) earnings attributable to noncontrolling interests</w:t>
            </w:r>
          </w:p>
        </w:tc>
        <w:tc>
          <w:tcPr>
            <w:tcW w:w="34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57"/>
        </w:trPr>
        <w:tc>
          <w:tcPr>
            <w:tcW w:w="5480" w:type="dxa"/>
            <w:vAlign w:val="bottom"/>
          </w:tcPr>
          <w:p>
            <w:pPr>
              <w:ind w:left="40"/>
              <w:spacing w:after="0"/>
              <w:rPr>
                <w:sz w:val="20"/>
                <w:szCs w:val="20"/>
                <w:color w:val="auto"/>
              </w:rPr>
            </w:pPr>
            <w:r>
              <w:rPr>
                <w:rFonts w:ascii="Arial" w:cs="Arial" w:eastAsia="Arial" w:hAnsi="Arial"/>
                <w:sz w:val="18"/>
                <w:szCs w:val="18"/>
                <w:color w:val="auto"/>
              </w:rPr>
              <w:t>Net earnings attributable to FNF common shareholders</w:t>
            </w:r>
          </w:p>
        </w:tc>
        <w:tc>
          <w:tcPr>
            <w:tcW w:w="34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32</w:t>
            </w: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480" w:type="dxa"/>
            <w:vAlign w:val="bottom"/>
          </w:tcPr>
          <w:p>
            <w:pPr>
              <w:spacing w:after="0"/>
              <w:rPr>
                <w:sz w:val="24"/>
                <w:szCs w:val="24"/>
                <w:color w:val="auto"/>
              </w:rPr>
            </w:pPr>
          </w:p>
        </w:tc>
        <w:tc>
          <w:tcPr>
            <w:tcW w:w="3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center"/>
              <w:ind w:left="493"/>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55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b w:val="1"/>
                <w:bCs w:val="1"/>
                <w:color w:val="auto"/>
                <w:w w:val="96"/>
              </w:rPr>
              <w:t>2012</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2011</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2010</w:t>
            </w:r>
          </w:p>
        </w:tc>
      </w:tr>
      <w:tr>
        <w:trPr>
          <w:trHeight w:val="196"/>
        </w:trPr>
        <w:tc>
          <w:tcPr>
            <w:tcW w:w="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80" w:type="dxa"/>
            <w:vAlign w:val="bottom"/>
            <w:gridSpan w:val="5"/>
          </w:tcPr>
          <w:p>
            <w:pPr>
              <w:jc w:val="center"/>
              <w:ind w:right="191"/>
              <w:spacing w:after="0"/>
              <w:rPr>
                <w:sz w:val="20"/>
                <w:szCs w:val="20"/>
                <w:color w:val="auto"/>
              </w:rPr>
            </w:pPr>
            <w:r>
              <w:rPr>
                <w:rFonts w:ascii="Arial" w:cs="Arial" w:eastAsia="Arial" w:hAnsi="Arial"/>
                <w:sz w:val="14"/>
                <w:szCs w:val="14"/>
                <w:b w:val="1"/>
                <w:bCs w:val="1"/>
                <w:color w:val="auto"/>
                <w:w w:val="92"/>
              </w:rPr>
              <w:t>(Dollars in millions, except share data)</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56"/>
        </w:trPr>
        <w:tc>
          <w:tcPr>
            <w:tcW w:w="20" w:type="dxa"/>
            <w:vAlign w:val="bottom"/>
          </w:tcPr>
          <w:p>
            <w:pPr>
              <w:spacing w:after="0"/>
              <w:rPr>
                <w:sz w:val="22"/>
                <w:szCs w:val="22"/>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Per Share Data:</w:t>
            </w: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w w:val="91"/>
              </w:rPr>
              <w:t>Basic net earnings per share attributable to Old FNF common shareholders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0.33</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1.71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2.75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1.68</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1.64</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earnings per share attributable to FNF Group common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shareholders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0.77</w:t>
            </w: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Basic net earnings per share attributable to FNFV Group common</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shareholders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3.04</w:t>
            </w: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Old FNF, basic basis (1)</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138</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230</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221</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219</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226</w:t>
            </w: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Weighted average shares outstanding FNF Group, basic basis (1)</w:t>
            </w:r>
          </w:p>
        </w:tc>
        <w:tc>
          <w:tcPr>
            <w:tcW w:w="2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138</w:t>
            </w: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FNFV Group, basic basis (1)</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46</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Diluted net earnings per share attributable to Old FNF common</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shareholders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0.32</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1.68</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2.69</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1.65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1.62</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net earnings per share attributable to FNF Group common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7"/>
        </w:trPr>
        <w:tc>
          <w:tcPr>
            <w:tcW w:w="20" w:type="dxa"/>
            <w:vAlign w:val="bottom"/>
          </w:tcPr>
          <w:p>
            <w:pPr>
              <w:spacing w:after="0"/>
              <w:rPr>
                <w:sz w:val="20"/>
                <w:szCs w:val="20"/>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shareholders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0.75</w:t>
            </w: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Diluted net earnings per share attributable to FNFV Group common</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shareholders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3.01</w:t>
            </w: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Old FNF, diluted basis (1)</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142</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235</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226</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223</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229</w:t>
            </w: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Weighted average shares outstanding FNF Group, diluted basis (1)</w:t>
            </w:r>
          </w:p>
        </w:tc>
        <w:tc>
          <w:tcPr>
            <w:tcW w:w="2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142</w:t>
            </w: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Weighted average shares outstanding FNFV Group, diluted basis (1)</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47</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Dividends declared per share of Old FNF common stock</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0.36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0.66</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0.58</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0.48</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0.69</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Dividends declared per share of FNF Group common stock</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0.37</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Balance Sheet Data:</w:t>
            </w: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 (2)</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4,669</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3,791</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4,053</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4,052</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4,359</w:t>
            </w: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Cash and cash equivalents (3)</w:t>
            </w:r>
          </w:p>
        </w:tc>
        <w:tc>
          <w:tcPr>
            <w:tcW w:w="2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700</w:t>
            </w:r>
          </w:p>
        </w:tc>
        <w:tc>
          <w:tcPr>
            <w:tcW w:w="320" w:type="dxa"/>
            <w:vAlign w:val="bottom"/>
          </w:tcPr>
          <w:p>
            <w:pPr>
              <w:spacing w:after="0"/>
              <w:rPr>
                <w:sz w:val="21"/>
                <w:szCs w:val="21"/>
                <w:color w:val="auto"/>
              </w:rPr>
            </w:pP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1,969</w:t>
            </w:r>
          </w:p>
        </w:tc>
        <w:tc>
          <w:tcPr>
            <w:tcW w:w="32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1,132</w:t>
            </w:r>
          </w:p>
        </w:tc>
        <w:tc>
          <w:tcPr>
            <w:tcW w:w="34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665</w:t>
            </w:r>
          </w:p>
        </w:tc>
        <w:tc>
          <w:tcPr>
            <w:tcW w:w="32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581</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13,868</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10,528</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9,903</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7,862</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7,888</w:t>
            </w: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Notes payable</w:t>
            </w:r>
          </w:p>
        </w:tc>
        <w:tc>
          <w:tcPr>
            <w:tcW w:w="2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2,826</w:t>
            </w:r>
          </w:p>
        </w:tc>
        <w:tc>
          <w:tcPr>
            <w:tcW w:w="320" w:type="dxa"/>
            <w:vAlign w:val="bottom"/>
          </w:tcPr>
          <w:p>
            <w:pPr>
              <w:spacing w:after="0"/>
              <w:rPr>
                <w:sz w:val="21"/>
                <w:szCs w:val="21"/>
                <w:color w:val="auto"/>
              </w:rPr>
            </w:pP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1,323</w:t>
            </w:r>
          </w:p>
        </w:tc>
        <w:tc>
          <w:tcPr>
            <w:tcW w:w="32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1,344</w:t>
            </w:r>
          </w:p>
        </w:tc>
        <w:tc>
          <w:tcPr>
            <w:tcW w:w="34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916</w:t>
            </w:r>
          </w:p>
        </w:tc>
        <w:tc>
          <w:tcPr>
            <w:tcW w:w="32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952</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Reserve for title claim losses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1,621</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1,636</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1,748</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1,913</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2,270</w:t>
            </w: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Redeemable NCI</w:t>
            </w:r>
          </w:p>
        </w:tc>
        <w:tc>
          <w:tcPr>
            <w:tcW w:w="2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715</w:t>
            </w:r>
          </w:p>
        </w:tc>
        <w:tc>
          <w:tcPr>
            <w:tcW w:w="320" w:type="dxa"/>
            <w:vAlign w:val="bottom"/>
          </w:tcPr>
          <w:p>
            <w:pPr>
              <w:spacing w:after="0"/>
              <w:rPr>
                <w:sz w:val="21"/>
                <w:szCs w:val="21"/>
                <w:color w:val="auto"/>
              </w:rPr>
            </w:pP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6,073</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5,535</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4,749</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3,655</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3,444</w:t>
            </w: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Book value per share Old FNF</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22.14</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20.78</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16.57</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15.39</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Book value per share FNF Group (4)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18.87</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Book value per share FNFV Group (4)</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16.31</w:t>
            </w: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Data:</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Orders opened by direct title operations (in 000's)</w:t>
            </w:r>
          </w:p>
        </w:tc>
        <w:tc>
          <w:tcPr>
            <w:tcW w:w="26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1,914</w:t>
            </w:r>
          </w:p>
        </w:tc>
        <w:tc>
          <w:tcPr>
            <w:tcW w:w="320" w:type="dxa"/>
            <w:vAlign w:val="bottom"/>
          </w:tcPr>
          <w:p>
            <w:pPr>
              <w:spacing w:after="0"/>
              <w:rPr>
                <w:sz w:val="21"/>
                <w:szCs w:val="21"/>
                <w:color w:val="auto"/>
              </w:rPr>
            </w:pPr>
          </w:p>
        </w:tc>
        <w:tc>
          <w:tcPr>
            <w:tcW w:w="880" w:type="dxa"/>
            <w:vAlign w:val="bottom"/>
          </w:tcPr>
          <w:p>
            <w:pPr>
              <w:jc w:val="right"/>
              <w:ind w:right="153"/>
              <w:spacing w:after="0"/>
              <w:rPr>
                <w:sz w:val="20"/>
                <w:szCs w:val="20"/>
                <w:color w:val="auto"/>
              </w:rPr>
            </w:pPr>
            <w:r>
              <w:rPr>
                <w:rFonts w:ascii="Arial" w:cs="Arial" w:eastAsia="Arial" w:hAnsi="Arial"/>
                <w:sz w:val="18"/>
                <w:szCs w:val="18"/>
                <w:color w:val="auto"/>
              </w:rPr>
              <w:t>2,181</w:t>
            </w:r>
          </w:p>
        </w:tc>
        <w:tc>
          <w:tcPr>
            <w:tcW w:w="32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2,702</w:t>
            </w:r>
          </w:p>
        </w:tc>
        <w:tc>
          <w:tcPr>
            <w:tcW w:w="340" w:type="dxa"/>
            <w:vAlign w:val="bottom"/>
          </w:tcPr>
          <w:p>
            <w:pPr>
              <w:spacing w:after="0"/>
              <w:rPr>
                <w:sz w:val="21"/>
                <w:szCs w:val="21"/>
                <w:color w:val="auto"/>
              </w:rPr>
            </w:pPr>
          </w:p>
        </w:tc>
        <w:tc>
          <w:tcPr>
            <w:tcW w:w="860" w:type="dxa"/>
            <w:vAlign w:val="bottom"/>
          </w:tcPr>
          <w:p>
            <w:pPr>
              <w:jc w:val="right"/>
              <w:ind w:right="151"/>
              <w:spacing w:after="0"/>
              <w:rPr>
                <w:sz w:val="20"/>
                <w:szCs w:val="20"/>
                <w:color w:val="auto"/>
              </w:rPr>
            </w:pPr>
            <w:r>
              <w:rPr>
                <w:rFonts w:ascii="Arial" w:cs="Arial" w:eastAsia="Arial" w:hAnsi="Arial"/>
                <w:sz w:val="18"/>
                <w:szCs w:val="18"/>
                <w:color w:val="auto"/>
              </w:rPr>
              <w:t>2,140</w:t>
            </w:r>
          </w:p>
        </w:tc>
        <w:tc>
          <w:tcPr>
            <w:tcW w:w="320" w:type="dxa"/>
            <w:vAlign w:val="bottom"/>
          </w:tcPr>
          <w:p>
            <w:pPr>
              <w:spacing w:after="0"/>
              <w:rPr>
                <w:sz w:val="21"/>
                <w:szCs w:val="21"/>
                <w:color w:val="auto"/>
              </w:rPr>
            </w:pPr>
          </w:p>
        </w:tc>
        <w:tc>
          <w:tcPr>
            <w:tcW w:w="840" w:type="dxa"/>
            <w:vAlign w:val="bottom"/>
          </w:tcPr>
          <w:p>
            <w:pPr>
              <w:jc w:val="right"/>
              <w:ind w:right="91"/>
              <w:spacing w:after="0"/>
              <w:rPr>
                <w:sz w:val="20"/>
                <w:szCs w:val="20"/>
                <w:color w:val="auto"/>
              </w:rPr>
            </w:pPr>
            <w:r>
              <w:rPr>
                <w:rFonts w:ascii="Arial" w:cs="Arial" w:eastAsia="Arial" w:hAnsi="Arial"/>
                <w:sz w:val="18"/>
                <w:szCs w:val="18"/>
                <w:color w:val="auto"/>
              </w:rPr>
              <w:t>2,385</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Orders closed by direct title operations (in 000's)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1,319</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1,708</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1,867</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1,514</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1,574</w:t>
            </w:r>
          </w:p>
        </w:tc>
      </w:tr>
      <w:tr>
        <w:trPr>
          <w:trHeight w:val="229"/>
        </w:trPr>
        <w:tc>
          <w:tcPr>
            <w:tcW w:w="2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w w:val="97"/>
              </w:rPr>
              <w:t>Provision for title insurance claim losses as a percent of title insurance</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premiums</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w:t>
            </w: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Title related revenue (5):</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Percentage direct operations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70.0%</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60.1%</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61.9%</w:t>
            </w: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60.6%</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55.6%</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Percentage agency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w:t>
            </w:r>
          </w:p>
        </w:tc>
      </w:tr>
      <w:tr>
        <w:trPr>
          <w:trHeight w:val="218"/>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______________________________________</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r>
    </w:tbl>
    <w:p>
      <w:pPr>
        <w:jc w:val="both"/>
        <w:ind w:left="660" w:hanging="328"/>
        <w:spacing w:after="0" w:line="301"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Weighted average shares outstanding as of December 31, 2014 includes 25,920,078 FNF shares that were issued as part of the acquisition of LPS on January 2, 2014 and 91,711,237 FNFV shares that were issued as part of the recapitalization completed on June 30, 2014. Weighted average shares outstanding as of December 31, 2013 includes 19,837,500 shares that were issued as part of an equity offering by FNF on October 31, 2013.</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Long-term investments as of December 31, 2014, 2013, 2012, 2011, and 2010, include securities pledged to secured trust deposits of $499 million, $261 million, $275 million, $274 million, and $252 million, respectively.</w:t>
      </w:r>
    </w:p>
    <w:p>
      <w:pPr>
        <w:spacing w:after="0" w:line="3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Cash and cash equivalents as of December 31, 2014, 2013, 2012, 2011, and 2010 include cash pledged to secured trust deposits of $136 million, $339 million, $266 million, $162 million, and $146 million, respectively.</w:t>
      </w:r>
    </w:p>
    <w:p>
      <w:pPr>
        <w:spacing w:after="0" w:line="3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Book value per share is calculated as equity at December 31 of each year presented divided by actual shares outstanding at December 31 of each year presented.</w:t>
      </w:r>
    </w:p>
    <w:p>
      <w:pPr>
        <w:spacing w:after="0" w:line="35"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title insurance premiums and escrow, title-related and other fees.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tcPr>
          <w:p>
            <w:pPr>
              <w:spacing w:after="0"/>
              <w:rPr>
                <w:sz w:val="20"/>
                <w:szCs w:val="20"/>
                <w:color w:val="auto"/>
              </w:rPr>
            </w:pPr>
            <w:r>
              <w:rPr>
                <w:rFonts w:ascii="Arial" w:cs="Arial" w:eastAsia="Arial" w:hAnsi="Arial"/>
                <w:sz w:val="18"/>
                <w:szCs w:val="18"/>
                <w:b w:val="1"/>
                <w:bCs w:val="1"/>
                <w:color w:val="auto"/>
              </w:rPr>
              <w:t>Selected Quarterly Financial Data (Unaudited)</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378"/>
        </w:trPr>
        <w:tc>
          <w:tcPr>
            <w:tcW w:w="6060" w:type="dxa"/>
            <w:vAlign w:val="bottom"/>
          </w:tcPr>
          <w:p>
            <w:pPr>
              <w:ind w:left="280"/>
              <w:spacing w:after="0"/>
              <w:rPr>
                <w:sz w:val="20"/>
                <w:szCs w:val="20"/>
                <w:color w:val="auto"/>
              </w:rPr>
            </w:pPr>
            <w:r>
              <w:rPr>
                <w:rFonts w:ascii="Arial" w:cs="Arial" w:eastAsia="Arial" w:hAnsi="Arial"/>
                <w:sz w:val="18"/>
                <w:szCs w:val="18"/>
                <w:color w:val="auto"/>
              </w:rPr>
              <w:t>Selected quarterly financial data is as follows:</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40"/>
        </w:trPr>
        <w:tc>
          <w:tcPr>
            <w:tcW w:w="60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3"/>
          </w:tcPr>
          <w:p>
            <w:pPr>
              <w:jc w:val="right"/>
              <w:ind w:right="811"/>
              <w:spacing w:after="0"/>
              <w:rPr>
                <w:sz w:val="20"/>
                <w:szCs w:val="20"/>
                <w:color w:val="auto"/>
              </w:rPr>
            </w:pPr>
            <w:r>
              <w:rPr>
                <w:rFonts w:ascii="Arial" w:cs="Arial" w:eastAsia="Arial" w:hAnsi="Arial"/>
                <w:sz w:val="14"/>
                <w:szCs w:val="14"/>
                <w:b w:val="1"/>
                <w:bCs w:val="1"/>
                <w:color w:val="auto"/>
              </w:rPr>
              <w:t>Quarter Ended</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64"/>
        </w:trPr>
        <w:tc>
          <w:tcPr>
            <w:tcW w:w="60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March 31,</w:t>
            </w: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June 30,</w:t>
            </w: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6"/>
              </w:rPr>
              <w:t>December 31,</w:t>
            </w:r>
          </w:p>
        </w:tc>
      </w:tr>
      <w:tr>
        <w:trPr>
          <w:trHeight w:val="196"/>
        </w:trPr>
        <w:tc>
          <w:tcPr>
            <w:tcW w:w="6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760" w:type="dxa"/>
            <w:vAlign w:val="bottom"/>
            <w:gridSpan w:val="4"/>
          </w:tcPr>
          <w:p>
            <w:pPr>
              <w:ind w:left="80"/>
              <w:spacing w:after="0"/>
              <w:rPr>
                <w:sz w:val="20"/>
                <w:szCs w:val="20"/>
                <w:color w:val="auto"/>
              </w:rPr>
            </w:pPr>
            <w:r>
              <w:rPr>
                <w:rFonts w:ascii="Arial" w:cs="Arial" w:eastAsia="Arial" w:hAnsi="Arial"/>
                <w:sz w:val="14"/>
                <w:szCs w:val="14"/>
                <w:b w:val="1"/>
                <w:bCs w:val="1"/>
                <w:color w:val="auto"/>
                <w:w w:val="94"/>
              </w:rPr>
              <w:t>(Dollars in millions, except per share data)</w:t>
            </w: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56"/>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1,786</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2,059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2,093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2,086</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Earnings (loss) from continuing operations before income taxes, equity in earnings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of unconsolidated affiliates, and noncontrolling interest</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156</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172</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earnings (loss) attributable to Old FNF common shareholders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111</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attributable to FNF Group common shareholders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114</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Net earnings (loss) attributable to FNFV Group common shareholders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292</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 attributable to Old FNF common shareholders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0.41</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Basic earnings per share attributable to FNF Group common shareholders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0.40</w:t>
            </w:r>
          </w:p>
        </w:tc>
        <w:tc>
          <w:tcPr>
            <w:tcW w:w="2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0.37</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Basic earnings per share attributable to FNFV Group common shareholders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(0.14)</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Diluted earnings per share attributable to Old FNF common shareholders</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(0.08)</w:t>
            </w:r>
          </w:p>
        </w:tc>
        <w:tc>
          <w:tcPr>
            <w:tcW w:w="3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0.40</w:t>
            </w:r>
          </w:p>
        </w:tc>
        <w:tc>
          <w:tcPr>
            <w:tcW w:w="2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Diluted earnings per share attributable to FNF Group common shareholders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0.40</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w w:val="97"/>
              </w:rPr>
              <w:t>Diluted earnings per share attributable to FNFV Group common shareholders</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(0.14)</w:t>
            </w:r>
          </w:p>
        </w:tc>
        <w:tc>
          <w:tcPr>
            <w:tcW w:w="2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3.15</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 per share Old FNF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0.18</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0.18</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Dividends paid per share FNF Group common stock</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0.18</w:t>
            </w:r>
          </w:p>
        </w:tc>
        <w:tc>
          <w:tcPr>
            <w:tcW w:w="2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0.19</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1,756</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1,999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1,908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1,777</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9"/>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Earnings from continuing operations before income taxes, equity in earnings of</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unconsolidated affiliates, and noncontrolling interest</w:t>
            </w: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138</w:t>
            </w:r>
          </w:p>
        </w:tc>
        <w:tc>
          <w:tcPr>
            <w:tcW w:w="3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221</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156</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w w:val="92"/>
              </w:rPr>
              <w:t>Net earnings attributable to Fidelity National Financial, Inc. common shareholders</w:t>
            </w:r>
          </w:p>
        </w:tc>
        <w:tc>
          <w:tcPr>
            <w:tcW w:w="2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90</w:t>
            </w:r>
          </w:p>
        </w:tc>
        <w:tc>
          <w:tcPr>
            <w:tcW w:w="3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138</w:t>
            </w:r>
          </w:p>
        </w:tc>
        <w:tc>
          <w:tcPr>
            <w:tcW w:w="26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72</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 attributable to Old FNF common shareholders</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0.40</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0.61</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0.42</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0.31</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Diluted earnings per share attributable to Old FNF common shareholders</w:t>
            </w:r>
          </w:p>
        </w:tc>
        <w:tc>
          <w:tcPr>
            <w:tcW w:w="22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0.39</w:t>
            </w:r>
          </w:p>
        </w:tc>
        <w:tc>
          <w:tcPr>
            <w:tcW w:w="3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0.60</w:t>
            </w:r>
          </w:p>
        </w:tc>
        <w:tc>
          <w:tcPr>
            <w:tcW w:w="26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0.41</w:t>
            </w:r>
          </w:p>
        </w:tc>
        <w:tc>
          <w:tcPr>
            <w:tcW w:w="2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0.31</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 per share of Old FNF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0.16</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0.16</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0.16</w:t>
            </w:r>
          </w:p>
        </w:tc>
        <w:tc>
          <w:tcPr>
            <w:tcW w:w="2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0.18</w:t>
            </w:r>
          </w:p>
        </w:tc>
      </w:tr>
      <w:tr>
        <w:trPr>
          <w:trHeight w:val="783"/>
        </w:trPr>
        <w:tc>
          <w:tcPr>
            <w:tcW w:w="6060" w:type="dxa"/>
            <w:vAlign w:val="bottom"/>
          </w:tcPr>
          <w:p>
            <w:pPr>
              <w:ind w:left="5620"/>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discussion should be read in conjunction with the Consolidated Financial Statements and the Notes thereto and Selected Financial Data included elsewhere in this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have organized our business into two groups, FNF Core Operations and FNF Ventures, known as "FNFV." Through our Core operations, FNF is a leading provider of title insurance, technology and transaction services to the real estate and mortgage industries. FNF is the nation’s largest title insurance company through its title insurance underwriters - Fidelity National Title, Chicago Title, Commonwealth Land Title, Alamo Title and National Title of New York Inc. - that collectively issue more title insurance policies than any other title company in the United States. FNF also provides industry-leading mortgage technology solutions and transaction services, including MSP®, the leading residential mortgage servicing technology platform in the U.S., through its majority-owned subsidiaries, Black Knight Financial Services, LLC ("BKFS") and ServiceLink Holdings, LLC ("ServiceLink"). In addition, in our FNFV group, we own majority and minority equity investment stakes in a number of entities, including American Blue Ribbon Holdings, LLC ("ABRH"), J. Alexander’s, LLC ("J. Alexander's"), Ceridian HCM, Inc. and Fleetcor Technologies Inc. (collectively "Ceridian") and Digital Insurance, Inc. ("Digital Insurance").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2014, we had the following reporting segments: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FNF Core Operations</w:t>
      </w:r>
    </w:p>
    <w:p>
      <w:pPr>
        <w:spacing w:after="0" w:line="171" w:lineRule="exact"/>
        <w:rPr>
          <w:sz w:val="20"/>
          <w:szCs w:val="20"/>
          <w:color w:val="auto"/>
        </w:rPr>
      </w:pPr>
    </w:p>
    <w:p>
      <w:pPr>
        <w:jc w:val="both"/>
        <w:ind w:left="660" w:hanging="409"/>
        <w:spacing w:after="0" w:line="25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Title. </w:t>
      </w:r>
      <w:r>
        <w:rPr>
          <w:rFonts w:ascii="Arial" w:cs="Arial" w:eastAsia="Arial" w:hAnsi="Arial"/>
          <w:sz w:val="18"/>
          <w:szCs w:val="18"/>
          <w:color w:val="auto"/>
        </w:rPr>
        <w:t>This segment consists of the operations of our title insurance underwriters and related businesses. This segment provides core title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escrow and other title related services including collection and trust activities, trustee sales guarantees, recordings and reconveyances, and home warranty insurance. This segment also includes the transaction services business acquired from Lender Processing Services ("LPS"), now combined with our ServiceLink business. Transaction services include other title related services used in production and management of mortgage loans, including mortgage loans that go into default.</w:t>
      </w:r>
    </w:p>
    <w:p>
      <w:pPr>
        <w:spacing w:after="0" w:line="134" w:lineRule="exact"/>
        <w:rPr>
          <w:rFonts w:ascii="Arial" w:cs="Arial" w:eastAsia="Arial" w:hAnsi="Arial"/>
          <w:sz w:val="18"/>
          <w:szCs w:val="18"/>
          <w:color w:val="auto"/>
        </w:rPr>
      </w:pPr>
    </w:p>
    <w:p>
      <w:pPr>
        <w:ind w:left="660" w:hanging="409"/>
        <w:spacing w:after="0" w:line="342"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i w:val="1"/>
          <w:iCs w:val="1"/>
          <w:color w:val="auto"/>
        </w:rPr>
        <w:t xml:space="preserve">BKFS. </w:t>
      </w:r>
      <w:r>
        <w:rPr>
          <w:rFonts w:ascii="Arial" w:cs="Arial" w:eastAsia="Arial" w:hAnsi="Arial"/>
          <w:sz w:val="16"/>
          <w:szCs w:val="16"/>
          <w:color w:val="auto"/>
        </w:rPr>
        <w:t>This segment consists of the operations of BKFS. This segment provides core technology and data and analytics services through leading</w:t>
      </w:r>
      <w:r>
        <w:rPr>
          <w:rFonts w:ascii="Arial" w:cs="Arial" w:eastAsia="Arial" w:hAnsi="Arial"/>
          <w:sz w:val="16"/>
          <w:szCs w:val="16"/>
          <w:i w:val="1"/>
          <w:iCs w:val="1"/>
          <w:color w:val="auto"/>
        </w:rPr>
        <w:t xml:space="preserve"> </w:t>
      </w:r>
      <w:r>
        <w:rPr>
          <w:rFonts w:ascii="Arial" w:cs="Arial" w:eastAsia="Arial" w:hAnsi="Arial"/>
          <w:sz w:val="16"/>
          <w:szCs w:val="16"/>
          <w:color w:val="auto"/>
        </w:rPr>
        <w:t>software systems and information solutions that facilitate and automate many of the business processes across the life cycle of a mortgage.</w:t>
      </w:r>
    </w:p>
    <w:p>
      <w:pPr>
        <w:spacing w:after="0" w:line="69" w:lineRule="exact"/>
        <w:rPr>
          <w:rFonts w:ascii="Arial" w:cs="Arial" w:eastAsia="Arial" w:hAnsi="Arial"/>
          <w:sz w:val="16"/>
          <w:szCs w:val="16"/>
          <w:color w:val="auto"/>
        </w:rPr>
      </w:pPr>
    </w:p>
    <w:p>
      <w:pPr>
        <w:ind w:left="660" w:hanging="409"/>
        <w:spacing w:after="0" w:line="277"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FNF Core Corporate and Other. </w:t>
      </w:r>
      <w:r>
        <w:rPr>
          <w:rFonts w:ascii="Arial" w:cs="Arial" w:eastAsia="Arial" w:hAnsi="Arial"/>
          <w:sz w:val="18"/>
          <w:szCs w:val="18"/>
          <w:color w:val="auto"/>
        </w:rPr>
        <w:t>This segment consists of the operations of the parent holding company, certain other unallocated corporate overhead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and other smaller real estate and insurance related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FNFV</w:t>
      </w:r>
    </w:p>
    <w:p>
      <w:pPr>
        <w:spacing w:after="0" w:line="171" w:lineRule="exact"/>
        <w:rPr>
          <w:sz w:val="20"/>
          <w:szCs w:val="20"/>
          <w:color w:val="auto"/>
        </w:rPr>
      </w:pPr>
    </w:p>
    <w:p>
      <w:pPr>
        <w:jc w:val="both"/>
        <w:ind w:left="660" w:hanging="409"/>
        <w:spacing w:after="0" w:line="264" w:lineRule="auto"/>
        <w:tabs>
          <w:tab w:leader="none" w:pos="66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Restaurant Group. </w:t>
      </w:r>
      <w:r>
        <w:rPr>
          <w:rFonts w:ascii="Arial" w:cs="Arial" w:eastAsia="Arial" w:hAnsi="Arial"/>
          <w:sz w:val="18"/>
          <w:szCs w:val="18"/>
          <w:color w:val="auto"/>
        </w:rPr>
        <w:t>This segment consists of the operations of ABRH, in which we have a 55% ownership interest. ABRH is the owner and operator</w:t>
      </w:r>
      <w:r>
        <w:rPr>
          <w:rFonts w:ascii="Arial" w:cs="Arial" w:eastAsia="Arial" w:hAnsi="Arial"/>
          <w:sz w:val="18"/>
          <w:szCs w:val="18"/>
          <w:i w:val="1"/>
          <w:iCs w:val="1"/>
          <w:color w:val="auto"/>
        </w:rPr>
        <w:t xml:space="preserve"> </w:t>
      </w:r>
      <w:r>
        <w:rPr>
          <w:rFonts w:ascii="Arial" w:cs="Arial" w:eastAsia="Arial" w:hAnsi="Arial"/>
          <w:sz w:val="18"/>
          <w:szCs w:val="18"/>
          <w:color w:val="auto"/>
        </w:rPr>
        <w:t>of the O'Charley's, Ninety Nine Restaurants, Max &amp; Erma's, Village Inn and Bakers Square concepts. This segment also includes J. Alexander's, which includes the Stoney River Steakhouse and Grill concepts.</w:t>
      </w:r>
    </w:p>
    <w:p>
      <w:pPr>
        <w:spacing w:after="0" w:line="127" w:lineRule="exact"/>
        <w:rPr>
          <w:rFonts w:ascii="Arial" w:cs="Arial" w:eastAsia="Arial" w:hAnsi="Arial"/>
          <w:sz w:val="18"/>
          <w:szCs w:val="18"/>
          <w:i w:val="1"/>
          <w:iCs w:val="1"/>
          <w:color w:val="auto"/>
        </w:rPr>
      </w:pPr>
    </w:p>
    <w:p>
      <w:pPr>
        <w:ind w:left="660" w:right="20" w:hanging="409"/>
        <w:spacing w:after="0" w:line="277" w:lineRule="auto"/>
        <w:tabs>
          <w:tab w:leader="none" w:pos="66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FNFV Corporate and Other. </w:t>
      </w:r>
      <w:r>
        <w:rPr>
          <w:rFonts w:ascii="Arial" w:cs="Arial" w:eastAsia="Arial" w:hAnsi="Arial"/>
          <w:sz w:val="18"/>
          <w:szCs w:val="18"/>
          <w:color w:val="auto"/>
        </w:rPr>
        <w:t>This segment primarily consists of our share in the operations of certain equity investments, including Ceridian, as well</w:t>
      </w:r>
      <w:r>
        <w:rPr>
          <w:rFonts w:ascii="Arial" w:cs="Arial" w:eastAsia="Arial" w:hAnsi="Arial"/>
          <w:sz w:val="18"/>
          <w:szCs w:val="18"/>
          <w:i w:val="1"/>
          <w:iCs w:val="1"/>
          <w:color w:val="auto"/>
        </w:rPr>
        <w:t xml:space="preserve"> </w:t>
      </w:r>
      <w:r>
        <w:rPr>
          <w:rFonts w:ascii="Arial" w:cs="Arial" w:eastAsia="Arial" w:hAnsi="Arial"/>
          <w:sz w:val="18"/>
          <w:szCs w:val="18"/>
          <w:color w:val="auto"/>
        </w:rPr>
        <w:t>as Digital Insurance in which we own 96% and other smaller operations which are not title related.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On February 23, 2015, we announced a tender offer to purchase up to $185 million of shares of our FNFV Group Common stock at a purchase price of no greater than $15.40 per share, nor less than $14.30 per share in cash. We are conducting this Offer through a procedure commonly called a “modified Dutch auction.” This procedure allows shareholders to select the price within a price range specified by us at which the shareholders are willing to sell their shares. The offer is set to expire at 12:00 Midnight, New York City time, at the end of Friday, March 20, 2015, unless we extend the offer.</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February 19, 2015, we announced our intention to pursue a tax-free spin-off of J. Alexander's to FNFV shareholders.</w:t>
      </w:r>
    </w:p>
    <w:p>
      <w:pPr>
        <w:spacing w:after="0" w:line="11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On January 16, 2015, we closed the sale of Cascade Timberlands, LLC, which grows and sells timber and in which we owned a 70.2% interest, for $85 million less a replanting allowance of $1 million and an indemnity holdback of $1 million. We received cash of $63 million upon the closing.</w:t>
      </w:r>
    </w:p>
    <w:p>
      <w:pPr>
        <w:spacing w:after="0" w:line="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February 12, 2015, we announced the closing of our purchase of BPG Holdings, LLC ("BPG"), a recognized leader in home warranty, home inspection services and commercial inspections for $46 million.</w:t>
      </w:r>
    </w:p>
    <w:p>
      <w:pPr>
        <w:spacing w:after="0" w:line="3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December 31, 2014, we closed the previously announced distribution (the "Spin-off") of all of the outstanding shares of common stock of New Remy Corp. ("New Remy") to FNFV shareholders. As part of the Spin-off, FNFV combined all of the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16,342,508 shares of Remy common stock that FNFV owned and a small company called Fidelity National Technology Imaging, LLC ("Imaging") into New Remy. Immediately following the Spin-off, New Remy and Remy International, Inc. ("Old Remy") engaged in a series of stock-for-stock transactions ending with a new publicly-traded holding company, New Remy Holdco Corp. ("New Remy Holdco"). In the Spin-off, FNFV shareholders ultimately received a total of approximately 16.6 million shares of New Remy Holdco common stock, or approximately 0.17879 shares of New Remy Holdco common stock for each share of FNFV that they owned. As a result of the Spin-off, the operations of Remy are now presented in discontinued operations for all periods presented. This spin-off is expected to be tax free to FNFV shareholders.</w:t>
      </w:r>
    </w:p>
    <w:p>
      <w:pPr>
        <w:spacing w:after="0" w:line="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December 23, 2014, we filed a draft registration statement with the Securities and Exchange Commission (“SEC”) relating to a proposed initial public offering of Black Knight Financial Services, Inc. ("BKFSI") common stock (the "Offering"). After the offering BKFSI is expected to be the holding company of BKFS.</w:t>
      </w:r>
    </w:p>
    <w:p>
      <w:pPr>
        <w:spacing w:after="0" w:line="7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November 17, 2014, Ceridian completed the exchange of its subsidiary Comdata Inc. ("Comdata") with FleetCor Technologies Inc. ("FleetCor") in a transaction valued at approximately $3.5 billion. FNFV owns approximately 32% of Ceridian and through this ownership has indirectly received approximately 2.4 million shares of Fleetcor common stock. Based on FleetCor's closing stock price of $147.66 on November 13, 2014, the 2.4 million FleetCor shares are valued at approximately $356 million. The shares of FleetCor's common stock that FNFV indirectly owns are subject to a six-month lockup from the November 14, 2014 closing date and approximately 25% of these shares have been contributed to an escrow account to meet potential indemnification claims, if any, for up to three years from closing. The stock-for-stock transaction is tax-free for Ceridian and its shareholders. As of December 31, 2014, FNFV indirectly owns approximately 3% of the outstanding shares of FleetCor. We recognized $495 million in equity in earnings of unconsolidated affiliates in the twelve months ending December 31, 2014 as a result of the transaction.</w:t>
      </w:r>
    </w:p>
    <w:p>
      <w:pPr>
        <w:spacing w:after="0" w:line="1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October 28, 2014, our Board of Directors approved a three-year stock purchase program, effective November 6, 2014, under which we can repurchase up to 10 million shares of our FNFV Group common stock through November 30, 2017. We may make repurchases from time to time in the open market, in block purchases or in privately negotiated transactions, depending on market conditions and other factors.</w:t>
      </w:r>
    </w:p>
    <w:p>
      <w:pPr>
        <w:spacing w:after="0" w:line="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August 25, 2014, we acquired a 70% ownership interest in LandCastle Title ("LandCastle"), in exchange for our agreement to fund any escrow shortfalls in LandCastle's escrow accounts. At the time of its acquisition, LandCastle was a large third-party agent of FNF, operating primarily in the State of Georgia. To date, FNF's total cash contribution to LandCastle is approximately $22 million and based on our current understanding of the business could increase by approximately $0 - $10 million. On January 31, 2015, we acquired an additional 5% ownership interest in LandCastle and we now have a 75% ownership interest in LandCastle.</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August 19, 2014, ABRH completed a recapitalization whereby it entered into a new credit agreement for $210 million. As part of the recapitalization, ABRH's parent paid a special dividend to its members, totaling $75 million. Of this special dividend, FNFV received $41 million. ABRH's parent also distributed its 28% ownership interest in J. Alexander's to FNFV, resulting in FNFV now directly owning 87% of J. Alexander's. See Note K for further discussion of the new credit agreement.</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June 30, 2014, we completed the recapitalization of FNF common stock into two tracking stocks, FNF Group common stock and FNFV Group common stock. Each share of the previously outstanding FNF Class A common stock ("Old FNF" common stock) was converted into one share of FNF Group common stock, which now trades on the New York Stock Exchange under the current trading symbol "FNF," and 0.3333 of a share of FNFV Group common stock, which now trades on the New York Stock Exchange under the trading symbol "FNFV." Both FNF and FNFV began regular trading on July 1, 2014.</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Effective June 1, 2014, we completed an internal reorganization to contribute our subsidiary Property Insight, a company which provides information used by title insurance underwriters, title agents and closing attorneys to underwrite title insurance policies for real property sales and transfer, from our Title segment to BKFS. As a result of this transfer, our ownership percentage in BKFS increased to 67%. Our results for periods since June 1, 2014, reflect our now 67% ownership interest in BKFS.</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January 13, 2014, Remy announced that it acquired substantially all of the assets of United Starters and Alternators Industries, Inc. ("USA Industries") pursuant to the terms and conditions of the Asset Purchase Agreement, effective as of January 13, 2014. USA Industries is a leading worldwide distributor of premium quality re-manufactured and new alternators, starters, constant velocity axles and disc brake calipers for the light-duty aftermarket. Total consideration paid was $41million.</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January 2, 2014, we completed the purchase of LPS. The purchase consideration paid was $37.14 per share of LPS common stock, of which $28.10 per share was paid in cash and the remaining $9.04 was paid in Old FNF common shares. The purchase consideration represented an exchange ratio of 0.28742 per share of LPS common stock. Total consideration paid for LPS was $3.4 billion, which consisted of $2,535 million in cash and $839 million in Old FNF common stock. In order to pay the stock component of the consideration, we issued 25,920,078 Old FNF shares to the former LPS shareholders. See Note B to our Consolidated Financial Statements for further discussion.</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71"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As a result of the Spin-off discussed above, the results from Remy are reflected in the Consolidated Statements of Earnings as discontinued operations for all periods presented. Total revenues included in discontinued operations were $1,173 million, $1,125 million and $497 million for the years ending December 31, 2014, 2013 and 2012, respectively. Pre-tax earnings included in discontinued operations were $6 million, $22 million, and $89 million for the years ending December 31, 2014, 2013 and 2012, respectively.</w:t>
      </w:r>
    </w:p>
    <w:p>
      <w:pPr>
        <w:spacing w:after="0" w:line="16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results from a small software company, which we acquired with LPS and which was sold during the second quarter of 2014, are included in the Consolidated Statements of Earnings as discontinued operations for all periods presented. Total revenues included in discontinued operations were $2 million for the year ending December 31, 2014. Pre-tax earnings included in discontinued operations are $1 million for the year ending December 31, 2014.</w:t>
      </w:r>
    </w:p>
    <w:p>
      <w:pPr>
        <w:spacing w:after="0" w:line="12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results from two closed J. Alexander's locations in the second quarter of 2013 are reflected in the Consolidated Statements of Earnings as discontinued operations for all periods presented. Total net revenue included in discontinued operations was $3 million for the year ended December 31, 2013. Pre-tax loss included in discontinued operations was $3 million for the year ended December 31, 2013.</w:t>
      </w:r>
    </w:p>
    <w:p>
      <w:pPr>
        <w:spacing w:after="0" w:line="15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results from a settlement services company closed in the second quarter of 2013 are reflected in the Consolidated Statements of Earnings as discontinued operations for all periods presented. Total revenues included in discontinued operations were $9 million and $36 million for the years ended December 31, 2013 and 2012, respectively. Pre-tax earnings included in discontinued operations were $2 million and $9 million for the year ended December 31, 2013 and 2012, respectively.</w:t>
      </w:r>
    </w:p>
    <w:p>
      <w:pPr>
        <w:spacing w:after="0" w:line="16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May 1, 2012, we completed the sale of an 85% interest in our remaining subsidiaries that write personal lines insurance to WT Holdings, Inc. for $120 million. Accordingly, the results of this business through the date of sale (which we refer to as our "at-risk" insurance business) for all periods presented are reflected in the Consolidated Statements of Earnings as discontinued operations.</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financial statements for the years ended December 31, 2013 and 2012 reflect transactions with Fidelity National Information Services ("FIS"), which was considered a related party until December 31, 2013. See Note A of the Notes to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 and Conditions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FNF Core Operations</w:t>
      </w:r>
    </w:p>
    <w:p>
      <w:pPr>
        <w:spacing w:after="0" w:line="9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core revenue is closely related to the level of real estate activity which includes sales, mortgage financing and mortgage refinancing. The levels of real estate activity are primarily affected by the average price of real estate sales, the availability of funds to finance purchases and mortgage interest rates. Declines in the level of real estate activity or the average price of real estate sales will adversely affect our title insurance revenues.</w:t>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found that residential real estate activity is generally dependent on the following:</w:t>
      </w:r>
    </w:p>
    <w:p>
      <w:pPr>
        <w:spacing w:after="0" w:line="90"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mortgage interest rates;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mortgage funding supply;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strength of the United States economy, including employment levels.</w:t>
      </w:r>
    </w:p>
    <w:p>
      <w:pPr>
        <w:spacing w:after="0" w:line="7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Since December 2008, the Federal Reserve has held the federal funds rate at 0.0%-0.25%, and has recently indicated that it will be "patient" in determining when to raise rates, although there is no assurance as to how long that will be. Mortgage interest rates were at historically low levels through the beginning of 2013. During the last half of 2013, however, interest rates rose to their highest level since 2011. Through the first nine months of 2014, mortgage interest rates have declined moderately. In early October, however, interest rates dropped below 4%, and have remained in the range of 3.75% and 4.00% through the end of 2014.</w:t>
      </w:r>
    </w:p>
    <w:p>
      <w:pPr>
        <w:spacing w:after="0" w:line="5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February 20, 2015, the Mortgage Banker's Association ("MBA") estimated the size of the U.S. mortgage originations market as shown in the following table for 2013 - 2016 in its "Mortgage Finance Forecast" (in trillions):</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4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2013</w:t>
            </w: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 transactions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0.7</w:t>
            </w:r>
          </w:p>
        </w:tc>
      </w:tr>
      <w:tr>
        <w:trPr>
          <w:trHeight w:val="243"/>
        </w:trPr>
        <w:tc>
          <w:tcPr>
            <w:tcW w:w="7400" w:type="dxa"/>
            <w:vAlign w:val="bottom"/>
          </w:tcPr>
          <w:p>
            <w:pPr>
              <w:ind w:left="20"/>
              <w:spacing w:after="0"/>
              <w:rPr>
                <w:sz w:val="20"/>
                <w:szCs w:val="20"/>
                <w:color w:val="auto"/>
              </w:rPr>
            </w:pPr>
            <w:r>
              <w:rPr>
                <w:rFonts w:ascii="Arial" w:cs="Arial" w:eastAsia="Arial" w:hAnsi="Arial"/>
                <w:sz w:val="18"/>
                <w:szCs w:val="18"/>
                <w:color w:val="auto"/>
              </w:rPr>
              <w:t>Refinance transactions</w:t>
            </w:r>
          </w:p>
        </w:tc>
        <w:tc>
          <w:tcPr>
            <w:tcW w:w="200" w:type="dxa"/>
            <w:vAlign w:val="bottom"/>
          </w:tcPr>
          <w:p>
            <w:pPr>
              <w:spacing w:after="0"/>
              <w:rPr>
                <w:sz w:val="21"/>
                <w:szCs w:val="21"/>
                <w:color w:val="auto"/>
              </w:rPr>
            </w:pPr>
          </w:p>
        </w:tc>
        <w:tc>
          <w:tcPr>
            <w:tcW w:w="720" w:type="dxa"/>
            <w:vAlign w:val="bottom"/>
          </w:tcPr>
          <w:p>
            <w:pPr>
              <w:jc w:val="right"/>
              <w:ind w:right="34"/>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ind w:right="34"/>
              <w:spacing w:after="0"/>
              <w:rPr>
                <w:sz w:val="20"/>
                <w:szCs w:val="20"/>
                <w:color w:val="auto"/>
              </w:rPr>
            </w:pPr>
            <w:r>
              <w:rPr>
                <w:rFonts w:ascii="Arial" w:cs="Arial" w:eastAsia="Arial" w:hAnsi="Arial"/>
                <w:sz w:val="18"/>
                <w:szCs w:val="18"/>
                <w:color w:val="auto"/>
              </w:rPr>
              <w:t>1.1</w:t>
            </w:r>
          </w:p>
        </w:tc>
      </w:tr>
      <w:tr>
        <w:trPr>
          <w:trHeight w:val="27"/>
        </w:trPr>
        <w:tc>
          <w:tcPr>
            <w:tcW w:w="74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U.S. mortgage originations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1.8</w:t>
            </w:r>
          </w:p>
        </w:tc>
      </w:tr>
      <w:tr>
        <w:trPr>
          <w:trHeight w:val="20"/>
        </w:trPr>
        <w:tc>
          <w:tcPr>
            <w:tcW w:w="7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shown above, originations in 2013 were driven primarily by refinance transactions, which coincides with the historically low interest rates experienced during those years. In 2014 originations declined by $700 million, or 39%, driven primarily by a</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$600 million, or 33% decline in refinance transactions. In 2015 and 2016, the MBA predicts the market will be relatively consistent with 2014, with a slight increase in purchase transactions.</w:t>
      </w:r>
    </w:p>
    <w:p>
      <w:pPr>
        <w:spacing w:after="0" w:line="3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Because commercial real estate transactions tend to be driven more by supply and demand for commercial space and occupancy rates in a particular area rather than by macroeconomic events, we believe that our commercial real estate title insurance business is less dependent on the industry cycles discussed above than our residential real estate title business. Commercial real estate transaction volume is also often linked to the availability of financing. For the past several years, including 2014, we have experienced an increase in volume and fee per file of commercial transactions from the previous years, indicating strong commercial markets. In 2014, we experienced the highest level of commercial transactions in our Title segment in our company's history.</w:t>
      </w:r>
    </w:p>
    <w:p>
      <w:pPr>
        <w:spacing w:after="0" w:line="2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Several pieces of legislation were enacted to address the struggling mortgage market and the current economic and financial environment. On October 24, 2011, the Federal Housing Finance Agency ("FHFA") announced a series of changes to the Home Affordable Refinance Program ("HARP") that would make it easier for certain borrowers who owe more than their home is worth and who are current on their mortgage payments to refinance their mortgages at lower interest rates. The program reduces or eliminates the risk-based fees Fannie Mae and Freddie Mac charge on many loans, raises the loan-to-home value ratio requirement for refinancing, and streamlines the underwriting process. According to the Federal Housing Authority ("FHA"), lenders began taking refinancing applications on December 1, 2011 under the modified HARP. On April 11, 2013, the FHFA announced that the modified HARP program had been extended through December 2015. We believe the modified HARP program had a positive effect on our results during 2013 and 2012, but are uncertain to what degree the program has impacted our results in 2014 or may impact our results in the future.</w:t>
      </w:r>
    </w:p>
    <w:p>
      <w:pPr>
        <w:spacing w:after="0" w:line="44"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During 2010, a number of lenders imposed freezes on foreclosures in some or all states as they reviewed their foreclosure practices. In response to these freezes, the Office of the Comptroller of the Currency ("OCC") reviewed the foreclosure practices in the residential mortgage loan servicing industry. On April 13, 2011, the OCC and other federal regulators (collectively the "banking agencies") announced formal consent orders against several national bank mortgage servicers and third-party servicer providers for inappropriate practices related to residential mortgage loan servicing and foreclosure processing. The consent orders require the servicers to promptly correct deficiencies and make improvements in practices for residential mortgage loan servicing and foreclosure processing, including improvements to future communications with borrowers and a comprehensive "look back" to assess whether foreclosures complied with federal and state laws and whether any deficiencies in the process or related documentation resulted in financial injury to borrowers. Our title insurance underwriters were not involved in these enforcement actions and we do not believe that our title insurance underwriters are exposed to significant losses resulting from faulty foreclosure practices. Our title insurance underwriters issue title policies on real estate owned properties to new purchasers and lenders to those purchasers. We believe that these policies will not result in significant additional claims exposure to us because even if a court sets aside a foreclosure due to a defect in documentation, the foreclosing lender would be required to return to our insureds all funds obtained from them, resulting in reduced exposure under the title insurance policy. Further, we believe that under current law and the rights we have under our title insurance policies, we would have the right to seek recovery from the foreclosing lender in the event of a failure to comply with state laws or local practices in connection with a foreclosure. The former LPS and certain of its subsidiaries entered into a consent order with the banking agencies in relation to its default operations, now part of our Title segment. As part of the consent order, LPS agreed to further study the issues identified in the review and enhance its compliance, internal audit, risk management and board oversight plans with respect to the related businesses, among additional agreed undertakings. In January 2013, ten large mortgage servicers concluded the reviews required by the 2011 consent orders and agreed to monetary settlements, and LPS also entered into settlement agreements, in January 2013 with 49 States and the District of Columbia relating to certain practices within its default operations and in February 2014, ServiceLink, a subsidiary of our Title Segment and formerly part of LPS, also settled with the State of Nevada and the Federal Deposit Insurance Corporation. In April 2013, these mortgage servicers began making restitution under these settlements.</w:t>
      </w:r>
    </w:p>
    <w:p>
      <w:pPr>
        <w:spacing w:after="0" w:line="33"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In addition to state-level regulation, segments of our FNF core businesses are subject to regulation by federal agencies, including the Consumer Financial Protection Bureau (“CFPB”). The Dodd-Frank Wall Street Reform ("Dodd-Frank") and Consumer Protection Act of 2010 established the CFPB, and in January 2012, President Obama appointed its first director. The CFPB has been given broad authority to regulate, among other areas, the mortgage and real estate markets in matters pertaining to consumers. This authority includes the enforcement of the Real Estate Settlement Procedures Act formerly placed with the Department of Housing and Urban Development. On July 9, 2012, the CFPB introduced a number of proposed rules related to the enforcement of the Real Estate Settlement Procedures Act and the Truth in Lending Act, including, among others, measures designed to (i) simplify financing documentation and</w:t>
      </w:r>
    </w:p>
    <w:p>
      <w:pPr>
        <w:spacing w:after="0" w:line="5" w:lineRule="exact"/>
        <w:rPr>
          <w:sz w:val="20"/>
          <w:szCs w:val="20"/>
          <w:color w:val="auto"/>
        </w:rPr>
      </w:pPr>
    </w:p>
    <w:p>
      <w:pPr>
        <w:jc w:val="both"/>
        <w:ind w:firstLine="8"/>
        <w:spacing w:after="0" w:line="252" w:lineRule="auto"/>
        <w:tabs>
          <w:tab w:leader="none" w:pos="27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require lenders to deliver to consumers a statement of final financing charges (and the related annual percentage rate) at least three business days prior to the closing. These rules became effective on January 10, 2014. Dodd-Frank also included regulation over financial services and other lending related businesses including our newly acquired BKFS business. On November 20, 2013, the CFPB issued additional rules regarding mortgage forms and other mortgage related disclosures with the intent to provide "easier-to-use" mortgage disclosure forms for the consumer. The additional disclosure requirements are effective August 1, 2015. We have reviewed the new requirements and are reviewing and updating our policies, procedures and technology resources as appropriate. It is our experience that mortgage lenders have become more focused on the risk of non-compliance with these evolving regulations and are focused on technologies and solutions that help</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them to comply with the increased regulatory oversight and burdens. BKFS has developed solutions that target this need, which has resulted in additional revenue.</w:t>
      </w:r>
    </w:p>
    <w:p>
      <w:pPr>
        <w:spacing w:after="0" w:line="3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Historically, real estate transactions have produced seasonal revenue levels for the real estate industry including title insurers. The first calendar quarter is typically the weakest quarter in terms of revenue due to the generally low volume of home sales during January and February. The third calendar quarter has been typically the strongest in terms of revenue primarily due to a higher volume of home sales in the summer months and the fourth quarter is usually also strong due to commercial entities desiring to complete transactions by year-end. We have noted short term fluctuations through recent years in resale and refinance transactions as a result of changes in interest rates and the implementation and subsequent expiration of government programs designed to stimulate the real estate market. In 2013 and in 2014, we have seen seasonality trends return to historical patterns.</w:t>
      </w:r>
    </w:p>
    <w:p>
      <w:pPr>
        <w:spacing w:after="0" w:line="4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FNFV</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Restaurant Group</w:t>
      </w:r>
    </w:p>
    <w:p>
      <w:pPr>
        <w:spacing w:after="0" w:line="9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restaurant industry is highly competitive and is often affected by changes in consumer tastes and discretionary spending patterns; changes in general economic conditions; public safety conditions or concerns; demographic trends; weather conditions; the cost of food products, labor, energy and other operating costs; and governmental regulations. The restaurant industry is also characterized by high capital investments for new restaurants and relatively high fixed or semi-variable restaurant operating expenses. Because of the high fixed and semi-variable expenses, changes in sales in existing restaurants are generally expected to significantly affect restaurant profitability because many restaurant costs and expenses are not expected to change at the same rate as sales. Restaurant profitability can also be negatively affected by inflationary and regulatory increases in operating costs and other factors. The most significant commodities that may affect our cost of food and beverage are beef, seafood, poultry, and dairy, which accounted for almost 48 percent of our overall cost of food and beverage in the past. Generally, temporary increases in these costs are not passed on to guests; however, in the past, we have adjusted menu prices to compensate for increased costs of a more permanent nature.</w:t>
      </w:r>
    </w:p>
    <w:p>
      <w:pPr>
        <w:spacing w:after="0" w:line="7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Average weekly sales per restaurant are typically higher in the first and fourth quarters than in other quarters, and we typically generate a disproportionate share of our earnings from operations in the first and fourth quarters. Holidays, severe weather and other disruptive conditions may impact sales volumes seasonally in some operating regions.</w:t>
      </w:r>
    </w:p>
    <w:p>
      <w:pPr>
        <w:spacing w:after="0" w:line="46" w:lineRule="exact"/>
        <w:rPr>
          <w:sz w:val="20"/>
          <w:szCs w:val="20"/>
          <w:color w:val="auto"/>
        </w:rPr>
      </w:pPr>
    </w:p>
    <w:p>
      <w:pPr>
        <w:ind w:right="320" w:firstLine="324"/>
        <w:spacing w:after="0" w:line="454" w:lineRule="auto"/>
        <w:rPr>
          <w:sz w:val="20"/>
          <w:szCs w:val="20"/>
          <w:color w:val="auto"/>
        </w:rPr>
      </w:pPr>
      <w:r>
        <w:rPr>
          <w:rFonts w:ascii="Arial" w:cs="Arial" w:eastAsia="Arial" w:hAnsi="Arial"/>
          <w:sz w:val="18"/>
          <w:szCs w:val="18"/>
          <w:color w:val="auto"/>
        </w:rPr>
        <w:t xml:space="preserve">Our revenues in future periods will continue to be subject to these and other factors that are beyond our control and, as a result, are likely to fluctuate. </w:t>
      </w:r>
      <w:r>
        <w:rPr>
          <w:rFonts w:ascii="Arial" w:cs="Arial" w:eastAsia="Arial" w:hAnsi="Arial"/>
          <w:sz w:val="18"/>
          <w:szCs w:val="18"/>
          <w:b w:val="1"/>
          <w:bCs w:val="1"/>
          <w:color w:val="auto"/>
        </w:rPr>
        <w:t>Critical Accounting Estimates</w:t>
      </w:r>
    </w:p>
    <w:p>
      <w:pPr>
        <w:jc w:val="both"/>
        <w:ind w:firstLine="324"/>
        <w:spacing w:after="0" w:line="257" w:lineRule="auto"/>
        <w:rPr>
          <w:sz w:val="20"/>
          <w:szCs w:val="20"/>
          <w:color w:val="auto"/>
        </w:rPr>
      </w:pPr>
      <w:r>
        <w:rPr>
          <w:rFonts w:ascii="Arial" w:cs="Arial" w:eastAsia="Arial" w:hAnsi="Arial"/>
          <w:sz w:val="18"/>
          <w:szCs w:val="18"/>
          <w:color w:val="auto"/>
        </w:rPr>
        <w:t>The accounting estimates described below are those we consider critical in preparing our Consolidated Financial Statements. Management is required to make estimates and assumptions that can affect the reported amounts of assets and liabilities and disclosures with respect to contingent assets and liabilities at the date of the Consolidated Financial Statements and the reported amounts of revenues and expenses during the reporting period. Actual amounts could differ from those estimates. See Note A of Notes to the Consolidated Financial Statements for additional description of the significant accounting policies that have been followed in preparing our Consolidated Financial Statements.</w:t>
      </w:r>
    </w:p>
    <w:p>
      <w:pPr>
        <w:spacing w:after="0" w:line="8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Reserve for Title Claim Losses. </w:t>
      </w:r>
      <w:r>
        <w:rPr>
          <w:rFonts w:ascii="Arial" w:cs="Arial" w:eastAsia="Arial" w:hAnsi="Arial"/>
          <w:sz w:val="18"/>
          <w:szCs w:val="18"/>
          <w:color w:val="auto"/>
        </w:rPr>
        <w:t>Title companies issue two types of policies, owner's and lender's policies, since both the new owner and the lender in real</w:t>
      </w:r>
      <w:r>
        <w:rPr>
          <w:rFonts w:ascii="Arial" w:cs="Arial" w:eastAsia="Arial" w:hAnsi="Arial"/>
          <w:sz w:val="18"/>
          <w:szCs w:val="18"/>
          <w:i w:val="1"/>
          <w:iCs w:val="1"/>
          <w:color w:val="auto"/>
        </w:rPr>
        <w:t xml:space="preserve"> </w:t>
      </w:r>
      <w:r>
        <w:rPr>
          <w:rFonts w:ascii="Arial" w:cs="Arial" w:eastAsia="Arial" w:hAnsi="Arial"/>
          <w:sz w:val="18"/>
          <w:szCs w:val="18"/>
          <w:color w:val="auto"/>
        </w:rPr>
        <w:t>estate transactions want to know that their interest in the property is insured against certain title defects outlined in the policy. An owner's policy insures the buyer against such defects for as long as he or she owns the property (as well as against warranty claims arising out of the sale of the property by such owner). A lender's policy insures the priority of the lender's security interest over the claims that other parties may have in the property. The maximum amount of liability under a title insurance policy is generally the face amount of the policy plus the cost of defending the insured's title against an adverse claim, however, occasionally we do incur losses in excess of policy limits. While most non-title forms of insurance, including property and casualty, provide for the assumption of risk of loss arising out of unforeseen future events, title insurance serves to protect the policyholder from risk of loss for events that predate the issuance of the policy.</w:t>
      </w:r>
    </w:p>
    <w:p>
      <w:pPr>
        <w:spacing w:after="0" w:line="5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Unlike many other forms of insurance, title insurance requires only a one-time premium for continuous coverage until another policy is warranted due to changes in property circumstances arising from refinance, resale, additional liens, or other events. Unless we issue the subsequent policy, we receive no notice that our exposure under our policy has ended and, as a result, we are unable to track the actual terminations of our exposures.</w:t>
      </w:r>
    </w:p>
    <w:p>
      <w:pPr>
        <w:spacing w:after="0" w:line="3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Our reserve for title claim losses includes reserves for known claims as well as for losses that have been incurred but not yet reported to us (“IBNR”), net of recoupments. We reserve for each known claim based on our review of the estimated amount of the claim and the costs required to settle the claim. Reserves for IBNR claims are estimates that are established at the time the premium revenue is recognized and are based upon historical experience and other factors, including industry trends, claim loss history, legal environment, geographic considerations, and the types of policies written. We also reserve for losses arising from closing and disbursement functions due to fraud or operational error.</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our reserves for known claims and incurred but not reported claims related to title insurance: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December 31, 2014</w:t>
            </w:r>
          </w:p>
        </w:tc>
        <w:tc>
          <w:tcPr>
            <w:tcW w:w="980" w:type="dxa"/>
            <w:vAlign w:val="bottom"/>
          </w:tcPr>
          <w:p>
            <w:pPr>
              <w:jc w:val="right"/>
              <w:ind w:right="337"/>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 2013</w:t>
            </w:r>
          </w:p>
        </w:tc>
        <w:tc>
          <w:tcPr>
            <w:tcW w:w="980" w:type="dxa"/>
            <w:vAlign w:val="bottom"/>
          </w:tcPr>
          <w:p>
            <w:pPr>
              <w:jc w:val="right"/>
              <w:ind w:right="334"/>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74"/>
        </w:trPr>
        <w:tc>
          <w:tcPr>
            <w:tcW w:w="572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gridSpan w:val="2"/>
            <w:vMerge w:val="continue"/>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4"/>
        </w:trPr>
        <w:tc>
          <w:tcPr>
            <w:tcW w:w="57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00" w:type="dxa"/>
            <w:vAlign w:val="bottom"/>
            <w:gridSpan w:val="5"/>
          </w:tcPr>
          <w:p>
            <w:pPr>
              <w:ind w:left="680"/>
              <w:spacing w:after="0"/>
              <w:rPr>
                <w:sz w:val="20"/>
                <w:szCs w:val="20"/>
                <w:color w:val="auto"/>
              </w:rPr>
            </w:pPr>
            <w:r>
              <w:rPr>
                <w:rFonts w:ascii="Arial" w:cs="Arial" w:eastAsia="Arial" w:hAnsi="Arial"/>
                <w:sz w:val="14"/>
                <w:szCs w:val="14"/>
                <w:b w:val="1"/>
                <w:bCs w:val="1"/>
                <w:color w:val="auto"/>
              </w:rPr>
              <w:t>(in millions)</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720" w:type="dxa"/>
            <w:vAlign w:val="bottom"/>
          </w:tcPr>
          <w:p>
            <w:pPr>
              <w:ind w:left="40"/>
              <w:spacing w:after="0"/>
              <w:rPr>
                <w:sz w:val="20"/>
                <w:szCs w:val="20"/>
                <w:color w:val="auto"/>
              </w:rPr>
            </w:pPr>
            <w:r>
              <w:rPr>
                <w:rFonts w:ascii="Arial" w:cs="Arial" w:eastAsia="Arial" w:hAnsi="Arial"/>
                <w:sz w:val="18"/>
                <w:szCs w:val="18"/>
                <w:color w:val="auto"/>
              </w:rPr>
              <w:t>Known claims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7"/>
        </w:trPr>
        <w:tc>
          <w:tcPr>
            <w:tcW w:w="5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IBNR</w:t>
            </w: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1,383</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85.3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1,396</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57"/>
        </w:trPr>
        <w:tc>
          <w:tcPr>
            <w:tcW w:w="5720" w:type="dxa"/>
            <w:vAlign w:val="bottom"/>
          </w:tcPr>
          <w:p>
            <w:pPr>
              <w:ind w:left="40"/>
              <w:spacing w:after="0"/>
              <w:rPr>
                <w:sz w:val="20"/>
                <w:szCs w:val="20"/>
                <w:color w:val="auto"/>
              </w:rPr>
            </w:pPr>
            <w:r>
              <w:rPr>
                <w:rFonts w:ascii="Arial" w:cs="Arial" w:eastAsia="Arial" w:hAnsi="Arial"/>
                <w:sz w:val="18"/>
                <w:szCs w:val="18"/>
                <w:color w:val="auto"/>
              </w:rPr>
              <w:t>Total Reserve for Title Claim Losses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1,621</w:t>
            </w:r>
          </w:p>
        </w:tc>
        <w:tc>
          <w:tcPr>
            <w:tcW w:w="12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1,636</w:t>
            </w:r>
          </w:p>
        </w:tc>
        <w:tc>
          <w:tcPr>
            <w:tcW w:w="120" w:type="dxa"/>
            <w:vAlign w:val="bottom"/>
          </w:tcPr>
          <w:p>
            <w:pPr>
              <w:spacing w:after="0"/>
              <w:rPr>
                <w:sz w:val="22"/>
                <w:szCs w:val="2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Although claims against title insurance policies can be reported relatively soon after the policy has been issued, claims may be reported many years later. Historically, approximately 60% of claims are paid within approximately five years of the policy being written. By their nature, claims are often complex, vary greatly in dollar amounts and are affected by economic and market conditions, as well as the legal environment existing at the time of settlement of the claims. Estimating future title loss payments is difficult because of the complex nature of title claims, the long periods of time over which claims are paid, significantly varying dollar amounts of individual claims and other factors.</w:t>
      </w:r>
    </w:p>
    <w:p>
      <w:pPr>
        <w:spacing w:after="0" w:line="80"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Our process for recording our reserves for title claim losses begins with analysis of our loss provision rate. We forecast ultimate losses for each policy year based upon historical policy year loss emergence and development patterns and adjust these to reflect policy year and policy type differences which affect the timing, frequency and severity of claims. We also use a technique that relies on historical loss emergence and on a premium-based exposure measurement. The latter technique is particularly applicable to the most recent policy years, which have few reported claims relative to an expected ultimate claim volume. After considering historical claim losses, reporting patterns and current market information, and analyzing quantitative and qualitative data provided by our legal, claims and underwriting departments, we determine a loss provision rate, which is recorded as a percentage of current title premiums. This loss provision rate is set to provide for losses on current year policies, but due to development of prior years and our long claim duration, it periodically includes amounts of estimated adverse or positive development on prior years' policies. Any significant adjustments to strengthen or release loss reserves resulting from the comparison with our actuarial analysis are made in addition to this loss provision rate. At each quarter end, our recorded reserve for claim losses is initially the result of taking the prior recorded reserve for claim losses, adding the current provision and subtracting actual paid claims, resulting in an amount that management then compares to the range of reasonable estimates provided by the actuarial calculation. We recorded our loss provision rate at 6.0% for the last 3 quarters of 2014 and had recorded our periodic loss provision rate at 7.0% in the first quarter of 2014 resulting in an average provision rate of 6.2% for the entire 2014 period. Our loss provision rate was 7% for the years ended December 31, 2013 and 2012. Of such annual amounts, 5.5%, 5.3% and 5.5% related to losses on policies written in the current year, and the remainder relates to developments on prior year policies. The decrease in the loss provision rate during 2014 was primarily driven by positive development in the more recent policy years. In 2014, 2013 and 2012, adverse development of prior year losses of $26 million or 0.7% of 2014 premium, $71 million or 1.7% of 2013 premium and $57.5 million or 1.5% of 2012 premium was accounted for in the loss provision rate.</w:t>
      </w:r>
    </w:p>
    <w:p>
      <w:pPr>
        <w:spacing w:after="0" w:line="8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Due to the uncertainty inherent in the process and due to the judgment used by both management and our actuary, our ultimate liability may be greater or less than our carried reserves. If the recorded amount is within the actuarial range but not at the central estimate, we assess the position within the actuarial range by analysis of other factors in order to determine that the recorded amount is our best estimate. These factors, which are both qualitative and quantitative, can change from period to period, and include items such as current trends in the real estate industry (which we can assess, but for which there is a time lag in the development of the data), any adjustments from the actuarial estimates needed for the effects of unusually large or small claims, improvements in our claims management processes, and other cost saving measures. If the recorded amount is not within a reasonable range of our actuary's central estimate, we may have to record a charge or credit and reassess the loss provision rate on a go forward basis. We will continue to reassess the provision to be recorded in future periods consistent with this methodology.</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presents our title insurance loss development experience for the past three years: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7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2012</w:t>
            </w:r>
          </w:p>
        </w:tc>
      </w:tr>
      <w:tr>
        <w:trPr>
          <w:trHeight w:val="196"/>
        </w:trPr>
        <w:tc>
          <w:tcPr>
            <w:tcW w:w="20" w:type="dxa"/>
            <w:vAlign w:val="bottom"/>
          </w:tcPr>
          <w:p>
            <w:pPr>
              <w:spacing w:after="0"/>
              <w:rPr>
                <w:sz w:val="17"/>
                <w:szCs w:val="17"/>
                <w:color w:val="auto"/>
              </w:rPr>
            </w:pPr>
          </w:p>
        </w:tc>
        <w:tc>
          <w:tcPr>
            <w:tcW w:w="7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20" w:type="dxa"/>
            <w:vAlign w:val="bottom"/>
          </w:tcPr>
          <w:p>
            <w:pPr>
              <w:spacing w:after="0"/>
              <w:rPr>
                <w:sz w:val="22"/>
                <w:szCs w:val="22"/>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1,748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1,913</w:t>
            </w:r>
          </w:p>
        </w:tc>
      </w:tr>
      <w:tr>
        <w:trPr>
          <w:trHeight w:val="243"/>
        </w:trPr>
        <w:tc>
          <w:tcPr>
            <w:tcW w:w="20" w:type="dxa"/>
            <w:vAlign w:val="bottom"/>
          </w:tcPr>
          <w:p>
            <w:pPr>
              <w:spacing w:after="0"/>
              <w:rPr>
                <w:sz w:val="21"/>
                <w:szCs w:val="21"/>
                <w:color w:val="auto"/>
              </w:rPr>
            </w:pPr>
          </w:p>
        </w:tc>
        <w:tc>
          <w:tcPr>
            <w:tcW w:w="7760" w:type="dxa"/>
            <w:vAlign w:val="bottom"/>
          </w:tcPr>
          <w:p>
            <w:pPr>
              <w:ind w:left="20"/>
              <w:spacing w:after="0"/>
              <w:rPr>
                <w:sz w:val="20"/>
                <w:szCs w:val="20"/>
                <w:color w:val="auto"/>
              </w:rPr>
            </w:pPr>
            <w:r>
              <w:rPr>
                <w:rFonts w:ascii="Arial" w:cs="Arial" w:eastAsia="Arial" w:hAnsi="Arial"/>
                <w:sz w:val="18"/>
                <w:szCs w:val="18"/>
                <w:color w:val="auto"/>
              </w:rPr>
              <w:t>Reserve assumed, net (1)</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Reinsurance recoverable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7760" w:type="dxa"/>
            <w:vAlign w:val="bottom"/>
          </w:tcPr>
          <w:p>
            <w:pPr>
              <w:ind w:left="20"/>
              <w:spacing w:after="0"/>
              <w:rPr>
                <w:sz w:val="20"/>
                <w:szCs w:val="20"/>
                <w:color w:val="auto"/>
              </w:rPr>
            </w:pPr>
            <w:r>
              <w:rPr>
                <w:rFonts w:ascii="Arial" w:cs="Arial" w:eastAsia="Arial" w:hAnsi="Arial"/>
                <w:sz w:val="18"/>
                <w:szCs w:val="18"/>
                <w:color w:val="auto"/>
              </w:rPr>
              <w:t>Claims loss provision related to:</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Current year</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w:t>
            </w:r>
          </w:p>
        </w:tc>
      </w:tr>
      <w:tr>
        <w:trPr>
          <w:trHeight w:val="243"/>
        </w:trPr>
        <w:tc>
          <w:tcPr>
            <w:tcW w:w="20" w:type="dxa"/>
            <w:vAlign w:val="bottom"/>
          </w:tcPr>
          <w:p>
            <w:pPr>
              <w:spacing w:after="0"/>
              <w:rPr>
                <w:sz w:val="21"/>
                <w:szCs w:val="21"/>
                <w:color w:val="auto"/>
              </w:rPr>
            </w:pPr>
          </w:p>
        </w:tc>
        <w:tc>
          <w:tcPr>
            <w:tcW w:w="7760" w:type="dxa"/>
            <w:vAlign w:val="bottom"/>
          </w:tcPr>
          <w:p>
            <w:pPr>
              <w:ind w:left="260"/>
              <w:spacing w:after="0"/>
              <w:rPr>
                <w:sz w:val="20"/>
                <w:szCs w:val="20"/>
                <w:color w:val="auto"/>
              </w:rPr>
            </w:pPr>
            <w:r>
              <w:rPr>
                <w:rFonts w:ascii="Arial" w:cs="Arial" w:eastAsia="Arial" w:hAnsi="Arial"/>
                <w:sz w:val="18"/>
                <w:szCs w:val="18"/>
                <w:color w:val="auto"/>
              </w:rPr>
              <w:t>Prior years</w:t>
            </w:r>
          </w:p>
        </w:tc>
        <w:tc>
          <w:tcPr>
            <w:tcW w:w="28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58</w:t>
            </w:r>
          </w:p>
        </w:tc>
      </w:tr>
      <w:tr>
        <w:trPr>
          <w:trHeight w:val="27"/>
        </w:trPr>
        <w:tc>
          <w:tcPr>
            <w:tcW w:w="20" w:type="dxa"/>
            <w:vAlign w:val="bottom"/>
          </w:tcPr>
          <w:p>
            <w:pPr>
              <w:spacing w:after="0"/>
              <w:rPr>
                <w:sz w:val="2"/>
                <w:szCs w:val="2"/>
                <w:color w:val="auto"/>
              </w:rPr>
            </w:pPr>
          </w:p>
        </w:tc>
        <w:tc>
          <w:tcPr>
            <w:tcW w:w="7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7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title claims loss provision (2)</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w:t>
            </w:r>
          </w:p>
        </w:tc>
      </w:tr>
      <w:tr>
        <w:trPr>
          <w:trHeight w:val="237"/>
        </w:trPr>
        <w:tc>
          <w:tcPr>
            <w:tcW w:w="20" w:type="dxa"/>
            <w:vAlign w:val="bottom"/>
          </w:tcPr>
          <w:p>
            <w:pPr>
              <w:spacing w:after="0"/>
              <w:rPr>
                <w:sz w:val="20"/>
                <w:szCs w:val="20"/>
                <w:color w:val="auto"/>
              </w:rPr>
            </w:pPr>
          </w:p>
        </w:tc>
        <w:tc>
          <w:tcPr>
            <w:tcW w:w="7760" w:type="dxa"/>
            <w:vAlign w:val="bottom"/>
          </w:tcPr>
          <w:p>
            <w:pPr>
              <w:ind w:left="20"/>
              <w:spacing w:after="0"/>
              <w:rPr>
                <w:sz w:val="20"/>
                <w:szCs w:val="20"/>
                <w:color w:val="auto"/>
              </w:rPr>
            </w:pPr>
            <w:r>
              <w:rPr>
                <w:rFonts w:ascii="Arial" w:cs="Arial" w:eastAsia="Arial" w:hAnsi="Arial"/>
                <w:sz w:val="18"/>
                <w:szCs w:val="18"/>
                <w:color w:val="auto"/>
              </w:rPr>
              <w:t>Claims paid, net of recoupments related to:</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Current year</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20" w:type="dxa"/>
            <w:vAlign w:val="bottom"/>
          </w:tcPr>
          <w:p>
            <w:pPr>
              <w:spacing w:after="0"/>
              <w:rPr>
                <w:sz w:val="21"/>
                <w:szCs w:val="21"/>
                <w:color w:val="auto"/>
              </w:rPr>
            </w:pPr>
          </w:p>
        </w:tc>
        <w:tc>
          <w:tcPr>
            <w:tcW w:w="7760" w:type="dxa"/>
            <w:vAlign w:val="bottom"/>
          </w:tcPr>
          <w:p>
            <w:pPr>
              <w:ind w:left="260"/>
              <w:spacing w:after="0"/>
              <w:rPr>
                <w:sz w:val="20"/>
                <w:szCs w:val="20"/>
                <w:color w:val="auto"/>
              </w:rPr>
            </w:pPr>
            <w:r>
              <w:rPr>
                <w:rFonts w:ascii="Arial" w:cs="Arial" w:eastAsia="Arial" w:hAnsi="Arial"/>
                <w:sz w:val="18"/>
                <w:szCs w:val="18"/>
                <w:color w:val="auto"/>
              </w:rPr>
              <w:t>Prior years</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(429)</w:t>
            </w:r>
          </w:p>
        </w:tc>
      </w:tr>
      <w:tr>
        <w:trPr>
          <w:trHeight w:val="27"/>
        </w:trPr>
        <w:tc>
          <w:tcPr>
            <w:tcW w:w="20" w:type="dxa"/>
            <w:vAlign w:val="bottom"/>
          </w:tcPr>
          <w:p>
            <w:pPr>
              <w:spacing w:after="0"/>
              <w:rPr>
                <w:sz w:val="2"/>
                <w:szCs w:val="2"/>
                <w:color w:val="auto"/>
              </w:rPr>
            </w:pPr>
          </w:p>
        </w:tc>
        <w:tc>
          <w:tcPr>
            <w:tcW w:w="77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77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title claims paid, net of recoupments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r>
      <w:tr>
        <w:trPr>
          <w:trHeight w:val="297"/>
        </w:trPr>
        <w:tc>
          <w:tcPr>
            <w:tcW w:w="20" w:type="dxa"/>
            <w:vAlign w:val="bottom"/>
          </w:tcPr>
          <w:p>
            <w:pPr>
              <w:spacing w:after="0"/>
              <w:rPr>
                <w:sz w:val="24"/>
                <w:szCs w:val="24"/>
                <w:color w:val="auto"/>
              </w:rPr>
            </w:pPr>
          </w:p>
        </w:tc>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Ending balance</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1,621</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1,636</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1,748</w:t>
            </w:r>
          </w:p>
        </w:tc>
      </w:tr>
      <w:tr>
        <w:trPr>
          <w:trHeight w:val="237"/>
        </w:trPr>
        <w:tc>
          <w:tcPr>
            <w:tcW w:w="20" w:type="dxa"/>
            <w:vAlign w:val="bottom"/>
          </w:tcPr>
          <w:p>
            <w:pPr>
              <w:spacing w:after="0"/>
              <w:rPr>
                <w:sz w:val="20"/>
                <w:szCs w:val="20"/>
                <w:color w:val="auto"/>
              </w:rPr>
            </w:pPr>
          </w:p>
        </w:tc>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Title premiums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3,671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4,152</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3,833</w:t>
            </w:r>
          </w:p>
        </w:tc>
      </w:tr>
      <w:tr>
        <w:trPr>
          <w:trHeight w:val="218"/>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_____________________</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bl>
    <w:p>
      <w:pPr>
        <w:ind w:left="660" w:hanging="328"/>
        <w:spacing w:after="0" w:line="249"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Reserve of $54 million was recorded as part of the acquisition of LPS on January 2, 2014, and a reserve of $2 million was released as part of the sale of a small title operation.</w:t>
      </w:r>
    </w:p>
    <w:p>
      <w:pPr>
        <w:ind w:left="660" w:hanging="328"/>
        <w:spacing w:after="0" w:line="261" w:lineRule="auto"/>
        <w:tabs>
          <w:tab w:leader="none" w:pos="591"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Included in the provision for title claim losses in the 2013 period is an $11 million impairment recorded on an asset previously recouped as part of a claim settlement.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2012</w:t>
            </w:r>
          </w:p>
        </w:tc>
      </w:tr>
      <w:tr>
        <w:trPr>
          <w:trHeight w:val="250"/>
        </w:trPr>
        <w:tc>
          <w:tcPr>
            <w:tcW w:w="83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Provision for claim losses as a percentage of title insurance premiums:</w:t>
            </w: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gridSpan w:val="2"/>
          </w:tcPr>
          <w:p>
            <w:pPr>
              <w:ind w:left="280"/>
              <w:spacing w:after="0"/>
              <w:rPr>
                <w:sz w:val="20"/>
                <w:szCs w:val="20"/>
                <w:color w:val="auto"/>
              </w:rPr>
            </w:pPr>
            <w:r>
              <w:rPr>
                <w:rFonts w:ascii="Arial" w:cs="Arial" w:eastAsia="Arial" w:hAnsi="Arial"/>
                <w:sz w:val="18"/>
                <w:szCs w:val="18"/>
                <w:color w:val="auto"/>
              </w:rPr>
              <w:t>Current year</w:t>
            </w:r>
          </w:p>
        </w:tc>
        <w:tc>
          <w:tcPr>
            <w:tcW w:w="440" w:type="dxa"/>
            <w:vAlign w:val="bottom"/>
          </w:tcPr>
          <w:p>
            <w:pPr>
              <w:ind w:left="20"/>
              <w:spacing w:after="0"/>
              <w:rPr>
                <w:sz w:val="20"/>
                <w:szCs w:val="20"/>
                <w:color w:val="auto"/>
              </w:rPr>
            </w:pPr>
            <w:r>
              <w:rPr>
                <w:rFonts w:ascii="Arial" w:cs="Arial" w:eastAsia="Arial" w:hAnsi="Arial"/>
                <w:sz w:val="18"/>
                <w:szCs w:val="18"/>
                <w:color w:val="auto"/>
                <w:w w:val="97"/>
              </w:rPr>
              <w:t>5.5%</w:t>
            </w:r>
          </w:p>
        </w:tc>
        <w:tc>
          <w:tcPr>
            <w:tcW w:w="100" w:type="dxa"/>
            <w:vAlign w:val="bottom"/>
          </w:tcPr>
          <w:p>
            <w:pPr>
              <w:spacing w:after="0"/>
              <w:rPr>
                <w:sz w:val="21"/>
                <w:szCs w:val="21"/>
                <w:color w:val="auto"/>
              </w:rPr>
            </w:pPr>
          </w:p>
        </w:tc>
        <w:tc>
          <w:tcPr>
            <w:tcW w:w="1200" w:type="dxa"/>
            <w:vAlign w:val="bottom"/>
          </w:tcPr>
          <w:p>
            <w:pPr>
              <w:ind w:left="800"/>
              <w:spacing w:after="0"/>
              <w:rPr>
                <w:sz w:val="20"/>
                <w:szCs w:val="20"/>
                <w:color w:val="auto"/>
              </w:rPr>
            </w:pPr>
            <w:r>
              <w:rPr>
                <w:rFonts w:ascii="Arial" w:cs="Arial" w:eastAsia="Arial" w:hAnsi="Arial"/>
                <w:sz w:val="18"/>
                <w:szCs w:val="18"/>
                <w:color w:val="auto"/>
                <w:w w:val="92"/>
              </w:rPr>
              <w:t>5.3%</w:t>
            </w:r>
          </w:p>
        </w:tc>
        <w:tc>
          <w:tcPr>
            <w:tcW w:w="120" w:type="dxa"/>
            <w:vAlign w:val="bottom"/>
          </w:tcPr>
          <w:p>
            <w:pPr>
              <w:spacing w:after="0"/>
              <w:rPr>
                <w:sz w:val="21"/>
                <w:szCs w:val="21"/>
                <w:color w:val="auto"/>
              </w:rPr>
            </w:pPr>
          </w:p>
        </w:tc>
        <w:tc>
          <w:tcPr>
            <w:tcW w:w="1200" w:type="dxa"/>
            <w:vAlign w:val="bottom"/>
          </w:tcPr>
          <w:p>
            <w:pPr>
              <w:ind w:left="780"/>
              <w:spacing w:after="0"/>
              <w:rPr>
                <w:sz w:val="20"/>
                <w:szCs w:val="20"/>
                <w:color w:val="auto"/>
              </w:rPr>
            </w:pPr>
            <w:r>
              <w:rPr>
                <w:rFonts w:ascii="Arial" w:cs="Arial" w:eastAsia="Arial" w:hAnsi="Arial"/>
                <w:sz w:val="18"/>
                <w:szCs w:val="18"/>
                <w:color w:val="auto"/>
                <w:w w:val="97"/>
              </w:rPr>
              <w:t>5.5%</w:t>
            </w:r>
          </w:p>
        </w:tc>
      </w:tr>
      <w:tr>
        <w:trPr>
          <w:trHeight w:val="27"/>
        </w:trPr>
        <w:tc>
          <w:tcPr>
            <w:tcW w:w="76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7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Prior years</w:t>
            </w:r>
          </w:p>
        </w:tc>
        <w:tc>
          <w:tcPr>
            <w:tcW w:w="7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1.5</w:t>
            </w:r>
          </w:p>
        </w:tc>
      </w:tr>
      <w:tr>
        <w:trPr>
          <w:trHeight w:val="257"/>
        </w:trPr>
        <w:tc>
          <w:tcPr>
            <w:tcW w:w="7600" w:type="dxa"/>
            <w:vAlign w:val="bottom"/>
          </w:tcPr>
          <w:p>
            <w:pPr>
              <w:ind w:left="500"/>
              <w:spacing w:after="0"/>
              <w:rPr>
                <w:sz w:val="20"/>
                <w:szCs w:val="20"/>
                <w:color w:val="auto"/>
              </w:rPr>
            </w:pPr>
            <w:r>
              <w:rPr>
                <w:rFonts w:ascii="Arial" w:cs="Arial" w:eastAsia="Arial" w:hAnsi="Arial"/>
                <w:sz w:val="18"/>
                <w:szCs w:val="18"/>
                <w:color w:val="auto"/>
              </w:rPr>
              <w:t>Total provision</w:t>
            </w:r>
          </w:p>
        </w:tc>
        <w:tc>
          <w:tcPr>
            <w:tcW w:w="76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7"/>
              </w:rPr>
              <w:t>6.2%</w:t>
            </w:r>
          </w:p>
        </w:tc>
        <w:tc>
          <w:tcPr>
            <w:tcW w:w="100" w:type="dxa"/>
            <w:vAlign w:val="bottom"/>
          </w:tcPr>
          <w:p>
            <w:pPr>
              <w:spacing w:after="0"/>
              <w:rPr>
                <w:sz w:val="22"/>
                <w:szCs w:val="22"/>
                <w:color w:val="auto"/>
              </w:rPr>
            </w:pPr>
          </w:p>
        </w:tc>
        <w:tc>
          <w:tcPr>
            <w:tcW w:w="120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w w:val="92"/>
              </w:rPr>
              <w:t>7.0%</w:t>
            </w:r>
          </w:p>
        </w:tc>
        <w:tc>
          <w:tcPr>
            <w:tcW w:w="120" w:type="dxa"/>
            <w:vAlign w:val="bottom"/>
          </w:tcPr>
          <w:p>
            <w:pPr>
              <w:spacing w:after="0"/>
              <w:rPr>
                <w:sz w:val="22"/>
                <w:szCs w:val="22"/>
                <w:color w:val="auto"/>
              </w:rPr>
            </w:pPr>
          </w:p>
        </w:tc>
        <w:tc>
          <w:tcPr>
            <w:tcW w:w="120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97"/>
              </w:rPr>
              <w:t>7.0%</w:t>
            </w:r>
          </w:p>
        </w:tc>
      </w:tr>
      <w:tr>
        <w:trPr>
          <w:trHeight w:val="20"/>
        </w:trPr>
        <w:tc>
          <w:tcPr>
            <w:tcW w:w="76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Actual claims payments are made up of loss payments and claims management expenses offset by recoupments and were as follows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Claims</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Net Loss</w:t>
            </w:r>
          </w:p>
        </w:tc>
        <w:tc>
          <w:tcPr>
            <w:tcW w:w="0" w:type="dxa"/>
            <w:vAlign w:val="bottom"/>
          </w:tcPr>
          <w:p>
            <w:pPr>
              <w:spacing w:after="0"/>
              <w:rPr>
                <w:sz w:val="1"/>
                <w:szCs w:val="1"/>
                <w:color w:val="auto"/>
              </w:rPr>
            </w:pPr>
          </w:p>
        </w:tc>
      </w:tr>
      <w:tr>
        <w:trPr>
          <w:trHeight w:val="149"/>
        </w:trPr>
        <w:tc>
          <w:tcPr>
            <w:tcW w:w="6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Loss Payments</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Management</w:t>
            </w:r>
          </w:p>
        </w:tc>
        <w:tc>
          <w:tcPr>
            <w:tcW w:w="140" w:type="dxa"/>
            <w:vAlign w:val="bottom"/>
          </w:tcPr>
          <w:p>
            <w:pPr>
              <w:spacing w:after="0"/>
              <w:rPr>
                <w:sz w:val="12"/>
                <w:szCs w:val="12"/>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Recoupments</w:t>
            </w: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Expenses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7"/>
              <w:spacing w:after="0"/>
              <w:rPr>
                <w:sz w:val="20"/>
                <w:szCs w:val="20"/>
                <w:color w:val="auto"/>
              </w:rPr>
            </w:pPr>
            <w:r>
              <w:rPr>
                <w:rFonts w:ascii="Arial" w:cs="Arial" w:eastAsia="Arial" w:hAnsi="Arial"/>
                <w:sz w:val="14"/>
                <w:szCs w:val="14"/>
                <w:b w:val="1"/>
                <w:bCs w:val="1"/>
                <w:color w:val="auto"/>
                <w:w w:val="99"/>
              </w:rPr>
              <w:t>Payments</w:t>
            </w:r>
          </w:p>
        </w:tc>
        <w:tc>
          <w:tcPr>
            <w:tcW w:w="0" w:type="dxa"/>
            <w:vAlign w:val="bottom"/>
          </w:tcPr>
          <w:p>
            <w:pPr>
              <w:spacing w:after="0"/>
              <w:rPr>
                <w:sz w:val="1"/>
                <w:szCs w:val="1"/>
                <w:color w:val="auto"/>
              </w:rPr>
            </w:pPr>
          </w:p>
        </w:tc>
      </w:tr>
      <w:tr>
        <w:trPr>
          <w:trHeight w:val="250"/>
        </w:trPr>
        <w:tc>
          <w:tcPr>
            <w:tcW w:w="6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2014</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Year ended December 31, 2013</w:t>
            </w:r>
          </w:p>
        </w:tc>
        <w:tc>
          <w:tcPr>
            <w:tcW w:w="1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Year ended December 31, 2012</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7"/>
        </w:trPr>
        <w:tc>
          <w:tcPr>
            <w:tcW w:w="6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As of December 31, 2014 and 2013, our recorded reserves were $1,621 million and $1,636 million, respectively, which we determined were reasonable and represented our best estimate and these recorded amounts were within a reasonable range of the central estimates provided by our actuaries. Our recorded reserves were approximately $20 million above the mid-point of the range of our actuarial estimates as of December 31, 2014 and were $70 million below the central estimate provided by our actuary as of December 31, 2013, but within the provided actuarial range of $1.5 billion to $1.8 billion.</w:t>
      </w:r>
    </w:p>
    <w:p>
      <w:pPr>
        <w:spacing w:after="0" w:line="1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Some traditional actuarial methods, such as paid loss development, are particularly sensitive to distortions in payment activity. We believe that the high level of foreclosure activity over the past few years is accelerating the reporting of claims, particularly lender claims, thereby increasing paid losses and expenses. As a result, a paid loss development approach may temporarily overstate ultimate cost projections. We believe that losses and expenses related to this accelerated claims activity, specifically losses relating to lender policies, will have a shorter duration and that expected payments relating to these policy years will eventually return to or perhaps even drop below historical levels.</w:t>
      </w:r>
    </w:p>
    <w:p>
      <w:pPr>
        <w:spacing w:after="0" w:line="5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2014, payment patterns were consistent with our actuaries' and management's expectations. Also, we continued to see positive development relating to the 2009 through 2013 policy years, which we believe is indicative of more stringent underwriting standards by us and the lending industry. In addition we have seen significant positive development in residential owners policies due to increased payments on residential lenders policies which inherently limit the potential loss on the related owners policy to</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differential in coverage amount between the amount insured under the owner's policy and the amount paid under the residential lender's policy. Also, any residential lender policy claim paid relating to a property that is in foreclosure negates any potential loss under an owner's policy previously issued on the property as the owner has no equity in the property. Along with the positive development on claims management expenses, our ending open claim inventory decreased from approximately 24,000 claims at December 31, 2013 to approximately 21,000 claims at December 31, 2014. If actual claims loss development is worse than currently expected and is not offset by other positive factors, such as continued improvement in claims management expenses and the other factors mentioned above, it is possible that our recorded reserves may fall outside a reasonable range of our actuary's central estimate, which may require additional reserve strengthening in future periods.</w:t>
      </w:r>
    </w:p>
    <w:p>
      <w:pPr>
        <w:spacing w:after="0" w:line="4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2013, the negative development of claims incurred and paid resulted in our recorded reserves being below the mid-point of the range of our actuary's estimate. This was primarily caused by the actual claims paid being greater than expected claims paid in the actuarial model. These payments primarily related to the high volume policy years in the mid-2000s, particularly the 2005-2007 policy years. We believe that this development related to both the fact that these policy years have higher loss ratios and that the accelerated reporting of these claims as discussed above. Management was comfortable with our recorded position for 2013 as we have seen significant positive developments in certain actuarial models relating to the acceleration of claims processing and claims related expense development. Claims management expenses have decreased due to management initiatives related to use of outside counsel and their fees and additional use of internal counsel in handling claims matters.</w:t>
      </w:r>
    </w:p>
    <w:p>
      <w:pPr>
        <w:spacing w:after="0" w:line="13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An approximate $37 million increase (decrease) in our annualized provision for title claim losses would occur if our loss provision rate were 1% higher (lower), based on 2014 title premiums of $3,671 million. A 10% increase (decrease) in our reserve for title claim losses, as of December 31, 2014, would result in an increase (decrease) in our provision for title claim losses of approximately $162 million.</w:t>
      </w:r>
    </w:p>
    <w:p>
      <w:pPr>
        <w:spacing w:after="0" w:line="20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i w:val="1"/>
          <w:iCs w:val="1"/>
          <w:color w:val="auto"/>
        </w:rPr>
        <w:t xml:space="preserve">Valuation of Investments. </w:t>
      </w:r>
      <w:r>
        <w:rPr>
          <w:rFonts w:ascii="Arial" w:cs="Arial" w:eastAsia="Arial" w:hAnsi="Arial"/>
          <w:sz w:val="16"/>
          <w:szCs w:val="16"/>
          <w:color w:val="auto"/>
        </w:rPr>
        <w:t>We regularly review our investment portfolio for factors that may indicate that a decline in fair value of an investment is other-than-temporary. Some factors considered in evaluating whether or not a decline in fair value is other-than-temporary include: (i) our intent and need to sell the investment prior to a period of time sufficient to allow for a recovery in value; (ii) the duration and extent to which the fair value has been less than cost; and</w:t>
      </w:r>
    </w:p>
    <w:p>
      <w:pPr>
        <w:jc w:val="both"/>
        <w:ind w:firstLine="8"/>
        <w:spacing w:after="0" w:line="268" w:lineRule="auto"/>
        <w:tabs>
          <w:tab w:leader="none" w:pos="326"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financial condition and prospects of the issuer. Such reviews are inherently uncertain and the value of the investment may not fully recover or may decline in future periods resulting in a realized loss. Investments are selected for analysis whenever an unrealized loss is greater than a certain threshold that we determine based on the size of our portfolio or by using other qualitative factors. Fixed maturity investments that have unrealized losses caused by interest rate movements are not at risk as we do not anticipate having the need or intent to sell prior to maturity. Unrealized losses on investments in equity securities, preferred stock and fixed maturity instruments that are susceptible to credit related declines are evaluated based on the aforementioned factors. Currently available market data is considered and estimates are made as to the duration and prospects for recovery, and the intent or ability to retain the investment until such recovery takes place. These estimates are revisited quarterly and any material degradation in the prospect for recovery will be considered in the other-than-temporary impairment analysis. We believe that our monitoring and analysis has provided for the proper recognition of other-than-temporary impairments over the past three-year period. Any change in estimate in this area will have an impact on the results of operations of the period in which a charge is taken.</w:t>
      </w:r>
    </w:p>
    <w:p>
      <w:pPr>
        <w:spacing w:after="0" w:line="4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fair value hierarchy established by the standard on fair value includes three levels, which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w:t>
      </w:r>
    </w:p>
    <w:p>
      <w:pPr>
        <w:spacing w:after="0" w:line="7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accordance with the standard on fair value, our financial assets and liabilities that are recorded in the Consolidated Balance Sheets are categorized based on the inputs to the valuation techniques as follows:</w:t>
      </w:r>
    </w:p>
    <w:p>
      <w:pPr>
        <w:spacing w:after="0" w:line="116" w:lineRule="exact"/>
        <w:rPr>
          <w:sz w:val="20"/>
          <w:szCs w:val="20"/>
          <w:color w:val="auto"/>
        </w:rPr>
      </w:pPr>
    </w:p>
    <w:p>
      <w:pPr>
        <w:jc w:val="both"/>
        <w:ind w:right="20" w:firstLine="554"/>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 an active market that</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the ability to access.</w:t>
      </w:r>
    </w:p>
    <w:p>
      <w:pPr>
        <w:spacing w:after="0" w:line="116" w:lineRule="exact"/>
        <w:rPr>
          <w:sz w:val="20"/>
          <w:szCs w:val="20"/>
          <w:color w:val="auto"/>
        </w:rPr>
      </w:pPr>
    </w:p>
    <w:p>
      <w:pPr>
        <w:jc w:val="both"/>
        <w:ind w:firstLine="554"/>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 that are 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either directly or indirectly for substantially the full term of the asset or liability.</w:t>
      </w:r>
    </w:p>
    <w:p>
      <w:pPr>
        <w:spacing w:after="0" w:line="11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Financial assets and liabilities whose values are based on model inputs that are unobservable.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our fair value hierarchy for those assets and liabilities measured at fair value on a recurring basis as of December 31, 2014 and 2013, respectively:</w:t>
      </w:r>
    </w:p>
    <w:p>
      <w:pPr>
        <w:spacing w:after="0" w:line="108"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23495</wp:posOffset>
            </wp:positionV>
            <wp:extent cx="28213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Level 3</w:t>
            </w: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r>
      <w:tr>
        <w:trPr>
          <w:trHeight w:val="196"/>
        </w:trPr>
        <w:tc>
          <w:tcPr>
            <w:tcW w:w="6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gridSpan w:val="3"/>
          </w:tcPr>
          <w:p>
            <w:pPr>
              <w:jc w:val="right"/>
              <w:ind w:right="336"/>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Fixed-maturity securities available for sale:</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and agencies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State and political subdivisions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948</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1,820</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1,820</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37</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223</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w:t>
            </w:r>
          </w:p>
        </w:tc>
      </w:tr>
      <w:tr>
        <w:trPr>
          <w:trHeight w:val="257"/>
        </w:trPr>
        <w:tc>
          <w:tcPr>
            <w:tcW w:w="6980" w:type="dxa"/>
            <w:vAlign w:val="bottom"/>
          </w:tcPr>
          <w:p>
            <w:pPr>
              <w:ind w:left="260"/>
              <w:spacing w:after="0"/>
              <w:rPr>
                <w:sz w:val="20"/>
                <w:szCs w:val="20"/>
                <w:color w:val="auto"/>
              </w:rPr>
            </w:pPr>
            <w:r>
              <w:rPr>
                <w:rFonts w:ascii="Arial" w:cs="Arial" w:eastAsia="Arial" w:hAnsi="Arial"/>
                <w:sz w:val="18"/>
                <w:szCs w:val="18"/>
                <w:color w:val="auto"/>
              </w:rPr>
              <w:t>Total assets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3,198</w:t>
            </w:r>
          </w:p>
        </w:tc>
        <w:tc>
          <w:tcPr>
            <w:tcW w:w="100" w:type="dxa"/>
            <w:vAlign w:val="bottom"/>
          </w:tcPr>
          <w:p>
            <w:pPr>
              <w:spacing w:after="0"/>
              <w:rPr>
                <w:sz w:val="22"/>
                <w:szCs w:val="22"/>
                <w:color w:val="auto"/>
              </w:rPr>
            </w:pPr>
          </w:p>
        </w:tc>
        <w:tc>
          <w:tcPr>
            <w:tcW w:w="740" w:type="dxa"/>
            <w:vAlign w:val="bottom"/>
            <w:tcBorders>
              <w:top w:val="single" w:sz="8" w:color="auto"/>
              <w:bottom w:val="single" w:sz="8" w:color="auto"/>
            </w:tcBorders>
          </w:tcPr>
          <w:p>
            <w:pPr>
              <w:jc w:val="right"/>
              <w:ind w:right="536"/>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3,393</w:t>
            </w:r>
          </w:p>
        </w:tc>
      </w:tr>
      <w:tr>
        <w:trPr>
          <w:trHeight w:val="20"/>
        </w:trPr>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2"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23495</wp:posOffset>
            </wp:positionV>
            <wp:extent cx="28213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Total</w:t>
            </w:r>
          </w:p>
        </w:tc>
      </w:tr>
      <w:tr>
        <w:trPr>
          <w:trHeight w:val="196"/>
        </w:trPr>
        <w:tc>
          <w:tcPr>
            <w:tcW w:w="6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5"/>
          </w:tcPr>
          <w:p>
            <w:pPr>
              <w:ind w:left="5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Fixed-maturity securities available for sale:</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126</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1,075</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1,606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1,606</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government bonds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Mortgage-backed/asset-backed securities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109</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136</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contracts</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37"/>
        </w:trPr>
        <w:tc>
          <w:tcPr>
            <w:tcW w:w="6980" w:type="dxa"/>
            <w:vAlign w:val="bottom"/>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3,043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3,290</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372"/>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57"/>
        </w:trPr>
        <w:tc>
          <w:tcPr>
            <w:tcW w:w="6980" w:type="dxa"/>
            <w:vAlign w:val="bottom"/>
          </w:tcPr>
          <w:p>
            <w:pPr>
              <w:ind w:left="26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w:t>
            </w:r>
          </w:p>
        </w:tc>
      </w:tr>
      <w:tr>
        <w:trPr>
          <w:trHeight w:val="20"/>
        </w:trPr>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Level 2 fair value measures for fixed-maturities available for sale are provided by third-party pricing services. We utilize one firm for our taxable bond and preferred stock portfolios and another for our tax-exempt bond portfolio. These pricing services are leading global providers of financial market data, analytics and related services to financial institutions. We rely on one price for each instrument to determine the carrying amount of the assets on our balance sheet. The inputs utilized in these pricing methodologies include observable measures such as benchmark yields, reported trades, broker dealer quotes, issuer spreads, two sided markets, benchmark securities, bids, offers and reference data including market research publications. We review the pricing methodologies for all of our Level 2 securities by obtaining an understanding of the valuation models and assumptions used by the third-party as well as independently comparing the resulting prices to other publicly available measures of fair value and internally developed models. The pricing methodologies used by the relevant third party pricing services are:</w:t>
      </w:r>
    </w:p>
    <w:p>
      <w:pPr>
        <w:spacing w:after="0" w:line="44" w:lineRule="exact"/>
        <w:rPr>
          <w:sz w:val="20"/>
          <w:szCs w:val="20"/>
          <w:color w:val="auto"/>
        </w:rPr>
      </w:pPr>
    </w:p>
    <w:p>
      <w:pPr>
        <w:ind w:left="660" w:right="2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U.S. government and agencies: These securities are valued based on data obtained for similar securities in active markets and from inter-dealer brokers.</w:t>
      </w:r>
    </w:p>
    <w:p>
      <w:pPr>
        <w:sectPr>
          <w:pgSz w:w="11900" w:h="16838" w:orient="portrait"/>
          <w:cols w:equalWidth="0" w:num="1">
            <w:col w:w="11420"/>
          </w:cols>
          <w:pgMar w:left="240" w:top="125"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5" w:right="2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State and political subdivisions: These securities are valued based on data obtained for similar securities in active markets and from inter-dealer brokers. Factors considered include relevant trade information, dealer quotes and other relevant market data.</w:t>
      </w:r>
    </w:p>
    <w:p>
      <w:pPr>
        <w:spacing w:after="0" w:line="3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Corporate debt securities: These securities are valued based on dealer quotes and related market trading activity. Factors considered include the bond's yield, its terms and conditions, or any other feature which may influence its risk and thus marketability, as well as relative credit information and relevant sector news.</w:t>
      </w:r>
    </w:p>
    <w:p>
      <w:pPr>
        <w:spacing w:after="0" w:line="4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Foreign government bonds: These securities are valued based on a discounted cash flow model incorporating observable market inputs such as available broker quotes and yields of comparable securities.</w:t>
      </w:r>
    </w:p>
    <w:p>
      <w:pPr>
        <w:spacing w:after="0" w:line="3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Mortgage-backed/asset-backed securities: These securities consist of commercial mortgage-backed securities, agency mortgage-backed securities, collaterized mortgage obligations, and asset-backed securities. They are valued based on available trade information, dealer quotes, cash flows, relevant indices and market data for similar assets in active markets.</w:t>
      </w:r>
    </w:p>
    <w:p>
      <w:pPr>
        <w:spacing w:after="0" w:line="4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Preferred stock: Preferred stocks are valued by calculating the appropriate spread over a comparable US Treasury security. Inputs include benchmark quotes and other relevant market data.</w:t>
      </w:r>
    </w:p>
    <w:p>
      <w:pPr>
        <w:spacing w:after="0" w:line="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Level 2 fair value measures for our interest rate swap, foreign exchange contracts, and commodity contracts are valued using the income approach. This approach uses techniques to convert future amounts to a single present value amount based upon market expectations (including present value techniques, option-pricing and excess earnings models).</w:t>
      </w:r>
    </w:p>
    <w:p>
      <w:pPr>
        <w:spacing w:after="0" w:line="4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Level 3 investments consist of structured notes that were purchased in the third quarter of 2009. During the third quarter of 2014, all of our outstanding structured notes matured and we received $39 million in cash upon maturity, resulting in a net realized gain of $1 million for the year ending December 31, 2014. We held no structured notes at December 31, 2014 and the structured notes had a par value and a fair value of $38 million at December 31, 2013. The structured notes were classified as other long-term investments and were measured in their entirety at fair value with changes in fair value recognized in earnings. The fair value of these instruments represented exit prices obtained from a broker-dealer. These exit prices were the product of a proprietary valuation model utilized by the trading desk of the broker-dealer and contain assumptions relating to volatility, the level of interest rates, and the value of the underlying commodity indices. We reviewed the pricing methodologies for our Level 3 investments to ensure that they are reasonable and we believe they represented an exit price for the securities at December 31, 2013.</w:t>
      </w:r>
    </w:p>
    <w:p>
      <w:pPr>
        <w:spacing w:after="0" w:line="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years ended December 31, 2014, 2013 and 2012, we incurred impairment charges relating to investments that were determined to be other-than-temporarily impaired, which resulted in impairment charges of $6 million, $1 million, and $3 million, respectively. Impairment charges during all three years related to fixed maturity securities primarily related to our conclusion that the credit risk of these holdings was high and the ability of the issuer to pay the full amount of the principal outstanding was unlikely.</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Included in our Investments as of December 31, 2014 are various holdings in Foreign securities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4"/>
                <w:szCs w:val="14"/>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Cost Basis</w:t>
            </w: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Unrealized</w:t>
            </w:r>
          </w:p>
        </w:tc>
        <w:tc>
          <w:tcPr>
            <w:tcW w:w="180" w:type="dxa"/>
            <w:vAlign w:val="bottom"/>
          </w:tcPr>
          <w:p>
            <w:pPr>
              <w:spacing w:after="0"/>
              <w:rPr>
                <w:sz w:val="14"/>
                <w:szCs w:val="14"/>
                <w:color w:val="auto"/>
              </w:rPr>
            </w:pPr>
          </w:p>
        </w:tc>
        <w:tc>
          <w:tcPr>
            <w:tcW w:w="820" w:type="dxa"/>
            <w:vAlign w:val="bottom"/>
          </w:tcPr>
          <w:p>
            <w:pPr>
              <w:jc w:val="right"/>
              <w:ind w:right="192"/>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92"/>
        </w:trPr>
        <w:tc>
          <w:tcPr>
            <w:tcW w:w="5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0"/>
        </w:trPr>
        <w:tc>
          <w:tcPr>
            <w:tcW w:w="5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5580" w:type="dxa"/>
            <w:vAlign w:val="bottom"/>
          </w:tcPr>
          <w:p>
            <w:pPr>
              <w:ind w:left="40"/>
              <w:spacing w:after="0"/>
              <w:rPr>
                <w:sz w:val="20"/>
                <w:szCs w:val="20"/>
                <w:color w:val="auto"/>
              </w:rPr>
            </w:pPr>
            <w:r>
              <w:rPr>
                <w:rFonts w:ascii="Arial" w:cs="Arial" w:eastAsia="Arial" w:hAnsi="Arial"/>
                <w:sz w:val="18"/>
                <w:szCs w:val="18"/>
                <w:color w:val="auto"/>
              </w:rPr>
              <w:t>Available for sale securities:</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Australia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5580" w:type="dxa"/>
            <w:vAlign w:val="bottom"/>
          </w:tcPr>
          <w:p>
            <w:pPr>
              <w:ind w:left="280"/>
              <w:spacing w:after="0"/>
              <w:rPr>
                <w:sz w:val="20"/>
                <w:szCs w:val="20"/>
                <w:color w:val="auto"/>
              </w:rPr>
            </w:pPr>
            <w:r>
              <w:rPr>
                <w:rFonts w:ascii="Arial" w:cs="Arial" w:eastAsia="Arial" w:hAnsi="Arial"/>
                <w:sz w:val="18"/>
                <w:szCs w:val="18"/>
                <w:color w:val="auto"/>
              </w:rPr>
              <w:t>Belgium</w:t>
            </w:r>
          </w:p>
        </w:tc>
        <w:tc>
          <w:tcPr>
            <w:tcW w:w="18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Cayman Islands</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5580" w:type="dxa"/>
            <w:vAlign w:val="bottom"/>
          </w:tcPr>
          <w:p>
            <w:pPr>
              <w:ind w:left="280"/>
              <w:spacing w:after="0"/>
              <w:rPr>
                <w:sz w:val="20"/>
                <w:szCs w:val="20"/>
                <w:color w:val="auto"/>
              </w:rPr>
            </w:pPr>
            <w:r>
              <w:rPr>
                <w:rFonts w:ascii="Arial" w:cs="Arial" w:eastAsia="Arial" w:hAnsi="Arial"/>
                <w:sz w:val="18"/>
                <w:szCs w:val="18"/>
                <w:color w:val="auto"/>
              </w:rPr>
              <w:t>Canada</w:t>
            </w:r>
          </w:p>
        </w:tc>
        <w:tc>
          <w:tcPr>
            <w:tcW w:w="18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France</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5580" w:type="dxa"/>
            <w:vAlign w:val="bottom"/>
          </w:tcPr>
          <w:p>
            <w:pPr>
              <w:ind w:left="280"/>
              <w:spacing w:after="0"/>
              <w:rPr>
                <w:sz w:val="20"/>
                <w:szCs w:val="20"/>
                <w:color w:val="auto"/>
              </w:rPr>
            </w:pPr>
            <w:r>
              <w:rPr>
                <w:rFonts w:ascii="Arial" w:cs="Arial" w:eastAsia="Arial" w:hAnsi="Arial"/>
                <w:sz w:val="18"/>
                <w:szCs w:val="18"/>
                <w:color w:val="auto"/>
              </w:rPr>
              <w:t>Germany</w:t>
            </w:r>
          </w:p>
        </w:tc>
        <w:tc>
          <w:tcPr>
            <w:tcW w:w="18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Ireland</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5580" w:type="dxa"/>
            <w:vAlign w:val="bottom"/>
          </w:tcPr>
          <w:p>
            <w:pPr>
              <w:ind w:left="280"/>
              <w:spacing w:after="0"/>
              <w:rPr>
                <w:sz w:val="20"/>
                <w:szCs w:val="20"/>
                <w:color w:val="auto"/>
              </w:rPr>
            </w:pPr>
            <w:r>
              <w:rPr>
                <w:rFonts w:ascii="Arial" w:cs="Arial" w:eastAsia="Arial" w:hAnsi="Arial"/>
                <w:sz w:val="18"/>
                <w:szCs w:val="18"/>
                <w:color w:val="auto"/>
              </w:rPr>
              <w:t>Japan</w:t>
            </w:r>
          </w:p>
        </w:tc>
        <w:tc>
          <w:tcPr>
            <w:tcW w:w="18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Korea</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5580" w:type="dxa"/>
            <w:vAlign w:val="bottom"/>
          </w:tcPr>
          <w:p>
            <w:pPr>
              <w:ind w:left="280"/>
              <w:spacing w:after="0"/>
              <w:rPr>
                <w:sz w:val="20"/>
                <w:szCs w:val="20"/>
                <w:color w:val="auto"/>
              </w:rPr>
            </w:pPr>
            <w:r>
              <w:rPr>
                <w:rFonts w:ascii="Arial" w:cs="Arial" w:eastAsia="Arial" w:hAnsi="Arial"/>
                <w:sz w:val="18"/>
                <w:szCs w:val="18"/>
                <w:color w:val="auto"/>
              </w:rPr>
              <w:t>Netherlands</w:t>
            </w:r>
          </w:p>
        </w:tc>
        <w:tc>
          <w:tcPr>
            <w:tcW w:w="18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Norway</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5580" w:type="dxa"/>
            <w:vAlign w:val="bottom"/>
          </w:tcPr>
          <w:p>
            <w:pPr>
              <w:ind w:left="280"/>
              <w:spacing w:after="0"/>
              <w:rPr>
                <w:sz w:val="20"/>
                <w:szCs w:val="20"/>
                <w:color w:val="auto"/>
              </w:rPr>
            </w:pPr>
            <w:r>
              <w:rPr>
                <w:rFonts w:ascii="Arial" w:cs="Arial" w:eastAsia="Arial" w:hAnsi="Arial"/>
                <w:sz w:val="18"/>
                <w:szCs w:val="18"/>
                <w:color w:val="auto"/>
              </w:rPr>
              <w:t>Mexico</w:t>
            </w:r>
          </w:p>
        </w:tc>
        <w:tc>
          <w:tcPr>
            <w:tcW w:w="18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Switzerland</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5580" w:type="dxa"/>
            <w:vAlign w:val="bottom"/>
          </w:tcPr>
          <w:p>
            <w:pPr>
              <w:ind w:left="280"/>
              <w:spacing w:after="0"/>
              <w:rPr>
                <w:sz w:val="20"/>
                <w:szCs w:val="20"/>
                <w:color w:val="auto"/>
              </w:rPr>
            </w:pPr>
            <w:r>
              <w:rPr>
                <w:rFonts w:ascii="Arial" w:cs="Arial" w:eastAsia="Arial" w:hAnsi="Arial"/>
                <w:sz w:val="18"/>
                <w:szCs w:val="18"/>
                <w:color w:val="auto"/>
              </w:rPr>
              <w:t>United Kingdom</w:t>
            </w:r>
          </w:p>
        </w:tc>
        <w:tc>
          <w:tcPr>
            <w:tcW w:w="18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371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334" w:lineRule="auto"/>
        <w:rPr>
          <w:sz w:val="20"/>
          <w:szCs w:val="20"/>
          <w:color w:val="auto"/>
        </w:rPr>
      </w:pPr>
      <w:r>
        <w:rPr>
          <w:rFonts w:ascii="Arial" w:cs="Arial" w:eastAsia="Arial" w:hAnsi="Arial"/>
          <w:sz w:val="16"/>
          <w:szCs w:val="16"/>
          <w:color w:val="auto"/>
        </w:rPr>
        <w:t>We have reviewed all of these securities as of December 31, 2014 and do not believe that there is a risk of credit loss as these securities are in a gross unrealized gain position of $1 million and a gross unrealized loss position of $4 million. We held no European sovereign debt at December 31, 2014.</w:t>
      </w:r>
    </w:p>
    <w:p>
      <w:pPr>
        <w:spacing w:after="0" w:line="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i w:val="1"/>
          <w:iCs w:val="1"/>
          <w:color w:val="auto"/>
        </w:rPr>
        <w:t xml:space="preserve">Goodwill. </w:t>
      </w:r>
      <w:r>
        <w:rPr>
          <w:rFonts w:ascii="Arial" w:cs="Arial" w:eastAsia="Arial" w:hAnsi="Arial"/>
          <w:sz w:val="17"/>
          <w:szCs w:val="17"/>
          <w:color w:val="auto"/>
        </w:rPr>
        <w:t>We have made acquisitions in the past that have resulted in a significant amount of goodwill. As of December 31, 2014 and 2013, goodwill</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aggregated $4,721 million and $1,901 million, respectively. The majority of our goodwill as of December 31, 2014 relates to goodwill recorded in connection with the LPS acquisition on January 2, 2014, as well as the Chicago Title merger in 2000. In evaluating the recoverability of goodwill, we perform a qualitative analysis to determine whether it is more likely than not that our fair value exceeds our carrying value. Based on the results of this analysis, an annual goodwill impairment test may be completed based on an analysis of the discounted future cash flows generated by the underlying assets. The process of determining whether or not goodwill is impaired or recoverable relies on projections of future cash flows, operating results and market conditions. Future cash flow estimates are based partly on projections of market conditions such as the volume and mix of refinance and purchase transactions and interest rates, which are beyond our control and are likely to fluctuate. While we believe that our estimates of future cash flows are reasonable, these estimates are not guarantees of future performance and are subject to risks and uncertainties that may cause actual results to differ from what is assumed in our impairment tests. Such analyses are particularly sensitive to changes in estimates of future cash flows and discount rates. Changes to these estimates might result in material changes in fair value and determination of the recoverability of goodwill, which may result in charges against earnings and a reduction in the carrying value of our goodwill in the future.We have completed our annual goodwill impairment analysis in each of the past three years and as a result, no impairment charges were recorded to goodwill in 2014, 2013, or 2012. As of December 31, 2014, we have determined that our goodwill has a fair value which substantially exceeds our carrying value.</w:t>
      </w:r>
    </w:p>
    <w:p>
      <w:pPr>
        <w:spacing w:after="0" w:line="5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Other Intangible Assets. </w:t>
      </w:r>
      <w:r>
        <w:rPr>
          <w:rFonts w:ascii="Arial" w:cs="Arial" w:eastAsia="Arial" w:hAnsi="Arial"/>
          <w:sz w:val="16"/>
          <w:szCs w:val="16"/>
          <w:color w:val="auto"/>
        </w:rPr>
        <w:t>We have other intangible assets, not including goodwill, which consist primarily of customer relationships and contracts and</w:t>
      </w:r>
      <w:r>
        <w:rPr>
          <w:rFonts w:ascii="Arial" w:cs="Arial" w:eastAsia="Arial" w:hAnsi="Arial"/>
          <w:sz w:val="16"/>
          <w:szCs w:val="16"/>
          <w:i w:val="1"/>
          <w:iCs w:val="1"/>
          <w:color w:val="auto"/>
        </w:rPr>
        <w:t xml:space="preserve"> </w:t>
      </w:r>
      <w:r>
        <w:rPr>
          <w:rFonts w:ascii="Arial" w:cs="Arial" w:eastAsia="Arial" w:hAnsi="Arial"/>
          <w:sz w:val="16"/>
          <w:szCs w:val="16"/>
          <w:color w:val="auto"/>
        </w:rPr>
        <w:t>trademarks which are generally recorded in connection with acquisitions at their fair value, and debt issuance costs relating to the issuance of our long-term notes payable. Intangible assets with estimable lives are amortized over their respective estimated useful lives to their estimated residual values and reviewed for impairment whenever events or changes in circumstances indicate that the carrying amount may not be recoverable. In general, customer relationships are amortized over their estimated useful lives using an accelerated method which takes into consideration expected customer attrition rates. Contractual relationships are generally amortized over their contractual life. Trademarks are generally considered intangible assets with indefinite lives and are reviewed for impairment at least annually. Debt issuance costs are amortized on a straight line basis over the contractual life of the related debt instrument.</w:t>
      </w:r>
    </w:p>
    <w:p>
      <w:pPr>
        <w:spacing w:after="0" w:line="3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recorded an $11 million impairment expense to Tradenames in our Restaurant Group segment during the year ended December 31, 2014. We recorded no impairment expense related to other intangible assets in the years ended December 31, 2013, or 2012.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i w:val="1"/>
          <w:iCs w:val="1"/>
          <w:color w:val="auto"/>
        </w:rPr>
        <w:t xml:space="preserve">Title Revenue Recognition. </w:t>
      </w:r>
      <w:r>
        <w:rPr>
          <w:rFonts w:ascii="Arial" w:cs="Arial" w:eastAsia="Arial" w:hAnsi="Arial"/>
          <w:sz w:val="16"/>
          <w:szCs w:val="16"/>
          <w:color w:val="auto"/>
        </w:rPr>
        <w:t>Our direct title insurance premiums and escrow, title-related and other fees are recognized as revenue at the time of closing of</w:t>
      </w:r>
      <w:r>
        <w:rPr>
          <w:rFonts w:ascii="Arial" w:cs="Arial" w:eastAsia="Arial" w:hAnsi="Arial"/>
          <w:sz w:val="16"/>
          <w:szCs w:val="16"/>
          <w:i w:val="1"/>
          <w:iCs w:val="1"/>
          <w:color w:val="auto"/>
        </w:rPr>
        <w:t xml:space="preserve"> </w:t>
      </w:r>
      <w:r>
        <w:rPr>
          <w:rFonts w:ascii="Arial" w:cs="Arial" w:eastAsia="Arial" w:hAnsi="Arial"/>
          <w:sz w:val="16"/>
          <w:szCs w:val="16"/>
          <w:color w:val="auto"/>
        </w:rPr>
        <w:t>the related transaction as the earnings process is then considered complete, whereas premium revenues from agency operations and agency commissions include an accrual based on estimates using historical information of the volume of transactions that have closed in a particular period for which premiums have not yet been reported to us. The accrual for agency premiums is necessary because of the lag between the closing of these transactions and the reporting of these policies to us by the agent. Historically, the time lag between the closing of these transactions by our agents and the reporting of these policies, or premiums, to us has been up to 15 months, with 70-80% reported within three months following closing, an additional 10-20% reported within the next three months and the remainder within seven to fifteen months. In addition to accruing these earned but unreported agency premiums, we also accrue agent commission expense, which was 75.7% of agent premiums earned in 2014, 76.1% of agent premiums earned in 2013 and 76.2% of agent premiums earned in 2012.We also record provision for claim losses at our average provision rate at the time we record the accrual for the premiums, which was 6.2% for 2014, and 7.0% for 2013 and 2012, and accruals for premium taxes and other expenses relating to our premium accrual. The resulting impact to pretax earnings in any period is less than 10% of the accrued premium amount. The impact of the change in the accrual for agency premiums and related expenses on our pretax earnings was a decrease of $9 million for the year ended December 31, 2014, a decrease of $7 million for the year ended 2013 and an increase of less than $1 million for the year ended 2012. The amount due from our agents relating to this accrual, i.e., the agent premium less their contractual retained commission, was approximately $55 million and $74 million at December 31, 2014 and 2013, respectively, which represents agency premiums of approximately $276 million and $364 million at December 31, 2014 and 2013, respectively, and agent commissions of $221 million and $290 million at December 31, 2014 and 2013, respectively. We may have changes in our accrual for agency revenue in the future if additional relevant information becomes available.</w:t>
      </w:r>
    </w:p>
    <w:p>
      <w:pPr>
        <w:spacing w:after="0" w:line="4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BKFS Revenue Recognition. </w:t>
      </w:r>
      <w:r>
        <w:rPr>
          <w:rFonts w:ascii="Arial" w:cs="Arial" w:eastAsia="Arial" w:hAnsi="Arial"/>
          <w:sz w:val="18"/>
          <w:szCs w:val="18"/>
          <w:color w:val="auto"/>
        </w:rPr>
        <w:t>Within our BKFS segment, our primary types of revenues and our revenue recognition policies as they pertain to the types</w:t>
      </w:r>
      <w:r>
        <w:rPr>
          <w:rFonts w:ascii="Arial" w:cs="Arial" w:eastAsia="Arial" w:hAnsi="Arial"/>
          <w:sz w:val="18"/>
          <w:szCs w:val="18"/>
          <w:i w:val="1"/>
          <w:iCs w:val="1"/>
          <w:color w:val="auto"/>
        </w:rPr>
        <w:t xml:space="preserve"> </w:t>
      </w:r>
      <w:r>
        <w:rPr>
          <w:rFonts w:ascii="Arial" w:cs="Arial" w:eastAsia="Arial" w:hAnsi="Arial"/>
          <w:sz w:val="18"/>
          <w:szCs w:val="18"/>
          <w:color w:val="auto"/>
        </w:rPr>
        <w:t>of contractual arrangements we enter into with our customers to provide services, software licenses, and software-related services either individually or as part of an integrated offering of multiple services. These arrangements occasionally include offerings from more than one segment to the same customer. We recognize revenues relating to mortgage processing, outsourced business processing services, data and analytics services, along with software licensing and software-related services. In some cases, these services are offered in combination with one another, and in other cases we offer them individually. Revenues from processing services are typically volume-based depending on factors such as the number of accounts processed, transactions processed and computer resources utilized.</w:t>
      </w:r>
    </w:p>
    <w:p>
      <w:pPr>
        <w:spacing w:after="0" w:line="5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majority of our revenues are from outsourced data processing and application hosting, data, analytic and valuation related services, and outsourced business processing services. Revenue is realized or realizable and earned when all of the following criteria are met: (1) persuasive evidence of an arrangement exists; (2) delivery has occurred or services have been rendered; (3) the seller’s price to the buyer is fixed or determinable; and (4) collectibility is reasonably assured. For hosting arrangements, revenues and costs related to implementation, conversion and programming services are deferred and subsequently recognized using the straight-line method over the term of the related services agreement. We evaluate these deferred contract costs for impairment in the event any indications of impairment exist.</w:t>
      </w:r>
    </w:p>
    <w:p>
      <w:pPr>
        <w:spacing w:after="0" w:line="5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the event that our arrangements with our customers include more than one element, we determine whether the individual revenue elements can be recognized separately. In arrangements with multiple deliverables, the delivered items are considered separate units of accounting if (1) they have value on a standalone basis and (2) performance of the undelivered items is considered probable and within our control. Arrangement consideration is then allocated to the separate units of accounting based on relative selling price. If it exists, vendor-specific objective evidence is used to determine relative selling price, otherwise third-party evidence of selling price is used. If neither exists, the best estimate of selling price is used for the deliverable.</w:t>
      </w:r>
    </w:p>
    <w:p>
      <w:pPr>
        <w:spacing w:after="0" w:line="3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For multiple element software arrangements, we determine the appropriate units of accounting and how the arrangement consideration should be measured and allocated to the separate units. Initial license fees are recognized when a contract exists, the fee is fixed or determinable, software delivery has occurred and collection of the receivable is deemed probable, provided that vendor-specific objective evidence (“VSOE”) has been established for each element or for any undelivered elements. We determine the fair value of each element or the undelivered elements in multi-element software arrangements based on VSOE. VSOE for each element is based on the price charged when the same element is sold separately, or in the case of post-contract customer support, when a stated renewal rate is provided to the customer. If evidence of fair value of all undelivered elements exists but evidence does not exist for one or more delivered elements, then revenue is recognized using the residual method. Under the residual method, the fair value of the undelivered elements is deferred and the remaining portion of the arrangement fee is recognized as revenue. If evidence of fair value does not exist for one or more undelivered elements of a contract, then all revenue is deferred until all elements are delivered or fair value is determined for all remaining undelivered elements. Revenue from post-contract customer support is recognized ratably over the term of the agreement. We record deferred revenue for all billings invoiced prior to revenue recognition.</w:t>
      </w:r>
    </w:p>
    <w:p>
      <w:pPr>
        <w:spacing w:after="0" w:line="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Accounting for Income Taxes. </w:t>
      </w:r>
      <w:r>
        <w:rPr>
          <w:rFonts w:ascii="Arial" w:cs="Arial" w:eastAsia="Arial" w:hAnsi="Arial"/>
          <w:sz w:val="18"/>
          <w:szCs w:val="18"/>
          <w:color w:val="auto"/>
        </w:rPr>
        <w:t>As part of the process of preparing the consolidated financial statements, we are required to determine income taxes in</w:t>
      </w:r>
      <w:r>
        <w:rPr>
          <w:rFonts w:ascii="Arial" w:cs="Arial" w:eastAsia="Arial" w:hAnsi="Arial"/>
          <w:sz w:val="18"/>
          <w:szCs w:val="18"/>
          <w:i w:val="1"/>
          <w:iCs w:val="1"/>
          <w:color w:val="auto"/>
        </w:rPr>
        <w:t xml:space="preserve"> </w:t>
      </w:r>
      <w:r>
        <w:rPr>
          <w:rFonts w:ascii="Arial" w:cs="Arial" w:eastAsia="Arial" w:hAnsi="Arial"/>
          <w:sz w:val="18"/>
          <w:szCs w:val="18"/>
          <w:color w:val="auto"/>
        </w:rPr>
        <w:t>each of the jurisdictions in which we operate. This process involves estimating actual current tax expense together with assessing temporary differences resulting from differing recognition of items for income tax and accounting purposes.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These differences result in deferred income tax assets and liabilities, which are included within the Consolidated Balance Sheets. We must then assess the likelihood that deferred income tax assets will be recovered from future taxable income and, to the extent we believe that recovery is not likely, establish a valuation allowance. To the extent we establish a valuation allowance or increase this allowance in a period, we must reflect this increase as expense within Income tax expense in the Consolidated Statement of Earnings. Determination of income tax expense requires estimates and can involve complex issues that may require an extended period to resolve. Further, the estimated level of annual pre-tax income can cause the overall effective income tax rate to vary from period to period. We believe that our tax positions comply with applicable tax law and that we adequately provide for any known tax contingencies. We believe the estimates and assumptions used to support our evaluation of tax benefit realization are reasonable. Final determination of prior-year tax liabilities, either by settlement with tax authorities or expiration of statutes of limitations, could be materially different than estimates reflected in assets and liabilities and historical income tax provisions. The outcome of these final determinations could have a material effect on our income tax provision, net income or cash flows in the period that determination is made.</w:t>
      </w:r>
    </w:p>
    <w:p>
      <w:pPr>
        <w:spacing w:after="0" w:line="43"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i w:val="1"/>
          <w:iCs w:val="1"/>
          <w:color w:val="auto"/>
        </w:rPr>
        <w:t xml:space="preserve">Capitalized Software. </w:t>
      </w:r>
      <w:r>
        <w:rPr>
          <w:rFonts w:ascii="Arial" w:cs="Arial" w:eastAsia="Arial" w:hAnsi="Arial"/>
          <w:sz w:val="17"/>
          <w:szCs w:val="17"/>
          <w:color w:val="auto"/>
        </w:rPr>
        <w:t>Capitalized software includes the fair value of software acquired in business combinations, purchased software and capitalized</w:t>
      </w:r>
      <w:r>
        <w:rPr>
          <w:rFonts w:ascii="Arial" w:cs="Arial" w:eastAsia="Arial" w:hAnsi="Arial"/>
          <w:sz w:val="17"/>
          <w:szCs w:val="17"/>
          <w:i w:val="1"/>
          <w:iCs w:val="1"/>
          <w:color w:val="auto"/>
        </w:rPr>
        <w:t xml:space="preserve"> </w:t>
      </w:r>
      <w:r>
        <w:rPr>
          <w:rFonts w:ascii="Arial" w:cs="Arial" w:eastAsia="Arial" w:hAnsi="Arial"/>
          <w:sz w:val="17"/>
          <w:szCs w:val="17"/>
          <w:color w:val="auto"/>
        </w:rPr>
        <w:t>software development costs. Purchased software is recorded at cost and amortized using the straight-line method over its estimated useful life. Software acquired in business combinations is recorded at its fair value and amortized using straight-line or accelerated methods over its estimated useful life, ranging from 5 to 10 years. In our BKFS segment we have significant internally developed software. These costs are amortized using the straight-line or an accelerated method over the estimated useful life. Useful lives of computer software range from 3 to 10 years. For software products to be sold, leased, or otherwise marketed, all costs incurred to establish the technological feasibility are research and development costs, and are expensed as they are incurred. Costs incurred subsequent to establishing technological feasibility, such as programmers' salaries and related payroll costs and costs of independent contractors, are capitalized and amortized on a product by product basis commencing on the date of general release to customers. We do not capitalize any costs once the product is available for general release to customers. For internal-use computer software products, internal and external costs incurred during the preliminary project stage are expensed as they are incurred. Internal and external costs incurred during the application development stage are capitalized and amortized on a product by product basis commencing on the date the software is ready for its intended use. We do not capitalize any costs once the software is ready for its intended use.</w:t>
      </w:r>
    </w:p>
    <w:p>
      <w:pPr>
        <w:spacing w:after="0" w:line="7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also assess the recorded value of computer software for impairment on a regular basis by comparing the carrying value to the estimated future cash flows to be generated by the underlying software asset. There is an inherent uncertainty in determining the expected useful life of or cash flows to be generated from computer software. We recorded impairment charges of $5 million in the year ended December 31, 2014, for an abandoned software development project. We did not record any impairments for software in the years ended December 31, 2013 or 2012.</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Factors Affecting Comparability</w:t>
      </w:r>
    </w:p>
    <w:p>
      <w:pPr>
        <w:spacing w:after="0" w:line="9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Year ended December 31, 2014. </w:t>
      </w:r>
      <w:r>
        <w:rPr>
          <w:rFonts w:ascii="Arial" w:cs="Arial" w:eastAsia="Arial" w:hAnsi="Arial"/>
          <w:sz w:val="17"/>
          <w:szCs w:val="17"/>
          <w:color w:val="auto"/>
        </w:rPr>
        <w:t>On January 2, 2014, we completed the purchase of LPS. As a result of this acquisition we began to consolidate the</w:t>
      </w:r>
      <w:r>
        <w:rPr>
          <w:rFonts w:ascii="Arial" w:cs="Arial" w:eastAsia="Arial" w:hAnsi="Arial"/>
          <w:sz w:val="17"/>
          <w:szCs w:val="17"/>
          <w:i w:val="1"/>
          <w:iCs w:val="1"/>
          <w:color w:val="auto"/>
        </w:rPr>
        <w:t xml:space="preserve"> </w:t>
      </w:r>
      <w:r>
        <w:rPr>
          <w:rFonts w:ascii="Arial" w:cs="Arial" w:eastAsia="Arial" w:hAnsi="Arial"/>
          <w:sz w:val="17"/>
          <w:szCs w:val="17"/>
          <w:color w:val="auto"/>
        </w:rPr>
        <w:t>results of LPS effective January 3, 2014. On December 31, 2014, we distributed all of our shares in Remy to the holders of FNFV Group Common Stock. As a result of this distribution, the operations for Remy are presented as discontinued operations for all periods presented.</w:t>
      </w:r>
    </w:p>
    <w:p>
      <w:pPr>
        <w:spacing w:after="0" w:line="3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Year ended December 31, 2012. </w:t>
      </w:r>
      <w:r>
        <w:rPr>
          <w:rFonts w:ascii="Arial" w:cs="Arial" w:eastAsia="Arial" w:hAnsi="Arial"/>
          <w:sz w:val="18"/>
          <w:szCs w:val="18"/>
          <w:color w:val="auto"/>
        </w:rPr>
        <w:t>On April 9, 2012, we successfully closed a tender offer for the outstanding common stock of O'Charley's;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the results of O'Charley's as of April 9, 2012. On May 11, 2012, we merged O'Charley's with our investment in ABRH in exchange for an increase in our ownership position in ABRH from 45% to 55%. We have consolidated the results of ABRH as of May 11, 2012.</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Net earnings. </w:t>
      </w:r>
      <w:r>
        <w:rPr>
          <w:rFonts w:ascii="Arial" w:cs="Arial" w:eastAsia="Arial" w:hAnsi="Arial"/>
          <w:sz w:val="18"/>
          <w:szCs w:val="18"/>
          <w:color w:val="auto"/>
        </w:rPr>
        <w:t>The following table presents certain financial data for the years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2012</w:t>
            </w:r>
          </w:p>
        </w:tc>
      </w:tr>
      <w:tr>
        <w:trPr>
          <w:trHeight w:val="196"/>
        </w:trPr>
        <w:tc>
          <w:tcPr>
            <w:tcW w:w="7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gridSpan w:val="4"/>
          </w:tcPr>
          <w:p>
            <w:pPr>
              <w:ind w:left="60"/>
              <w:spacing w:after="0"/>
              <w:rPr>
                <w:sz w:val="20"/>
                <w:szCs w:val="20"/>
                <w:color w:val="auto"/>
              </w:rPr>
            </w:pPr>
            <w:r>
              <w:rPr>
                <w:rFonts w:ascii="Arial" w:cs="Arial" w:eastAsia="Arial" w:hAnsi="Arial"/>
                <w:sz w:val="14"/>
                <w:szCs w:val="14"/>
                <w:b w:val="1"/>
                <w:bCs w:val="1"/>
                <w:color w:val="auto"/>
                <w:w w:val="96"/>
              </w:rPr>
              <w:t>(Dollars in millions)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Direct title insurance premiums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1,727</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1,732</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Agency title insurance premiums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2,101</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Escrow, title-related and other fees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2,804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1,737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1,676</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Restaurant revenue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1,408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908</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Interest and investment income</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143</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Realized gains and losses, net</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r>
      <w:tr>
        <w:trPr>
          <w:trHeight w:val="237"/>
        </w:trPr>
        <w:tc>
          <w:tcPr>
            <w:tcW w:w="778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8,024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7,440</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6,668</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Personnel costs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2,540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2,061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1,834</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Agent commissions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1,600</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1,269</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restaurant revenue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773</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103</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title claim losses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64</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7,632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6,824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5,922</w:t>
            </w:r>
          </w:p>
        </w:tc>
      </w:tr>
      <w:tr>
        <w:trPr>
          <w:trHeight w:val="209"/>
        </w:trPr>
        <w:tc>
          <w:tcPr>
            <w:tcW w:w="7780" w:type="dxa"/>
            <w:vAlign w:val="bottom"/>
          </w:tcPr>
          <w:p>
            <w:pPr>
              <w:ind w:left="40"/>
              <w:spacing w:after="0"/>
              <w:rPr>
                <w:sz w:val="20"/>
                <w:szCs w:val="20"/>
                <w:color w:val="auto"/>
              </w:rPr>
            </w:pPr>
            <w:r>
              <w:rPr>
                <w:rFonts w:ascii="Arial" w:cs="Arial" w:eastAsia="Arial" w:hAnsi="Arial"/>
                <w:sz w:val="18"/>
                <w:szCs w:val="18"/>
                <w:color w:val="auto"/>
                <w:w w:val="92"/>
              </w:rPr>
              <w:t>Earnings from continuing operations before income taxes and equity in earnings (loss) of unconsolidated</w:t>
            </w:r>
          </w:p>
        </w:tc>
        <w:tc>
          <w:tcPr>
            <w:tcW w:w="2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r>
      <w:tr>
        <w:trPr>
          <w:trHeight w:val="230"/>
        </w:trPr>
        <w:tc>
          <w:tcPr>
            <w:tcW w:w="7780" w:type="dxa"/>
            <w:vAlign w:val="bottom"/>
          </w:tcPr>
          <w:p>
            <w:pPr>
              <w:ind w:left="40"/>
              <w:spacing w:after="0"/>
              <w:rPr>
                <w:sz w:val="20"/>
                <w:szCs w:val="20"/>
                <w:color w:val="auto"/>
              </w:rPr>
            </w:pPr>
            <w:r>
              <w:rPr>
                <w:rFonts w:ascii="Arial" w:cs="Arial" w:eastAsia="Arial" w:hAnsi="Arial"/>
                <w:sz w:val="18"/>
                <w:szCs w:val="18"/>
                <w:color w:val="auto"/>
              </w:rPr>
              <w:t>affiliates</w:t>
            </w:r>
          </w:p>
        </w:tc>
        <w:tc>
          <w:tcPr>
            <w:tcW w:w="280" w:type="dxa"/>
            <w:vAlign w:val="bottom"/>
          </w:tcPr>
          <w:p>
            <w:pPr>
              <w:spacing w:after="0"/>
              <w:rPr>
                <w:sz w:val="20"/>
                <w:szCs w:val="20"/>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746</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Equity in earnings (loss) of unconsolidated affiliates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earnings from continuing operations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512</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514</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Total revenue in 2014 increased $584 million compared to 2013, primarily due to the addition of revenue from the acquisition of LPS on January 2, 2014, as well as an increase in the Restaurant Group segment and the FNFV Corporate and Other segment, offset by a decrease in the Title segment and FNF Core Corporate and Other segments. Total revenue in 2013 increased $772 million compared to 2012, reflecting an increase in the Title, Restaurant Group segment and both the FNF and FNFV Corporate and Other segments.</w:t>
      </w:r>
    </w:p>
    <w:p>
      <w:pPr>
        <w:spacing w:after="0" w:line="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net earnings from continuing operations increased $117 million in the year ended December 31, 2014, compared to the 2013 period. The increase consisted of a $175 million decrease at FNF Core and $292 million increase at FNFV.</w:t>
      </w:r>
    </w:p>
    <w:p>
      <w:pPr>
        <w:spacing w:after="0" w:line="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FNF Core includes the results of operations of our Title segment and our recently acquired BKFS segment as well as the FNF Core Corporate and Other segment which includes the operations of the parent holding company, certain other unallocated corporate overhead expenses, and other smaller real estate and insurance related operations.</w:t>
      </w:r>
    </w:p>
    <w:p>
      <w:pPr>
        <w:spacing w:after="0" w:line="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FNFV includes our share in the operations of certain equity investments, including Ceridian, as well as the results of operations of our portfolio companies including restaurant revenue from ABRH and J. Alexander's and within FNFV corporate and other, the results of Digital Insurance and other smaller operations which are not title related.</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revenue from the FNF Core segments and FNFV segments is discussed in further detail at the segment level below.</w:t>
      </w:r>
    </w:p>
    <w:p>
      <w:pPr>
        <w:spacing w:after="0" w:line="9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Interest and investment income levels are primarily a function of securities markets, interest rates and the amount of cash available for investment. Interest and investment income was $126 million, $127 million, and $143 million for the years ended December 31, 2014, 2013, and 2012, respectively. The decrease in 2013 as compared to 2012 is due to decreased bond yield and decreased total holdings. The effective return on average invested assets, excluding realized gains and losses, was 3.6%, 4.1%, and 4.4% for the years ended December 31, 2014, 2013, and 2012, respectively.</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Net realized gains and (losses) totaled $(13) million, $16 million, and $108 million for the years ended December 31, 2014, 2013, and 2012, respectively. The net realized loss for the year ended December 31, 2014 includes net realized gains of $9 million on the sales of various investments and gains of $11 million on consolidation of previously owned minority interests. These gains were offset by a $6 million impairment write down on bonds, asset impairments of $25 million, and $2 million in losses on other individually insignificant items. The net realized gain for the year ended December 31, 2013 includes an $11 million gain on the sale of FIS stock, a $10 million gain on individually insignificant portfolio sales, a $5 million net gain on sales of preferred stock, and a $3 million gain on the settlement of a mortgage loan at J. Alexander's. These gains were offset by a $3 million loss on the structured notes, $4 million in title plant impairments and $7 million in other individually immaterial impairments and net losses. The net realized gain for the year ended December 31, 2012 includes a $73 million gain on the consolidation of ABRH and O'Charley's, a $48 million bargain purchase gain on the acquisition of O'Charley's, and $16 million in net gains from the sale of other various investments and assets, offset by a $6 million impairment on land held at our majority-owned affiliate Cascade Timberlands, a $6 million loss on the early extinguishment of our 5.25% bonds, $3 million impairment charges on investments determined to be other-than-temporarily impaired and a $13 million impairment for title plants no longer in use.</w:t>
      </w:r>
    </w:p>
    <w:p>
      <w:pPr>
        <w:spacing w:after="0" w:line="11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Expenses.</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Our operating expenses consist primarily of personnel costs and other operating expenses, which in our FNF Core businesses are incurred as orders are received and processed, and agent commissions, which are incurred as revenue is recognized, as well as cost of restaurant revenue. Title insurance premiums, escrow and title-related fees are generally recognized as income at the time the underlying transaction closes or other service is provided. Direct title operations revenue often lags approximately 45-60 days behind expenses and therefore gross margins may fluctuate. The changes in the market environment, mix of business between direct and agency operations and the contributions from our various business units have historically impacted margins and net earnings. We have implemented programs and have taken necessary actions to maintain expense levels consistent with revenue streams. However, a short time lag exists in reducing variable costs and certain fixed costs are incurred regardless of revenue levels.</w:t>
      </w:r>
    </w:p>
    <w:p>
      <w:pPr>
        <w:spacing w:after="0" w:line="11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Personnel costs include base salaries, commissions, benefits, stock-based compensation and bonuses paid to employees, and are one of our most significant operating expenses. Personnel costs that are directly attributable to the operations of Restaurant Group are included in Cost of restaurant revenue. The Restaurant Group results of operations are discussed in further detail at the segment level below.</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Agent commissions represent the portion of premiums retained by third-party agents pursuant to the terms of their respective agency contracts. The change in agent commissions is discussed in further detail at the segment level below.</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operating expenses consist primarily of facilities expenses, title plant maintenance, premium taxes (which insurance underwriters are required to pay on title premiums in lieu of franchise and other state taxes), appraisal fees and other cost of sales on ServiceLink product offerings and other title related products, postage and courier services, computer services, professional services, travel expenses, general insurance, and bad debt expense on our trade and notes receivable.</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provision for title claim losses includes an estimate of anticipated title and title-related claims, and escrow losses. The provision for title claim losses is discussed in further detail below at the segment level.</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expenses from the FNF Core segments and FNFV segments is discussed in further detail at the segment level below.</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Cost of restaurant revenue includes cost of food and beverage, primarily the costs of beef, seafood, poultry, dairy and alcoholic and non-alcoholic beverages net of vendor discounts and rebates, payroll and related costs and expenses directly relating to restaurant level activities and restaurant operating costs including occupancy and other expenses at the restaurant level.</w:t>
      </w:r>
    </w:p>
    <w:p>
      <w:pPr>
        <w:spacing w:after="0" w:line="20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Income tax expense was $312 million, $195 million, and $242 million for the years ended December 31, 2014, 2013, and 2012, respectively. Income tax expense as a percentage of earnings from continuing operations before income taxes for the years ended December 31, 2014, 2013, and 2012 was 79.7%, 31.7%, and 32.4%, respectively. The increase in the effective tax rate in 2014 from 2013 is due mainly to the $495 million pre-tax gain of the Ceridian sale of Comdata to FleetCor, which was 43.2% of the effective tax rate; excluding the gain, the effective tax rate for 2014 was 36.5%. Apart from the Comdata sale gain, the fluctuation in income tax expense as a percentage of earnings from continuing operations before income taxes is attributable to our estimate of ultimate income tax liability and changes in the characteristics of net earnings year to year, such as the weighting of operating income versus investment income.</w:t>
      </w:r>
    </w:p>
    <w:p>
      <w:pPr>
        <w:spacing w:after="0" w:line="135" w:lineRule="exact"/>
        <w:rPr>
          <w:sz w:val="20"/>
          <w:szCs w:val="20"/>
          <w:color w:val="auto"/>
        </w:rPr>
      </w:pPr>
    </w:p>
    <w:p>
      <w:pPr>
        <w:jc w:val="both"/>
        <w:ind w:firstLine="369"/>
        <w:spacing w:after="0" w:line="259" w:lineRule="auto"/>
        <w:rPr>
          <w:sz w:val="20"/>
          <w:szCs w:val="20"/>
          <w:color w:val="auto"/>
        </w:rPr>
      </w:pPr>
      <w:r>
        <w:rPr>
          <w:rFonts w:ascii="Arial" w:cs="Arial" w:eastAsia="Arial" w:hAnsi="Arial"/>
          <w:sz w:val="18"/>
          <w:szCs w:val="18"/>
          <w:color w:val="auto"/>
        </w:rPr>
        <w:t>Equity in (losses) earnings of unconsolidated affiliates was $432 million, $(26) million, and $10 million for the years ended December 31, 2014, 2013, and 2012, respectively, and consisted of our equity in the net earnings (losses) of Ceridian, Remy prior to August 2012, and other investments in unconsolidated affiliates. The increase in 2014 is due mainly to our $495 million portion of the Ceridian gain on the sale of Comdata to Fleetcor. The decrease in 2013 is due mainly to our share of the larger losses at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Ceridian, which include $17 million in non-recurring costs relating to the write off of a deferred tax asset and debt extinguishment costs.</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Segment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FNF Core Operations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Beginning January 2, 2014, the Title segment includes the results of the transaction services business acquired with LPS.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certain financial data for the years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2012</w:t>
            </w:r>
          </w:p>
        </w:tc>
      </w:tr>
      <w:tr>
        <w:trPr>
          <w:trHeight w:val="196"/>
        </w:trPr>
        <w:tc>
          <w:tcPr>
            <w:tcW w:w="7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Direct title insurance premiums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1,727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1,800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1,732</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Agency title insurance premiums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2,352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2,101</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Escrow, title-related and other fees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1,855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1,597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1,613</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and investment income</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Realized gains and losses, net</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5,894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5,586</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Personnel costs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1,845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1,738</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1,128</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Agent commissions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1,600</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64</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for title claim losses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7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expenses</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5,110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5,086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4,810</w:t>
            </w:r>
          </w:p>
        </w:tc>
      </w:tr>
      <w:tr>
        <w:trPr>
          <w:trHeight w:val="237"/>
        </w:trPr>
        <w:tc>
          <w:tcPr>
            <w:tcW w:w="7780" w:type="dxa"/>
            <w:vAlign w:val="bottom"/>
          </w:tcPr>
          <w:p>
            <w:pPr>
              <w:ind w:left="40"/>
              <w:spacing w:after="0"/>
              <w:rPr>
                <w:sz w:val="20"/>
                <w:szCs w:val="20"/>
                <w:color w:val="auto"/>
              </w:rPr>
            </w:pPr>
            <w:r>
              <w:rPr>
                <w:rFonts w:ascii="Arial" w:cs="Arial" w:eastAsia="Arial" w:hAnsi="Arial"/>
                <w:sz w:val="18"/>
                <w:szCs w:val="18"/>
                <w:color w:val="auto"/>
              </w:rPr>
              <w:t>Earnings before income taxes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542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776</w:t>
            </w:r>
          </w:p>
        </w:tc>
      </w:tr>
      <w:tr>
        <w:trPr>
          <w:trHeight w:val="67"/>
        </w:trPr>
        <w:tc>
          <w:tcPr>
            <w:tcW w:w="778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r>
      <w:tr>
        <w:trPr>
          <w:trHeight w:val="231"/>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Orders opened by direct title operations (in 000's)</w:t>
            </w:r>
          </w:p>
        </w:tc>
        <w:tc>
          <w:tcPr>
            <w:tcW w:w="2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2,181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2,702</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Orders closed by direct title operations (in 000's)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1,319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1,708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1,867</w:t>
            </w:r>
          </w:p>
        </w:tc>
      </w:tr>
    </w:tbl>
    <w:p>
      <w:pPr>
        <w:spacing w:after="0" w:line="25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Total revenues in 2014 decreased $242 million or 4.1% compared to 2013. Total revenues in 2013 increased $308 million or 5.5% compared to 2012. During the year ended December 31, 2014, the results of Title contained $35 million of transaction expenses related to the LPS acquisition and $1 million for merger related litigation, which were included in other operating expenses. Included within personnel costs in the year ended December 31, 2014 were $20 million in severance expenses related to the LPS acquisition and $30 million expense to accrue for bonuses under our synergy bonus program. Depreciation and amortization for the year ended December 31, 2014 included $88 million related to assets acquired with LPS and marked to fair value in purchase accounting.</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percentages of title insurance premiums generated by our direct and agency operations: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39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2014</w:t>
            </w: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60"/>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60"/>
              <w:spacing w:after="0"/>
              <w:rPr>
                <w:sz w:val="20"/>
                <w:szCs w:val="20"/>
                <w:color w:val="auto"/>
              </w:rPr>
            </w:pPr>
            <w:r>
              <w:rPr>
                <w:rFonts w:ascii="Arial" w:cs="Arial" w:eastAsia="Arial" w:hAnsi="Arial"/>
                <w:sz w:val="14"/>
                <w:szCs w:val="14"/>
                <w:b w:val="1"/>
                <w:bCs w:val="1"/>
                <w:color w:val="auto"/>
                <w:w w:val="96"/>
              </w:rPr>
              <w:t>2012</w:t>
            </w:r>
          </w:p>
        </w:tc>
      </w:tr>
      <w:tr>
        <w:trPr>
          <w:trHeight w:val="264"/>
        </w:trPr>
        <w:tc>
          <w:tcPr>
            <w:tcW w:w="39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jc w:val="right"/>
              <w:ind w:right="740"/>
              <w:spacing w:after="0"/>
              <w:rPr>
                <w:sz w:val="20"/>
                <w:szCs w:val="20"/>
                <w:color w:val="auto"/>
              </w:rPr>
            </w:pPr>
            <w:r>
              <w:rPr>
                <w:rFonts w:ascii="Arial" w:cs="Arial" w:eastAsia="Arial" w:hAnsi="Arial"/>
                <w:sz w:val="14"/>
                <w:szCs w:val="14"/>
                <w:b w:val="1"/>
                <w:bCs w:val="1"/>
                <w:color w:val="auto"/>
              </w:rPr>
              <w:t>Amount</w:t>
            </w:r>
          </w:p>
        </w:tc>
        <w:tc>
          <w:tcPr>
            <w:tcW w:w="8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Amount</w:t>
            </w:r>
          </w:p>
        </w:tc>
        <w:tc>
          <w:tcPr>
            <w:tcW w:w="138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Amount</w:t>
            </w:r>
          </w:p>
        </w:tc>
        <w:tc>
          <w:tcPr>
            <w:tcW w:w="138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w:t>
            </w:r>
          </w:p>
        </w:tc>
      </w:tr>
      <w:tr>
        <w:trPr>
          <w:trHeight w:val="196"/>
        </w:trPr>
        <w:tc>
          <w:tcPr>
            <w:tcW w:w="3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gridSpan w:val="5"/>
          </w:tcPr>
          <w:p>
            <w:pPr>
              <w:ind w:left="420"/>
              <w:spacing w:after="0"/>
              <w:rPr>
                <w:sz w:val="20"/>
                <w:szCs w:val="20"/>
                <w:color w:val="auto"/>
              </w:rPr>
            </w:pPr>
            <w:r>
              <w:rPr>
                <w:rFonts w:ascii="Arial" w:cs="Arial" w:eastAsia="Arial" w:hAnsi="Arial"/>
                <w:sz w:val="14"/>
                <w:szCs w:val="14"/>
                <w:b w:val="1"/>
                <w:bCs w:val="1"/>
                <w:color w:val="auto"/>
              </w:rPr>
              <w:t>(Dollars in millions)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Title premiums from direct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1,727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8"/>
                <w:szCs w:val="18"/>
                <w:color w:val="auto"/>
                <w:w w:val="93"/>
              </w:rPr>
              <w:t>1,800</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45.2%</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Title premiums from agency operations</w:t>
            </w:r>
          </w:p>
        </w:tc>
        <w:tc>
          <w:tcPr>
            <w:tcW w:w="22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1,944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jc w:val="right"/>
              <w:ind w:right="94"/>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ind w:left="400"/>
              <w:spacing w:after="0"/>
              <w:rPr>
                <w:sz w:val="20"/>
                <w:szCs w:val="20"/>
                <w:color w:val="auto"/>
              </w:rPr>
            </w:pPr>
            <w:r>
              <w:rPr>
                <w:rFonts w:ascii="Arial" w:cs="Arial" w:eastAsia="Arial" w:hAnsi="Arial"/>
                <w:sz w:val="18"/>
                <w:szCs w:val="18"/>
                <w:color w:val="auto"/>
                <w:w w:val="93"/>
              </w:rPr>
              <w:t>2,352</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2,101</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54.8</w:t>
            </w: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title premiums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3,671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3"/>
              </w:rPr>
              <w:t>4,152</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3,833</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446"/>
        </w:trPr>
        <w:tc>
          <w:tcPr>
            <w:tcW w:w="3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ind w:right="434"/>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Title premiums decreased 12% in the year ended December 31, 2014 as compared to the 2013 period. The decrease was made up of a decrease in premiums from direct operations of $73 million, or 4% and a decrease in premiums from agency operations of $408 million, or 17% in the year ended December 31, 2014. Title premiums increased 8% in the year ended December 31, 2013 as compared to the 2012 period. The increase was made up of a increase in premiums from direct operations of $68 million, or 4% and an increase in premiums from agency operations of $251 million, or 12% in the year ended December 31, 2013.</w:t>
      </w:r>
    </w:p>
    <w:p>
      <w:pPr>
        <w:spacing w:after="0" w:line="134" w:lineRule="exact"/>
        <w:rPr>
          <w:sz w:val="20"/>
          <w:szCs w:val="20"/>
          <w:color w:val="auto"/>
        </w:rPr>
      </w:pPr>
    </w:p>
    <w:p>
      <w:pPr>
        <w:ind w:left="40" w:right="40" w:firstLine="243"/>
        <w:spacing w:after="0" w:line="277" w:lineRule="auto"/>
        <w:rPr>
          <w:sz w:val="20"/>
          <w:szCs w:val="20"/>
          <w:color w:val="auto"/>
        </w:rPr>
      </w:pPr>
      <w:r>
        <w:rPr>
          <w:rFonts w:ascii="Arial" w:cs="Arial" w:eastAsia="Arial" w:hAnsi="Arial"/>
          <w:sz w:val="18"/>
          <w:szCs w:val="18"/>
          <w:color w:val="auto"/>
        </w:rPr>
        <w:t>The following table presents the percentages of opened and closed title insurance orders generated by purchase and refinance transactions by our direct operations:</w:t>
      </w:r>
    </w:p>
    <w:p>
      <w:pPr>
        <w:spacing w:after="0" w:line="68"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4824730</wp:posOffset>
            </wp:positionH>
            <wp:positionV relativeFrom="paragraph">
              <wp:posOffset>23495</wp:posOffset>
            </wp:positionV>
            <wp:extent cx="24269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6"/>
                <w:szCs w:val="16"/>
                <w:color w:val="auto"/>
              </w:rPr>
            </w:pPr>
          </w:p>
        </w:tc>
        <w:tc>
          <w:tcPr>
            <w:tcW w:w="12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526"/>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Opened title insurance orders from purchase transactions (1)</w:t>
            </w:r>
          </w:p>
        </w:tc>
        <w:tc>
          <w:tcPr>
            <w:tcW w:w="880" w:type="dxa"/>
            <w:vAlign w:val="bottom"/>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Opened title insurance orders from refinance transactions (1)</w:t>
            </w:r>
          </w:p>
        </w:tc>
        <w:tc>
          <w:tcPr>
            <w:tcW w:w="8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53.9</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37"/>
        </w:trPr>
        <w:tc>
          <w:tcPr>
            <w:tcW w:w="76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67"/>
        </w:trPr>
        <w:tc>
          <w:tcPr>
            <w:tcW w:w="76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76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920" w:type="dxa"/>
            <w:vAlign w:val="bottom"/>
            <w:gridSpan w:val="2"/>
          </w:tcPr>
          <w:p>
            <w:pPr>
              <w:ind w:left="40"/>
              <w:spacing w:after="0"/>
              <w:rPr>
                <w:sz w:val="20"/>
                <w:szCs w:val="20"/>
                <w:color w:val="auto"/>
              </w:rPr>
            </w:pPr>
            <w:r>
              <w:rPr>
                <w:rFonts w:ascii="Arial" w:cs="Arial" w:eastAsia="Arial" w:hAnsi="Arial"/>
                <w:sz w:val="18"/>
                <w:szCs w:val="18"/>
                <w:color w:val="auto"/>
              </w:rPr>
              <w:t>Closed title insurance orders from purchase transactions (1)</w:t>
            </w:r>
          </w:p>
        </w:tc>
        <w:tc>
          <w:tcPr>
            <w:tcW w:w="88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42.6%</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7"/>
        </w:trPr>
        <w:tc>
          <w:tcPr>
            <w:tcW w:w="7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Closed title insurance orders from refinance transactions (1)</w:t>
            </w:r>
          </w:p>
        </w:tc>
        <w:tc>
          <w:tcPr>
            <w:tcW w:w="8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57.4</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37"/>
        </w:trPr>
        <w:tc>
          <w:tcPr>
            <w:tcW w:w="76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760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600" w:type="dxa"/>
            <w:vAlign w:val="bottom"/>
            <w:vMerge w:val="continue"/>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0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920" w:type="dxa"/>
            <w:vAlign w:val="bottom"/>
            <w:gridSpan w:val="2"/>
          </w:tcPr>
          <w:p>
            <w:pPr>
              <w:spacing w:after="0"/>
              <w:rPr>
                <w:sz w:val="20"/>
                <w:szCs w:val="20"/>
                <w:color w:val="auto"/>
              </w:rPr>
            </w:pPr>
            <w:r>
              <w:rPr>
                <w:rFonts w:ascii="Arial" w:cs="Arial" w:eastAsia="Arial" w:hAnsi="Arial"/>
                <w:sz w:val="18"/>
                <w:szCs w:val="18"/>
                <w:color w:val="auto"/>
                <w:w w:val="92"/>
              </w:rPr>
              <w:t>(1)  Percentages exclude consideration of an immaterial number of non-purchase and non-refinance orders.</w:t>
            </w: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Title premiums from direct operations decreased in 2014, primarily due to a decrease in closed order volumes as compared to the prior year, partially offset by an increase of $120 million in the year ended December 31, 2014, related to the transaction services business acquired from LPS on January 2, 2014, a portion of which previously was included in our agency title premiums. Also offsetting the decline in orders was an increase in commercial revenue from the 2013 period and increase in the commercial fee per file. The decrease in order volumes was primarily related to a significant decrease in refinance transactions since the fourth quarter of 2013. In 2013, refinance transactions represented more than 60% of our total closed orders versus approximately 40% in 2014. Closed order volumes were 1,319,000 in the year ended December 31, 2014 compared with 1,708,000 in the year ended December 31, 2013. Although there was a decrease in closed order volumes in 2014, this was partially offset by a 14% increase in the fee per file in the year ended December 31, 2014. The average fee per file in our direct operations was $2,014 in the year ended December 31,2014, compared to $1,708 in the year ended December 31, 2013, with the increase reflecting a higher volume of purchase transactions, which have a higher fee per file. The fee per file tends to change as the mix of refinance and purchase transactions changes, because purchase transactions involve the issuance of both a lender’s policy and an owner’s policy, resulting in higher fees, whereas refinance transactions only require a lender’s policy, resulting in lower fees. Also, commercial transactions typically have a higher fee per file.</w:t>
      </w:r>
    </w:p>
    <w:p>
      <w:pPr>
        <w:spacing w:after="0" w:line="7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decrease in title premiums from agency operations is primarily the result of the overall decline in real estate activity since the prior year. The decrease was consistent with the decrease in direct operations, except that the direct operations benefited from the addition of the transaction services business acquired from LPS on January 2, 2014, as discussed above.</w:t>
      </w:r>
    </w:p>
    <w:p>
      <w:pPr>
        <w:spacing w:after="0" w:line="7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Escrow, title related and other fees increased by $258 million, or 16%, in the year ended December 31, 2014 from 2013 and decreased by $16 million, or 1%, in the year ended December 31, 2013 from 2012. Escrow fees, which are more directly related to our direct operations, decreased $107 million, or 16%, in the year ended December 31, 2014 compared to the 2013 period and decreased $16 million, or 2%, in the year ended December 31, 2013 compared to the 2012 period. In both periods the decrease is consistent with the decrease in direct title premiums. The decrease in Escrow fees in 2014 was offset by the addition of $82 million related to the transaction services business acquired from LPS on January 2, 2014.</w:t>
      </w:r>
    </w:p>
    <w:p>
      <w:pPr>
        <w:spacing w:after="0" w:line="6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Other fees in the Title segment, excluding escrow fees, increased $364 million, or 40%, in the year ended December 31, 2014 compared to the 2013 period and increased $2 million, or 1%, in the year ended December 31, 2013 compared to the 2012 period. The increase in other fees was primarily due to the addition of $233 million year ended December 31, 2014, related to the transaction services business acquired from LPS on January 2, 2014.</w:t>
      </w:r>
    </w:p>
    <w:p>
      <w:pPr>
        <w:spacing w:after="0" w:line="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Interest and investment income levels are primarily a function of securities markets, interest rates and the amount of cash available for investment. Interest and investment income decreased $5 million in the year ended December 31, 2014 compared to the 2013 period and decreased $12 million in the year ended December 31,2013 compared to the 2012 period. The decrease is due primarily to decreases in market interest rates and in turn lower bond yields in both periods.</w:t>
      </w:r>
    </w:p>
    <w:p>
      <w:pPr>
        <w:spacing w:after="0" w:line="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Personnel costs include base salaries, commissions, benefits, stock-based compensation and bonuses paid to employees, and are one of our most significant operating expenses. The $51 million, or 3% increase in the year ended December 31, 2014 compared</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5"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the 2013 period is due to additional expense related to the Transaction Services business acquired from LPS in January 2014, severance expense of $20 million and an accrual for bonuses to be paid on our synergy bonus program of $30 million recorded in the year. Personnel costs as a percentage of total revenues from direct title premiums and escrow, title-related and other fees was 53% and 54% for the periods ended December 31,2014 and December 31,2013. Average employee count in the Title segment was 19,470 and 18,954 in the periods ended December 31,2014 and 2013, respectively. The increase in the 2014 period includes reductions in headcount as a result of synergies realized with the merger of the LPS transaction services business with the historical title business, offset by an increase of 2,668 employees from the LPS acquisition in January 2014. The reduction in personnel during 2014 also relates to decreases in orders and revenues.</w:t>
      </w:r>
    </w:p>
    <w:p>
      <w:pPr>
        <w:spacing w:after="0" w:line="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Other operating expenses consist primarily of facilities expenses, title plant maintenance, premium taxes (which insurance underwriters are required to pay on title premiums in lieu of franchise and other state taxes), postage and courier services, computer services, professional services, travel expenses, general insurance, and bad debt expense on our trade and notes receivable. Other operating expenses increased $274 million, or 25% in the year ended December 31, 2014 from 2013. Other operating expenses increased due to the addition of the transaction services business acquired from LPS. Also affecting the period ended December 31,2014 were $35 million of transaction costs related to the LPS acquisition.</w:t>
      </w:r>
    </w:p>
    <w:p>
      <w:pPr>
        <w:spacing w:after="0" w:line="64"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Agent commissions represent the portion of premiums retained by agents pursuant to the terms of their respective agency contracts. Agent commissions and the resulting percentage of agent premiums we retain vary according to regional differences in real estate closing practices and state regulations.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illustrates the relationship of agent title premiums and agent commissions: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3"/>
              </w:rPr>
              <w:t>Year Ended December 31,</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264"/>
        </w:trPr>
        <w:tc>
          <w:tcPr>
            <w:tcW w:w="39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2014</w:t>
            </w:r>
          </w:p>
        </w:tc>
        <w:tc>
          <w:tcPr>
            <w:tcW w:w="8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center"/>
              <w:ind w:right="1020"/>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jc w:val="right"/>
              <w:ind w:right="1060"/>
              <w:spacing w:after="0"/>
              <w:rPr>
                <w:sz w:val="20"/>
                <w:szCs w:val="20"/>
                <w:color w:val="auto"/>
              </w:rPr>
            </w:pPr>
            <w:r>
              <w:rPr>
                <w:rFonts w:ascii="Arial" w:cs="Arial" w:eastAsia="Arial" w:hAnsi="Arial"/>
                <w:sz w:val="14"/>
                <w:szCs w:val="14"/>
                <w:b w:val="1"/>
                <w:bCs w:val="1"/>
                <w:color w:val="auto"/>
                <w:w w:val="96"/>
              </w:rPr>
              <w:t>2012</w:t>
            </w:r>
          </w:p>
        </w:tc>
      </w:tr>
      <w:tr>
        <w:trPr>
          <w:trHeight w:val="264"/>
        </w:trPr>
        <w:tc>
          <w:tcPr>
            <w:tcW w:w="39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4"/>
                <w:szCs w:val="14"/>
                <w:b w:val="1"/>
                <w:bCs w:val="1"/>
                <w:color w:val="auto"/>
              </w:rPr>
              <w:t>Amount</w:t>
            </w:r>
          </w:p>
        </w:tc>
        <w:tc>
          <w:tcPr>
            <w:tcW w:w="8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Amount</w:t>
            </w:r>
          </w:p>
        </w:tc>
        <w:tc>
          <w:tcPr>
            <w:tcW w:w="138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Amount</w:t>
            </w:r>
          </w:p>
        </w:tc>
        <w:tc>
          <w:tcPr>
            <w:tcW w:w="138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w:t>
            </w:r>
          </w:p>
        </w:tc>
      </w:tr>
      <w:tr>
        <w:trPr>
          <w:trHeight w:val="196"/>
        </w:trPr>
        <w:tc>
          <w:tcPr>
            <w:tcW w:w="3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(Dollars in millions)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5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Agent title premiums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1,944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1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Agent commissions</w:t>
            </w:r>
          </w:p>
        </w:tc>
        <w:tc>
          <w:tcPr>
            <w:tcW w:w="22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1,471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94"/>
              <w:spacing w:after="0"/>
              <w:rPr>
                <w:sz w:val="20"/>
                <w:szCs w:val="20"/>
                <w:color w:val="auto"/>
              </w:rPr>
            </w:pPr>
            <w:r>
              <w:rPr>
                <w:rFonts w:ascii="Arial" w:cs="Arial" w:eastAsia="Arial" w:hAnsi="Arial"/>
                <w:sz w:val="18"/>
                <w:szCs w:val="18"/>
                <w:color w:val="auto"/>
              </w:rPr>
              <w:t>75.7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1,789</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76.1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1,600</w:t>
            </w:r>
          </w:p>
        </w:tc>
        <w:tc>
          <w:tcPr>
            <w:tcW w:w="1380" w:type="dxa"/>
            <w:vAlign w:val="bottom"/>
            <w:gridSpan w:val="3"/>
          </w:tcPr>
          <w:p>
            <w:pPr>
              <w:jc w:val="right"/>
              <w:ind w:right="180"/>
              <w:spacing w:after="0"/>
              <w:rPr>
                <w:sz w:val="20"/>
                <w:szCs w:val="20"/>
                <w:color w:val="auto"/>
              </w:rPr>
            </w:pPr>
            <w:r>
              <w:rPr>
                <w:rFonts w:ascii="Arial" w:cs="Arial" w:eastAsia="Arial" w:hAnsi="Arial"/>
                <w:sz w:val="18"/>
                <w:szCs w:val="18"/>
                <w:color w:val="auto"/>
              </w:rPr>
              <w:t>76.2</w:t>
            </w: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39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Net retained agent premiums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3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23.8%</w:t>
            </w: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margin from agency title insurance premiums retained as a percentage of total agency premiums in the year ended December 31, 2014 remained consistent with 2013 and 2012.</w:t>
      </w:r>
    </w:p>
    <w:p>
      <w:pPr>
        <w:spacing w:after="0" w:line="3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provision for title claim losses includes an estimate of anticipated title and title-related claims and escrow losses. The estimate of anticipated title and title-related claims is accrued as a percentage of title premium revenue based on our historical loss experience and other relevant factors. Any significant adjustments to strengthen or release loss reserves resulting from the comparison with our actuarial analysis are made in addition to this loss provision rate. After considering historical claim losses, reporting patterns and current market information, and analyzing quantitative and qualitative data provided by our legal, claims and underwriting departments, we determine a loss provision rate, which is recorded as a percentage of current title premiums. This loss provision rate is set to provide for losses on current year policies, but due to development of prior years and our long claim duration, it periodically includes amounts of estimated adverse or positive development on prior years' policies. Effective April 1, 2014, we revised our loss provision rate to 6% from 7% primarily due to favorable development on more recent policy year claims.</w:t>
      </w:r>
    </w:p>
    <w:p>
      <w:pPr>
        <w:spacing w:after="0" w:line="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claim loss provision for title insurance was $228 million, $291 million, and $279 million for the years ended December 31, 2014, 2013, and 2012, respectively. These amounts reflected average claim loss provision rates of 6.2% for 2014 and 7.0% of title premiums for 2013 and 2012. The claim loss provision for 2012 also includes an $11 million impairment recorded on an asset previously recouped as part of a claim settlement. We will continue to monitor and evaluate our loss provision level, actual claims paid, and the loss reserve position each quarter.</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BKFS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of this segment for the year ended December 31, 2014, include the results of BKFS and subsidiaries, which were initially consolidated on January 2, 2014, the date on which we acquired LPS.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5" w:right="2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00" w:type="dxa"/>
            <w:vAlign w:val="bottom"/>
          </w:tcPr>
          <w:p>
            <w:pPr>
              <w:spacing w:after="0"/>
              <w:rPr>
                <w:sz w:val="14"/>
                <w:szCs w:val="14"/>
                <w:color w:val="auto"/>
              </w:rPr>
            </w:pPr>
          </w:p>
        </w:tc>
        <w:tc>
          <w:tcPr>
            <w:tcW w:w="1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r>
      <w:tr>
        <w:trPr>
          <w:trHeight w:val="192"/>
        </w:trPr>
        <w:tc>
          <w:tcPr>
            <w:tcW w:w="95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394"/>
              <w:spacing w:after="0"/>
              <w:rPr>
                <w:sz w:val="20"/>
                <w:szCs w:val="20"/>
                <w:color w:val="auto"/>
              </w:rPr>
            </w:pPr>
            <w:r>
              <w:rPr>
                <w:rFonts w:ascii="Arial" w:cs="Arial" w:eastAsia="Arial" w:hAnsi="Arial"/>
                <w:sz w:val="14"/>
                <w:szCs w:val="14"/>
                <w:b w:val="1"/>
                <w:bCs w:val="1"/>
                <w:color w:val="auto"/>
                <w:w w:val="89"/>
              </w:rPr>
              <w:t>2014</w:t>
            </w:r>
          </w:p>
        </w:tc>
      </w:tr>
      <w:tr>
        <w:trPr>
          <w:trHeight w:val="190"/>
        </w:trPr>
        <w:tc>
          <w:tcPr>
            <w:tcW w:w="9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40" w:type="dxa"/>
            <w:vAlign w:val="bottom"/>
          </w:tcPr>
          <w:p>
            <w:pPr>
              <w:jc w:val="center"/>
              <w:ind w:right="394"/>
              <w:spacing w:after="0"/>
              <w:rPr>
                <w:sz w:val="20"/>
                <w:szCs w:val="20"/>
                <w:color w:val="auto"/>
              </w:rPr>
            </w:pPr>
            <w:r>
              <w:rPr>
                <w:rFonts w:ascii="Arial" w:cs="Arial" w:eastAsia="Arial" w:hAnsi="Arial"/>
                <w:sz w:val="14"/>
                <w:szCs w:val="14"/>
                <w:b w:val="1"/>
                <w:bCs w:val="1"/>
                <w:color w:val="auto"/>
                <w:w w:val="96"/>
              </w:rPr>
              <w:t>(In millions)</w:t>
            </w:r>
          </w:p>
        </w:tc>
      </w:tr>
      <w:tr>
        <w:trPr>
          <w:trHeight w:val="255"/>
        </w:trPr>
        <w:tc>
          <w:tcPr>
            <w:tcW w:w="9500" w:type="dxa"/>
            <w:vAlign w:val="bottom"/>
          </w:tcPr>
          <w:p>
            <w:pPr>
              <w:ind w:left="40"/>
              <w:spacing w:after="0"/>
              <w:rPr>
                <w:sz w:val="20"/>
                <w:szCs w:val="20"/>
                <w:color w:val="auto"/>
              </w:rPr>
            </w:pPr>
            <w:r>
              <w:rPr>
                <w:rFonts w:ascii="Arial" w:cs="Arial" w:eastAsia="Arial" w:hAnsi="Arial"/>
                <w:sz w:val="18"/>
                <w:szCs w:val="18"/>
                <w:color w:val="auto"/>
              </w:rPr>
              <w:t>Revenues:</w:t>
            </w:r>
          </w:p>
        </w:tc>
        <w:tc>
          <w:tcPr>
            <w:tcW w:w="480" w:type="dxa"/>
            <w:vAlign w:val="bottom"/>
          </w:tcPr>
          <w:p>
            <w:pPr>
              <w:spacing w:after="0"/>
              <w:rPr>
                <w:sz w:val="22"/>
                <w:szCs w:val="22"/>
                <w:color w:val="auto"/>
              </w:rPr>
            </w:pPr>
          </w:p>
        </w:tc>
        <w:tc>
          <w:tcPr>
            <w:tcW w:w="1440" w:type="dxa"/>
            <w:vAlign w:val="bottom"/>
          </w:tcPr>
          <w:p>
            <w:pPr>
              <w:spacing w:after="0"/>
              <w:rPr>
                <w:sz w:val="22"/>
                <w:szCs w:val="22"/>
                <w:color w:val="auto"/>
              </w:rPr>
            </w:pPr>
          </w:p>
        </w:tc>
      </w:tr>
      <w:tr>
        <w:trPr>
          <w:trHeight w:val="27"/>
        </w:trPr>
        <w:tc>
          <w:tcPr>
            <w:tcW w:w="9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revenues</w:t>
            </w:r>
          </w:p>
        </w:tc>
        <w:tc>
          <w:tcPr>
            <w:tcW w:w="4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852</w:t>
            </w:r>
          </w:p>
        </w:tc>
      </w:tr>
      <w:tr>
        <w:trPr>
          <w:trHeight w:val="243"/>
        </w:trPr>
        <w:tc>
          <w:tcPr>
            <w:tcW w:w="9500" w:type="dxa"/>
            <w:vAlign w:val="bottom"/>
          </w:tcPr>
          <w:p>
            <w:pPr>
              <w:ind w:left="40"/>
              <w:spacing w:after="0"/>
              <w:rPr>
                <w:sz w:val="20"/>
                <w:szCs w:val="20"/>
                <w:color w:val="auto"/>
              </w:rPr>
            </w:pPr>
            <w:r>
              <w:rPr>
                <w:rFonts w:ascii="Arial" w:cs="Arial" w:eastAsia="Arial" w:hAnsi="Arial"/>
                <w:sz w:val="18"/>
                <w:szCs w:val="18"/>
                <w:color w:val="auto"/>
              </w:rPr>
              <w:t>Expenses:</w:t>
            </w:r>
          </w:p>
        </w:tc>
        <w:tc>
          <w:tcPr>
            <w:tcW w:w="48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9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Personnel costs</w:t>
            </w: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449</w:t>
            </w:r>
          </w:p>
        </w:tc>
      </w:tr>
      <w:tr>
        <w:trPr>
          <w:trHeight w:val="243"/>
        </w:trPr>
        <w:tc>
          <w:tcPr>
            <w:tcW w:w="950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48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199</w:t>
            </w:r>
          </w:p>
        </w:tc>
      </w:tr>
      <w:tr>
        <w:trPr>
          <w:trHeight w:val="27"/>
        </w:trPr>
        <w:tc>
          <w:tcPr>
            <w:tcW w:w="9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4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188</w:t>
            </w:r>
          </w:p>
        </w:tc>
      </w:tr>
      <w:tr>
        <w:trPr>
          <w:trHeight w:val="243"/>
        </w:trPr>
        <w:tc>
          <w:tcPr>
            <w:tcW w:w="950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480" w:type="dxa"/>
            <w:vAlign w:val="bottom"/>
          </w:tcPr>
          <w:p>
            <w:pPr>
              <w:spacing w:after="0"/>
              <w:rPr>
                <w:sz w:val="21"/>
                <w:szCs w:val="21"/>
                <w:color w:val="auto"/>
              </w:rPr>
            </w:pP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31</w:t>
            </w:r>
          </w:p>
        </w:tc>
      </w:tr>
      <w:tr>
        <w:trPr>
          <w:trHeight w:val="27"/>
        </w:trPr>
        <w:tc>
          <w:tcPr>
            <w:tcW w:w="95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4"/>
        </w:trPr>
        <w:tc>
          <w:tcPr>
            <w:tcW w:w="95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expenses</w:t>
            </w:r>
          </w:p>
        </w:tc>
        <w:tc>
          <w:tcPr>
            <w:tcW w:w="4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867</w:t>
            </w:r>
          </w:p>
        </w:tc>
      </w:tr>
      <w:tr>
        <w:trPr>
          <w:trHeight w:val="257"/>
        </w:trPr>
        <w:tc>
          <w:tcPr>
            <w:tcW w:w="9500" w:type="dxa"/>
            <w:vAlign w:val="bottom"/>
          </w:tcPr>
          <w:p>
            <w:pPr>
              <w:ind w:left="40"/>
              <w:spacing w:after="0"/>
              <w:rPr>
                <w:sz w:val="20"/>
                <w:szCs w:val="20"/>
                <w:color w:val="auto"/>
              </w:rPr>
            </w:pPr>
            <w:r>
              <w:rPr>
                <w:rFonts w:ascii="Arial" w:cs="Arial" w:eastAsia="Arial" w:hAnsi="Arial"/>
                <w:sz w:val="18"/>
                <w:szCs w:val="18"/>
                <w:color w:val="auto"/>
              </w:rPr>
              <w:t>Loss from continuing operations before income taxes</w:t>
            </w:r>
          </w:p>
        </w:tc>
        <w:tc>
          <w:tcPr>
            <w:tcW w:w="48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95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The results of the BKFS segment were negatively affected by costs related to the acquisition and integration of LPS by FNF since January 2, 2014. During the year ended December 31, 2014, the results of BKFS contain $53 million of transaction expenses and $12 million for merger related litigation expense, which were included in other operating expenses. Included within personnel costs in the year ended December 31, 2014 were $27 million in severance expenses relating to the acquisition and $31 million expense for bonuses under our synergy bonus program. Depreciation and amortization for the year ended December 31, 2014 includes $95 million related to assets acquired with LPS and marked to fair value in purchase accounting.</w:t>
      </w:r>
    </w:p>
    <w:p>
      <w:pPr>
        <w:spacing w:after="0" w:line="64"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color w:val="auto"/>
        </w:rPr>
        <w:t>Excluding these merger related costs and depreciation and amortization related the fair value adjustment of assets acquired with the LPS acquisition, earnings from continuing operations before income taxes in the year ended December 31, 2014 was $203 million for the BKFS segment.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FNF Core Corporate and Other</w:t>
      </w:r>
    </w:p>
    <w:p>
      <w:pPr>
        <w:spacing w:after="0" w:line="11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FNF Core Corporate and Other segment consists of the operations of the parent holding company, certain other unallocated corporate overhead expenses, and other smaller real estate and insurance related operations. Also included in this segment are eliminations of revenues and expenses between our other core segments.</w:t>
      </w:r>
    </w:p>
    <w:p>
      <w:pPr>
        <w:spacing w:after="0" w:line="7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FNF Core Corporate and Other segment generated revenues of $(14) million, $49 million and $45 million for the years ended December 31, 2014, 2013 and 2012, respectively. The decrease in the 2014 period is due to inclusion of an elimination of revenues between our BKFS segment and our Title segment, which we began eliminating upon the acquisition of LPS in 2014.</w:t>
      </w:r>
    </w:p>
    <w:p>
      <w:pPr>
        <w:spacing w:after="0" w:line="7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Other operating expenses in the FNF Core Corporate and Other segment were $(12) million, $93 million and $60 million for the years ended December 31, 2014, 2013 and 2012, respectively. The decrease in the 2014 period from the 2013 period is due to a $29 million allocation of transaction costs from the FNF Core Corporate segment to BKFS in 2014 and the 2013 period including a $20 million accrual related to an employment litigation matter and $3 million in transaction costs related to the LPS acquisition The decrease in both periods is also due to the elimination of revenues between our BKFS segment and our Title segment, which we began eliminating upon the acquisition of LPS in 2014.</w:t>
      </w:r>
    </w:p>
    <w:p>
      <w:pPr>
        <w:spacing w:after="0" w:line="8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Interest expense was $91million, $68 million and $60 million for the years ended December 31, 2014, 2013 and 2012, respectively. The increase in the 2014 period is due to additional borrowings in January 2014 to finance the acquisition of LPS.</w:t>
      </w:r>
    </w:p>
    <w:p>
      <w:pPr>
        <w:spacing w:after="0" w:line="6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This segment generated pretax losses of $121 million, $152 million and $157 million for the years ended December 31, 2014, 2013 and 2012, respectively, with the change in the 2014 period due to the reasons discussed above, primarily the change in Other operating expenses.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FNFV</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Restaurant Group</w:t>
      </w:r>
    </w:p>
    <w:p>
      <w:pPr>
        <w:spacing w:after="0" w:line="11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year ended December 31, 2013 was the first full twelve-month period for which operating results for the Restaurant Group segment have been consolidated. The results for the year ended December 31, 2012 reflect results of O'Charley's Inc. and subsidiaries as of the date of acquisition, April 9, 2012 through December 31, 2012, the results of ABRH as of the date of merger with O'Charley's, May 11, 2012 through December 31, 2012, as well as the results of J. Alexander's as of the date of acquisition, September 26, 2012 through December 31, 2012.</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5"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2012</w:t>
            </w:r>
          </w:p>
        </w:tc>
      </w:tr>
      <w:tr>
        <w:trPr>
          <w:trHeight w:val="190"/>
        </w:trPr>
        <w:tc>
          <w:tcPr>
            <w:tcW w:w="7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(In millions)</w:t>
            </w: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5"/>
        </w:trPr>
        <w:tc>
          <w:tcPr>
            <w:tcW w:w="7780" w:type="dxa"/>
            <w:vAlign w:val="bottom"/>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Restaurant revenue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1,436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1,408</w:t>
            </w:r>
          </w:p>
        </w:tc>
        <w:tc>
          <w:tcPr>
            <w:tcW w:w="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908</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Realized gains and losses, net</w:t>
            </w:r>
          </w:p>
        </w:tc>
        <w:tc>
          <w:tcPr>
            <w:tcW w:w="2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119</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7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1,407</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1,027</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Expenses: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Personnel costs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65</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Cost of restaurant revenue</w:t>
            </w:r>
          </w:p>
        </w:tc>
        <w:tc>
          <w:tcPr>
            <w:tcW w:w="2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1,220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1,204</w:t>
            </w:r>
          </w:p>
        </w:tc>
        <w:tc>
          <w:tcPr>
            <w:tcW w:w="34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773</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operating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65</w:t>
            </w: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w:t>
            </w:r>
          </w:p>
        </w:tc>
      </w:tr>
      <w:tr>
        <w:trPr>
          <w:trHeight w:val="243"/>
        </w:trPr>
        <w:tc>
          <w:tcPr>
            <w:tcW w:w="778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35</w:t>
            </w: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w:t>
            </w: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r>
      <w:tr>
        <w:trPr>
          <w:trHeight w:val="237"/>
        </w:trPr>
        <w:tc>
          <w:tcPr>
            <w:tcW w:w="7780" w:type="dxa"/>
            <w:vAlign w:val="bottom"/>
          </w:tcPr>
          <w:p>
            <w:pPr>
              <w:ind w:left="540"/>
              <w:spacing w:after="0"/>
              <w:rPr>
                <w:sz w:val="20"/>
                <w:szCs w:val="20"/>
                <w:color w:val="auto"/>
              </w:rPr>
            </w:pPr>
            <w:r>
              <w:rPr>
                <w:rFonts w:ascii="Arial" w:cs="Arial" w:eastAsia="Arial" w:hAnsi="Arial"/>
                <w:sz w:val="18"/>
                <w:szCs w:val="18"/>
                <w:color w:val="auto"/>
              </w:rPr>
              <w:t>Total expenses</w:t>
            </w:r>
          </w:p>
        </w:tc>
        <w:tc>
          <w:tcPr>
            <w:tcW w:w="2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1,410</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1,395</w:t>
            </w:r>
          </w:p>
        </w:tc>
        <w:tc>
          <w:tcPr>
            <w:tcW w:w="3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925</w:t>
            </w: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from continuing operations before income taxes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12</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102</w:t>
            </w: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Total revenues for the Restaurant group segment increased $16 million, or 1.1% in the year ended December 31, 2014, from the 2013 period mainly due to increased same store sales at ABRH and J. Alexander's. Total revenues increased $380 million, or 37.0% in the year ended December 31, 2013, from the 2012 period. The year ended December 31, 2013 is the first full twelve-month period for which operating results for the Restaurant Group segment have been consolidated.</w:t>
      </w:r>
    </w:p>
    <w:p>
      <w:pPr>
        <w:spacing w:after="0" w:line="18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Restaurant revenue increased $28 million or 19.9% and cost of restaurant revenue increased $16 million, or 1.3% in the year ended December 31, 2014, from the 2013 period mainly due to increased same store sales at ABRH and J. Alexander's as the expense trends with revenue.</w:t>
      </w:r>
    </w:p>
    <w:p>
      <w:pPr>
        <w:spacing w:after="0" w:line="3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Earnings from continuing operations before income taxes increased $1 million in the year ended December 31, 2014 from the 2013 period. Earnings from continuing operations before income taxes decreased $90 million in the year ended December 31, 2013 from the 2012 period mainly due to the results of the Restaurant group segment in 2012 including gains of $119 million on the consolidation of the Restaurant Group segment as a result of the acquisition. Prior to its consolidation on April 9, 2012, we held a $14 million investment in common stock of O'Charley's, Inc., which was included in Equity securities available for sale on the Consolidated Balance Sheet and a $37 million investment in ABRH which was included in Investments in unconsolidated affiliates on the Consolidated Balance Sheet. As a result of the difference between our basis in these investments and the fair value at the time of consolidation, we recognized a $73 million realized gain during the year ended December 31, 2012. We also recognized a $48 million bargain purchase gain relating to the acquisition of O'Charley's. See Note B in the Notes to Consolidated Financial Statements for further discussion. Also included in the results of operations of the Restaurant Group for the year ended December 31, 2012 were $19 million of acquisition, transaction, and integration costs related to the O'Charley's acquisition.</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FNFV Corporate and Other</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FNFV Corporate and Other segment includes our share in the operations of certain equity investments, including Ceridian, Digital Insurance, Cascade Timberlands and other smaller operations. This segment also includes our Long Term Incentive Plan ("LTIP") established during 2012 which is tied to the fair value of certain of our FNFV investments. During 2014, the LTIP was frozen and then was terminated on December 31, 2014. Also during 2014, we established our Investment Success Incentive Program ("ISIP") which is tied to monetization or liquidity events relating to our investments, and such events result in realized or realizable pre-tax gains.</w:t>
      </w:r>
    </w:p>
    <w:p>
      <w:pPr>
        <w:spacing w:after="0" w:line="5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FNFV Corporate and Other segment generated revenues of $110 million, $87 million, and $15 million for the years ended December 31, 2014, 2013, and 2012, respectively. Revenues increased $23 million in 2014 compared to 2013 and increased $72 million in 2013 compared to 2012. The increase in 2013 was mainly attributable to the addition of Digital Insurance at the end of 2012, which contributed $69 million in revenue during 2013.</w:t>
      </w:r>
    </w:p>
    <w:p>
      <w:pPr>
        <w:spacing w:after="0" w:line="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Personnel costs were $101 million in 2014, $114 million in 2013 and $25 million in 2012. Personnel costs in 2014 include a $19 million accrual for our ISIP. Personnel costs in 2013 include a $54 million accrual for our LTIP. Also included in 2013 were an additional $43 million of personnel costs at Digital Insurance, which was acquired in December of 2012. Personnel costs in 2012 include an $10 million accrual for the LTIP.</w:t>
      </w:r>
    </w:p>
    <w:p>
      <w:pPr>
        <w:spacing w:after="0" w:line="3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This segment generated pretax losses of $27 million, $52 million, and $25 million for the years ended December 31, 2014, 2013, and 2012, respectively. The change in pretax earnings in all periods is primarily related to the additional LTIP expense. The 2014 period includes a $15 million impairment on one of the unconsolidated affiliates owned by FNFV. The 2012 period includes a $6 million impairment on land held at Cascade Timberlands.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Cash Requirements. </w:t>
      </w:r>
      <w:r>
        <w:rPr>
          <w:rFonts w:ascii="Arial" w:cs="Arial" w:eastAsia="Arial" w:hAnsi="Arial"/>
          <w:sz w:val="18"/>
          <w:szCs w:val="18"/>
          <w:color w:val="auto"/>
        </w:rPr>
        <w:t>Our current cash requirements include personnel costs, operating expenses, claim payments, taxes, payments of interest and</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on our debt, capital expenditures, business acquisitions, stock repurchases and dividends on our common stock. We paid dividends of $0.73 per share during 2014, or approximately $203 million. On January 27, 2015, our Board of Directors formally declared an $0.19 per share cash dividend that is payable on March 31, 2015 to FNF Group shareholders of record as of March 17, 2015. There are no restrictions on our retained earnings regarding our ability to pay dividends to shareholders, although there are limits on the ability of certain subsidiaries to pay dividends to us, as described below. The declaration of any future dividends is at the discretion of our Board of Directors. Additional uses of cash flow are expected to include stock repurchases, acquisitions, and debt repayments.</w:t>
      </w:r>
    </w:p>
    <w:p>
      <w:pPr>
        <w:spacing w:after="0" w:line="1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continually assess our capital allocation strategy, including decisions relating to the amount of our dividend, reducing debt, repurchasing our stock, and/or conserving cash. We believe that all anticipated cash requirements for current operations will be met from internally generated funds, through cash dividends from subsidiaries, cash generated by investment securities, potential sales of non-strategic assets,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139" w:lineRule="exact"/>
        <w:rPr>
          <w:sz w:val="20"/>
          <w:szCs w:val="20"/>
          <w:color w:val="auto"/>
        </w:rPr>
      </w:pPr>
    </w:p>
    <w:p>
      <w:pPr>
        <w:jc w:val="both"/>
        <w:ind w:firstLine="383"/>
        <w:spacing w:after="0" w:line="286" w:lineRule="auto"/>
        <w:rPr>
          <w:sz w:val="20"/>
          <w:szCs w:val="20"/>
          <w:color w:val="auto"/>
        </w:rPr>
      </w:pPr>
      <w:r>
        <w:rPr>
          <w:rFonts w:ascii="Arial" w:cs="Arial" w:eastAsia="Arial" w:hAnsi="Arial"/>
          <w:sz w:val="17"/>
          <w:szCs w:val="17"/>
          <w:color w:val="auto"/>
        </w:rPr>
        <w:t>Our insurance subsidiaries generate cash from premiums earned and their respective investment portfolios and these funds are adequate to satisfy the payments of claims and other liabilities. Due to the magnitude of our investment portfolio in relation to our claims loss reserves, we do not specifically match durations of our investments to the cash outflows required to pay claims, but do manage outflows on a shorter time frame.</w:t>
      </w:r>
    </w:p>
    <w:p>
      <w:pPr>
        <w:spacing w:after="0" w:line="111" w:lineRule="exact"/>
        <w:rPr>
          <w:sz w:val="20"/>
          <w:szCs w:val="20"/>
          <w:color w:val="auto"/>
        </w:rPr>
      </w:pPr>
    </w:p>
    <w:p>
      <w:pPr>
        <w:jc w:val="both"/>
        <w:ind w:firstLine="383"/>
        <w:spacing w:after="0" w:line="254" w:lineRule="auto"/>
        <w:rPr>
          <w:sz w:val="20"/>
          <w:szCs w:val="20"/>
          <w:color w:val="auto"/>
        </w:rPr>
      </w:pPr>
      <w:r>
        <w:rPr>
          <w:rFonts w:ascii="Arial" w:cs="Arial" w:eastAsia="Arial" w:hAnsi="Arial"/>
          <w:sz w:val="18"/>
          <w:szCs w:val="18"/>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state of domicile regulates the extent to which our title underwriters can pay dividends or make distributions. As of December 31, 2014, $2,108 million of our net assets were restricted from dividend payments without prior approval from the relevant departments of insurance. During 2015, our title insurance subsidiaries can pay or make distributions to us of approximately $236 million without prior regulatory approval. Our underwritten title companies and non-title insurance subsidiaries collect revenue and pay operating expenses. However, they are not regulated to the same extent as our insurance subsidiaries.</w:t>
      </w:r>
    </w:p>
    <w:p>
      <w:pPr>
        <w:spacing w:after="0" w:line="138" w:lineRule="exact"/>
        <w:rPr>
          <w:sz w:val="20"/>
          <w:szCs w:val="20"/>
          <w:color w:val="auto"/>
        </w:rPr>
      </w:pPr>
    </w:p>
    <w:p>
      <w:pPr>
        <w:jc w:val="both"/>
        <w:ind w:firstLine="388"/>
        <w:spacing w:after="0" w:line="255" w:lineRule="auto"/>
        <w:rPr>
          <w:sz w:val="20"/>
          <w:szCs w:val="20"/>
          <w:color w:val="auto"/>
        </w:rPr>
      </w:pPr>
      <w:r>
        <w:rPr>
          <w:rFonts w:ascii="Arial" w:cs="Arial" w:eastAsia="Arial" w:hAnsi="Arial"/>
          <w:sz w:val="18"/>
          <w:szCs w:val="18"/>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interpretation of statutory accounting requirements by regulators.</w:t>
      </w:r>
    </w:p>
    <w:p>
      <w:pPr>
        <w:spacing w:after="0" w:line="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June 30, 2014, we completed the creation of a tracking stock for our portfolio company investments, now known as FNFV. The primary FNFV investments include our equity interests in ABRH, J. Alexander's, Ceridian, and Digital Insurance. We provided $200 million in financial support to FNFV comprised of $100 million in cash and $100 million in a line of credit, upon formation of the tracking stock. The $100 million in cash and the $100 million line of credit will be used for investment purposes, repurchasing FNFV stock or other general corporate purposes. From time to time, we may also provide additional loans to FNFV to cover corporate expenses and working capital. All additional investments in existing FNFV owned companies and any new FNFV company investments will be funded and managed by FNFV.</w:t>
      </w:r>
    </w:p>
    <w:p>
      <w:pPr>
        <w:spacing w:after="0" w:line="1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flow from FNF's core operations is expected to be used for general corporate purposes including to reinvest in core operations, repay debt, pay dividends, repurchase stock, other strategic initiatives or conserving cash.</w:t>
      </w:r>
    </w:p>
    <w:p>
      <w:pPr>
        <w:spacing w:after="0" w:line="2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focused on evaluating our FNFV assets and investments as potential vehicles for creating liquidity. Our intent is to use that liquidity for general corporate purposes, including payment of dividends as declared by the Board of Directors and potentially reducing debt, repurchasing shares of our stock, other strategic initiatives and/or conserving cash.</w:t>
      </w:r>
    </w:p>
    <w:p>
      <w:pPr>
        <w:spacing w:after="0" w:line="127" w:lineRule="exact"/>
        <w:rPr>
          <w:sz w:val="20"/>
          <w:szCs w:val="20"/>
          <w:color w:val="auto"/>
        </w:rPr>
      </w:pPr>
    </w:p>
    <w:p>
      <w:pPr>
        <w:jc w:val="both"/>
        <w:ind w:firstLine="383"/>
        <w:spacing w:after="0" w:line="259" w:lineRule="auto"/>
        <w:rPr>
          <w:sz w:val="20"/>
          <w:szCs w:val="20"/>
          <w:color w:val="auto"/>
        </w:rPr>
      </w:pPr>
      <w:r>
        <w:rPr>
          <w:rFonts w:ascii="Arial" w:cs="Arial" w:eastAsia="Arial" w:hAnsi="Arial"/>
          <w:sz w:val="18"/>
          <w:szCs w:val="18"/>
          <w:color w:val="auto"/>
        </w:rPr>
        <w:t>Our cash flows provided by operations for the years ended December 31, 2014, 2013, and 2012 were $567 million, $484 million and $620 million, respectively. The increase in cash provided by operations of $83 million from 2014 to 2013 is primarily due to increased earnings from operations, lower claims payments of $98 million, and a tax refund of $62 million on LPS acquisition costs. These decreases were offset by payments of $54 million in transaction costs and $47 million in severance payments both</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5"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relating to the acquisition of LPS and bonus payments of $124 million relating to our LTIP, ISIP, and synergy plans. The decrease in cash provided by operations of $136 million from 2013 to 2012 is due primarily to $16 million in transaction costs related to the acquisition of LPS, a $20 million employee litigation payment, a $12 million increase in prepaid assets, a $7 million payment for an executive severance payment at Remy, a $14 million final payment on a legal settlement and the remainder is attributable to the decrease in operating earnings.</w:t>
      </w:r>
    </w:p>
    <w:p>
      <w:pPr>
        <w:spacing w:after="0" w:line="133" w:lineRule="exact"/>
        <w:rPr>
          <w:sz w:val="20"/>
          <w:szCs w:val="20"/>
          <w:color w:val="auto"/>
        </w:rPr>
      </w:pPr>
    </w:p>
    <w:p>
      <w:pPr>
        <w:jc w:val="both"/>
        <w:ind w:firstLine="369"/>
        <w:spacing w:after="0" w:line="270" w:lineRule="auto"/>
        <w:rPr>
          <w:sz w:val="20"/>
          <w:szCs w:val="20"/>
          <w:color w:val="auto"/>
        </w:rPr>
      </w:pPr>
      <w:r>
        <w:rPr>
          <w:rFonts w:ascii="Arial" w:cs="Arial" w:eastAsia="Arial" w:hAnsi="Arial"/>
          <w:sz w:val="17"/>
          <w:szCs w:val="17"/>
          <w:i w:val="1"/>
          <w:iCs w:val="1"/>
          <w:color w:val="auto"/>
        </w:rPr>
        <w:t xml:space="preserve">Capital Expenditures. </w:t>
      </w:r>
      <w:r>
        <w:rPr>
          <w:rFonts w:ascii="Arial" w:cs="Arial" w:eastAsia="Arial" w:hAnsi="Arial"/>
          <w:sz w:val="17"/>
          <w:szCs w:val="17"/>
          <w:color w:val="auto"/>
        </w:rPr>
        <w:t>Total capital expenditures for property and equipment and capitalized software were $210 million, $145 million and $79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years ended December 31, 2014, 2013, and 2012, respectively. The 2014 period consists of capital expenditures of $57 million in our Title segment, $63 million in our BKFS segment, $64 million in Restaurant Group segment, $23 million in our former Remy segment, and $3 million in other FNFV Group expenditures. The increase in the 2014 period from the 2013 period is primarily due to increased expenditures on property and equipment and capitalized software at BKFS, acquired from LPS on January 2, 2014 and continued remodeling efforts in our Restaurant Group segment. The increase from 2012 to 2013 is due to increased capital expenditures of $30 million in the Title segment, $10 million of which related to building a new headquarters building for our ServiceLink division during 2013 and $11 million of software development costs at our ServiceLink division in 2013. An additional $36 million of capital expenditures were made in our Remy and Restaurant Group segment, primarily related to remodeling efforts in our Restaurant Group and Remy's expansion of a manufacturing facility in China.</w:t>
      </w:r>
    </w:p>
    <w:p>
      <w:pPr>
        <w:spacing w:after="0" w:line="128" w:lineRule="exact"/>
        <w:rPr>
          <w:sz w:val="20"/>
          <w:szCs w:val="20"/>
          <w:color w:val="auto"/>
        </w:rPr>
      </w:pPr>
    </w:p>
    <w:p>
      <w:pPr>
        <w:jc w:val="both"/>
        <w:ind w:firstLine="383"/>
        <w:spacing w:after="0" w:line="277" w:lineRule="auto"/>
        <w:rPr>
          <w:sz w:val="20"/>
          <w:szCs w:val="20"/>
          <w:color w:val="auto"/>
        </w:rPr>
      </w:pPr>
      <w:r>
        <w:rPr>
          <w:rFonts w:ascii="Arial" w:cs="Arial" w:eastAsia="Arial" w:hAnsi="Arial"/>
          <w:sz w:val="18"/>
          <w:szCs w:val="18"/>
          <w:i w:val="1"/>
          <w:iCs w:val="1"/>
          <w:color w:val="auto"/>
        </w:rPr>
        <w:t xml:space="preserve">Financing. </w:t>
      </w:r>
      <w:r>
        <w:rPr>
          <w:rFonts w:ascii="Arial" w:cs="Arial" w:eastAsia="Arial" w:hAnsi="Arial"/>
          <w:sz w:val="18"/>
          <w:szCs w:val="18"/>
          <w:color w:val="auto"/>
        </w:rPr>
        <w:t>For a description of our financing arrangements see Note K to the Consolidated Financial Statements included in Item 8 of Part II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Report, which is incorporated by reference into this Part II, Item 7.</w:t>
      </w:r>
    </w:p>
    <w:p>
      <w:pPr>
        <w:spacing w:after="0" w:line="6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Seasonality. </w:t>
      </w:r>
      <w:r>
        <w:rPr>
          <w:rFonts w:ascii="Arial" w:cs="Arial" w:eastAsia="Arial" w:hAnsi="Arial"/>
          <w:sz w:val="17"/>
          <w:szCs w:val="17"/>
          <w:color w:val="auto"/>
        </w:rPr>
        <w:t>Historically, real estate transactions have produced seasonal revenue levels for the real estate industry including title insurers. The first</w:t>
      </w:r>
      <w:r>
        <w:rPr>
          <w:rFonts w:ascii="Arial" w:cs="Arial" w:eastAsia="Arial" w:hAnsi="Arial"/>
          <w:sz w:val="17"/>
          <w:szCs w:val="17"/>
          <w:i w:val="1"/>
          <w:iCs w:val="1"/>
          <w:color w:val="auto"/>
        </w:rPr>
        <w:t xml:space="preserve"> </w:t>
      </w:r>
      <w:r>
        <w:rPr>
          <w:rFonts w:ascii="Arial" w:cs="Arial" w:eastAsia="Arial" w:hAnsi="Arial"/>
          <w:sz w:val="17"/>
          <w:szCs w:val="17"/>
          <w:color w:val="auto"/>
        </w:rPr>
        <w:t>calendar quarter is typically the weakest quarter in terms of revenue due to the generally low volume of home sales during January and February. The third calendar quarter has been typically the strongest in terms of revenue primarily due to a higher volume of home sales in the summer months and the fourth quarter is usually also strong due to commercial entities desiring to complete transactions by year-end. We have noted short term fluctuations through recent years in resale and refinance transactions as a result of changes in interest rates and the implementation and subsequent expiration of government programs designed to stimulate the real estate market. In 2014 and 2013, we saw seasonality trends return to historical patterns. During 2013 and 2014, we experienced a moderate increase in existing home sales and we have also seen a decline in total housing inventory. However, we have experienced significant declines in refinance activity starting in the fourth quarter of 2013.</w:t>
      </w:r>
    </w:p>
    <w:p>
      <w:pPr>
        <w:spacing w:after="0" w:line="1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our Restaurant Group, average weekly sales per restaurant are typically higher in the first and fourth quarters, and we typically generate a disproportionate share of our earnings from operations in the first and fourth quarters. Holidays, severe weather and other disruptive conditions may impact sales volumes seasonally in some operating regions.</w:t>
      </w:r>
    </w:p>
    <w:p>
      <w:pPr>
        <w:spacing w:after="0" w:line="23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Our long term contractual obligations generally include our loss reserves, our credit agreements and other debt facilities,</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lease payments on certain of our premises and equipment and purchase obligations of the Restaurant Group.</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2014, our required annual payments relating to these contractual obligations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Thereafter</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r>
      <w:tr>
        <w:trPr>
          <w:trHeight w:val="196"/>
        </w:trPr>
        <w:tc>
          <w:tcPr>
            <w:tcW w:w="3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Notes payable</w:t>
            </w:r>
          </w:p>
        </w:tc>
        <w:tc>
          <w:tcPr>
            <w:tcW w:w="680" w:type="dxa"/>
            <w:vAlign w:val="bottom"/>
            <w:tcBorders>
              <w:bottom w:val="single" w:sz="8" w:color="CCEEFF"/>
            </w:tcBorders>
            <w:shd w:val="clear" w:color="auto" w:fill="CCEEFF"/>
          </w:tcPr>
          <w:p>
            <w:pPr>
              <w:jc w:val="right"/>
              <w:ind w:right="47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117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2,823</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Operating lease payments</w:t>
            </w:r>
          </w:p>
        </w:tc>
        <w:tc>
          <w:tcPr>
            <w:tcW w:w="6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193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1,015</w:t>
            </w:r>
          </w:p>
        </w:tc>
      </w:tr>
      <w:tr>
        <w:trPr>
          <w:trHeight w:val="27"/>
        </w:trPr>
        <w:tc>
          <w:tcPr>
            <w:tcW w:w="3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other benefit payments</w:t>
            </w:r>
          </w:p>
        </w:tc>
        <w:tc>
          <w:tcPr>
            <w:tcW w:w="6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Title claim losses</w:t>
            </w:r>
          </w:p>
        </w:tc>
        <w:tc>
          <w:tcPr>
            <w:tcW w:w="6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w w:val="86"/>
              </w:rPr>
              <w:t>285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653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1,621</w:t>
            </w:r>
          </w:p>
        </w:tc>
      </w:tr>
      <w:tr>
        <w:trPr>
          <w:trHeight w:val="27"/>
        </w:trPr>
        <w:tc>
          <w:tcPr>
            <w:tcW w:w="3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Unconditional purchase obligations</w:t>
            </w:r>
          </w:p>
        </w:tc>
        <w:tc>
          <w:tcPr>
            <w:tcW w:w="6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309</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w:t>
            </w:r>
          </w:p>
        </w:tc>
        <w:tc>
          <w:tcPr>
            <w:tcW w:w="6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613</w:t>
            </w:r>
          </w:p>
        </w:tc>
      </w:tr>
      <w:tr>
        <w:trPr>
          <w:trHeight w:val="27"/>
        </w:trPr>
        <w:tc>
          <w:tcPr>
            <w:tcW w:w="354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6"/>
              </w:rPr>
              <w:t>917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798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970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2,248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6,586</w:t>
            </w:r>
          </w:p>
        </w:tc>
      </w:tr>
      <w:tr>
        <w:trPr>
          <w:trHeight w:val="20"/>
        </w:trPr>
        <w:tc>
          <w:tcPr>
            <w:tcW w:w="3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December 31, 2014, we had title insurance reserves of $1,621 million. The amounts and timing of these obligations are estimated and are not set contractually. While we believe that historical loss payments are a reasonable source for projecting future claim payments, there is significant inherent uncertainty in this payment pattern estimate because of the potential impact of changes in:</w:t>
      </w:r>
    </w:p>
    <w:p>
      <w:pPr>
        <w:spacing w:after="0" w:line="73" w:lineRule="exact"/>
        <w:rPr>
          <w:sz w:val="20"/>
          <w:szCs w:val="20"/>
          <w:color w:val="auto"/>
        </w:rPr>
      </w:pPr>
    </w:p>
    <w:p>
      <w:pPr>
        <w:ind w:left="660" w:hanging="328"/>
        <w:spacing w:after="0" w:line="258"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future mortgage interest rates, which will affect the number of real estate and refinancing transactions and, therefore, the rate at which title insurance claims will emerge;</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legal environment whereby court decisions and reinterpretations of title insurance policy language to broaden coverage could increase total obligations and influence claim payout patterns;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right="20" w:hanging="328"/>
        <w:spacing w:after="0" w:line="258"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events such as fraud, escrow theft, multiple property title defects, foreclosure rates and individual large loss events that can substantially and unexpectedly cause increases in both the amount and timing of estimated title insurance loss payments; and</w:t>
      </w:r>
    </w:p>
    <w:p>
      <w:pPr>
        <w:spacing w:after="0" w:line="1" w:lineRule="exact"/>
        <w:rPr>
          <w:rFonts w:ascii="Arial" w:cs="Arial" w:eastAsia="Arial" w:hAnsi="Arial"/>
          <w:sz w:val="18"/>
          <w:szCs w:val="18"/>
          <w:color w:val="auto"/>
        </w:rPr>
      </w:pPr>
    </w:p>
    <w:p>
      <w:pPr>
        <w:ind w:left="660" w:hanging="328"/>
        <w:spacing w:after="0" w:line="261"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loss cost trends whereby increases or decreases in inflationary factors (including the value of real estate) will influence the ultimate amount of title insurance loss payments.</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Based on historical title insurance claim experience, we anticipate the above payment patterns. The uncertainty and variation in the timing and amount of claim payments could have a material impact on our cash flows from operations in a particular period.</w:t>
      </w:r>
    </w:p>
    <w:p>
      <w:pPr>
        <w:spacing w:after="0" w:line="116" w:lineRule="exact"/>
        <w:rPr>
          <w:sz w:val="20"/>
          <w:szCs w:val="20"/>
          <w:color w:val="auto"/>
        </w:rPr>
      </w:pPr>
    </w:p>
    <w:p>
      <w:pPr>
        <w:jc w:val="both"/>
        <w:ind w:firstLine="397"/>
        <w:spacing w:after="0" w:line="286" w:lineRule="auto"/>
        <w:rPr>
          <w:sz w:val="20"/>
          <w:szCs w:val="20"/>
          <w:color w:val="auto"/>
        </w:rPr>
      </w:pPr>
      <w:r>
        <w:rPr>
          <w:rFonts w:ascii="Arial" w:cs="Arial" w:eastAsia="Arial" w:hAnsi="Arial"/>
          <w:sz w:val="17"/>
          <w:szCs w:val="17"/>
          <w:color w:val="auto"/>
        </w:rPr>
        <w:t>The Restaurant Group has unconditional purchase obligations with various vendors. These purchase obligations are primarily food and beverage obligations with fixed commitments in regards to the time period of the contract and the quantities purchased with annual price adjustments that can fluctuate. We used both historical and projected volume and pricing as of December 31, 2014 to determine the amount of the obligations.</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BKFS has data processing and maintenance commitments with various vendors. We used current outstanding contracts with the vendors to determine the amount of the obligations.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sponsor multiple pension plans and other post-retirement benefit plans. See Note P of the Notes to Consolidated Financial Statements.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contractual obligations include estimated future interest payments on our outstanding fixed rate debt and investment commitments entered into in 2014 for $81 million to be made in the future, of which $55 million is outstanding as of December 31, 2014.</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Capital Stock Transactions. </w:t>
      </w:r>
      <w:r>
        <w:rPr>
          <w:rFonts w:ascii="Arial" w:cs="Arial" w:eastAsia="Arial" w:hAnsi="Arial"/>
          <w:sz w:val="18"/>
          <w:szCs w:val="18"/>
          <w:color w:val="auto"/>
        </w:rPr>
        <w:t>On February 23, 2015, we announced a tender offer to purchase up to $185 million of shares of our FNFV Group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 at a purchase price of no greater than $15.40 per share, nor less than $14.30 per share in cash. We are conducting this Offer through a procedure commonly called a “modified Dutch auction.” This procedure allows shareholders to select the price within a price range specified by us at which the shareholders are willing to sell their shares. The offer will expire at 12:00 Midnight, New York City time, at the end of Friday, March 20, 2015, unless we extend the offer.</w:t>
      </w:r>
    </w:p>
    <w:p>
      <w:pPr>
        <w:spacing w:after="0" w:line="8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October 28, 2014, our Board of Directors approved a three-year stock purchase program, effective November 6, 2014, under which we can repurchase up to 10 million shares of our FNFV Group common stock through November 30, 2017. We may make repurchases from time to time in the open market, in block purchases or in privately negotiated transactions, depending on market conditions and other factors. In the year ended December 31, 2014, we repurchased a total of 116,100 shares for $2 million, or an average of $14.00 per share under this program. Subsequent to year-end we repurchased a total of 423,350 shares for $5 million, or an average of $12.34 per share under this program through market close on February 27, 2015. Since the original commencement of the plan adopted November 6, 2014, we have repurchased a total of 539,450 shares for $7 million, or an average of $12.70 per share, and there are 9,460,550 shares available to be repurchased under this program.</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June 30, 2014, we completed the recapitalization of Old FNF common stock into two tracking stocks, FNF Group common stock and FNFV Group common stock. We issued 277,462,875 shares of FNF Group common stock and 91,711,237 shares of FNFV Group common stock. See Note A for further discussion on the recapitalization of FNF common stock.</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January 2, 2014, we completed the purchase of LPS. As part of the consideration, $839 million or 25,920,078 shares of Old FNF common stock was issued to LPS shareholders. See Note B for further information on the acquisition of LPS.</w:t>
      </w:r>
    </w:p>
    <w:p>
      <w:pPr>
        <w:spacing w:after="0" w:line="6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October 24, 2013, we offered 17,250,000 shares of our common stock at an offering price of $26.75 per share, pursuant to an effective registration statement previously filed with the Securities and Exchange Commission. We granted the underwriters a 30-day option to purchase 2,587,500 additional shares at the offering price, which was subsequently exercised in full. A total of 19,837,500 shares were issued on October 30, 2013, for net proceeds of approximately $511 million. The net proceeds from this offering were used to pay a portion of the cash consideration for the LPS Acquisition on January 2, 2014.</w:t>
      </w:r>
    </w:p>
    <w:p>
      <w:pPr>
        <w:spacing w:after="0" w:line="16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July 21, 2012, our Board of Directors approved a three-year stock repurchase program, effective August 1, 2012, under which we can repurchase up to 15 million shares of our common stock through July 31, 2015. We may make repurchases from time to time in the open market, in block purchases or in privately negotiated transactions, depending on market conditions and other factors. In the year ended December 31, 2014, we did not repurchase any FNF Group shares under this program. Subsequent to year-end we did not repurchase any shares through market close on February 27, 2015. Since the original commencement of the plan adopted July 21, 2012, we have repurchased a total of 2,080,000 shares for $50 million, or an average of $23.90 per share, and there are 12,920,000 shares available to be repurchased under this program.</w:t>
      </w:r>
    </w:p>
    <w:p>
      <w:pPr>
        <w:spacing w:after="0" w:line="4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21, 2009, the Board of Directors approved a three-year stock repurchase program under which we could repurchase up to 15 million shares of our common stock through July 31, 2012. On January 27, 2011, our Board of Directors approved an additional 5 million shares that could be repurchased under the program. This program expired July 31, 2012, and we repurchased a total of 16,528,512 shares for $243 million, or an average of $14.73 per share under this program.</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5"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Equity Security and Preferred Stock Investments. </w:t>
      </w:r>
      <w:r>
        <w:rPr>
          <w:rFonts w:ascii="Arial" w:cs="Arial" w:eastAsia="Arial" w:hAnsi="Arial"/>
          <w:sz w:val="18"/>
          <w:szCs w:val="18"/>
          <w:color w:val="auto"/>
        </w:rPr>
        <w:t>Our equity security and preferred stock investments may be subject to significant volatility. Should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these investments fall below our cost basis and/or the financial condition or prospects of these companies deteriorate, we may determine in a future period that this decline in fair value is other-than-temporary, requiring that an impairment loss be recognized in the period such a determination is made.</w:t>
      </w:r>
    </w:p>
    <w:p>
      <w:pPr>
        <w:spacing w:after="0" w:line="7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i w:val="1"/>
          <w:iCs w:val="1"/>
          <w:color w:val="auto"/>
        </w:rPr>
        <w:t xml:space="preserve">Off-Balance Sheet Arrangements. </w:t>
      </w:r>
      <w:r>
        <w:rPr>
          <w:rFonts w:ascii="Arial" w:cs="Arial" w:eastAsia="Arial" w:hAnsi="Arial"/>
          <w:sz w:val="17"/>
          <w:szCs w:val="17"/>
          <w:color w:val="auto"/>
        </w:rPr>
        <w:t>We do not engage in off-balance sheet activities other than facility and equipment leasing arrangements. On June 29,</w:t>
      </w:r>
      <w:r>
        <w:rPr>
          <w:rFonts w:ascii="Arial" w:cs="Arial" w:eastAsia="Arial" w:hAnsi="Arial"/>
          <w:sz w:val="17"/>
          <w:szCs w:val="17"/>
          <w:i w:val="1"/>
          <w:iCs w:val="1"/>
          <w:color w:val="auto"/>
        </w:rPr>
        <w:t xml:space="preserve"> </w:t>
      </w:r>
      <w:r>
        <w:rPr>
          <w:rFonts w:ascii="Arial" w:cs="Arial" w:eastAsia="Arial" w:hAnsi="Arial"/>
          <w:sz w:val="17"/>
          <w:szCs w:val="17"/>
          <w:color w:val="auto"/>
        </w:rPr>
        <w:t>2004 we entered into an off-balance sheet financing arrangement (commonly referred to as a “synthetic lease”). The owner/lessor in this arrangement acquired land and various real property improvements associated with new construction of an office building in Jacksonville, Florida, at our corporate campus and headquarters. The lessor financed the acquisition of the facilities through funding provided by third-party financial institutions. On June 27, 2011, we renewed and amended the synthetic lease for the facilities. The amended synthetic lease provides for a five year term ending June 27, 2016 and had an outstanding balance as of December 31, 2014 of $71 million. The amended lease includes guarantees by us of up to 83.0% of the outstanding lease balance, and options to purchase the facilities at the outstanding lease balance. The guarantee becomes effective if we decline to purchase the facilities at the end of the lease and also decline to renew the lease. The lessor is a third-party company and we have no affiliation or relationship with the lessor or any of its employees, directors or affiliates, and transactions with the lessor are limited to the operating lease agreements and the associated rent expense that have been included in Other operating expenses in the Consolidated Statements of Earnings. We do not believe the lessor is a variable interest entity, as defined in the FASB standard on consolidation of variable interest entities.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For a description of recent accounting pronouncements, see Note T of Notes to Consolidated Financial Statements included elsewhere herein.</w:t>
      </w:r>
    </w:p>
    <w:p>
      <w:pPr>
        <w:spacing w:after="0" w:line="1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 about Market Risk</w:t>
      </w:r>
    </w:p>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normal course of business, we are routinely subject to a variety of risks, as described in the Risk Factors section of this Annual Report on Form 10-K and in our other filings with the Securities and Exchange Commission. For example, we are exposed to the risk that decreased real estate activity, which depends in part on the level of interest rates, may reduce our Core revenues.</w:t>
      </w:r>
    </w:p>
    <w:p>
      <w:pPr>
        <w:spacing w:after="0" w:line="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risks related to our business also include certain market risks that may affect our debt and other financial instruments. At present, we face the market risks associated with our marketable equity securities subject to equity price volatility and with interest rate movements on our outstanding debt and fixed income investments.</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regularly assess these market risks and have established policies and business practices designed to protect against the adverse effects of these exposures.</w:t>
      </w:r>
    </w:p>
    <w:p>
      <w:pPr>
        <w:spacing w:after="0" w:line="3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At December 31, 2014, we had $2,826 million in long-term debt, of which $1,208 million bears interest at a floating rate. Our fixed maturity investments, certain preferred stocks and our floating rate debt are subject to an element of market risk from changes in interest rates. Increases and decreases in prevailing interest rates generally translate into decreases and increases in fair values of those instruments. Additionally, fair values of interest rate sensitive instruments may be affected by the creditworthiness of the issuer, prepayment options, relative values of alternative investments, the liquidity of the instrument and other general market conditions. We manage interest rate risk through a variety of measures. We monitor our interest rate risk and make investment decisions to manage the perceived risk. We do not currently use derivative financial instruments to hedge these risks.</w:t>
      </w:r>
    </w:p>
    <w:p>
      <w:pPr>
        <w:spacing w:after="0" w:line="4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Equity price risk is the risk that we will incur economic losses due to adverse changes in equity prices. In the past, our exposure to changes in equity prices primarily resulted from our holdings of equity securities. At December 31, 2014, we held $145 million in marketable equity securities (not including our investments in preferred stock of $223 million at December 31, 2014 and our Investments in unconsolidated affiliates, which amounted to $770 million at December 31, 2014). The carrying values of investments subject to equity price risks are based on quoted market prices as of the balance sheet date. Market prices are subject to fluctuation and, consequently, the amount realized in the subsequent sale of an investment may significantly differ from the reported market value. Fluctuation in the market price of a security may result from perceived changes in the underlying economic characteristics of the investee, the relative price of alternative investments and general market conditions. Furthermore, amounts realized in the sale of a particular security may be affected by the relative quantity of the security being sold.</w:t>
      </w:r>
    </w:p>
    <w:p>
      <w:pPr>
        <w:spacing w:after="0" w:line="1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Financial instruments, which potentially subject us to concentrations of credit risk, consist primarily of accounts receivable and cash investments. We require placement of cash in financial institutions evaluated as highly creditworthy.</w:t>
      </w:r>
    </w:p>
    <w:p>
      <w:pPr>
        <w:spacing w:after="0" w:line="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purposes of this Annual Report on Form 10-K, we perform a sensitivity analysis to determine the effects that market risk exposures may have on the fair values of our debt and other financial instruments.</w:t>
      </w:r>
    </w:p>
    <w:p>
      <w:pPr>
        <w:spacing w:after="0" w:line="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financial instruments that are included in the sensitivity analysis with respect to interest rate risk include fixed maturity investments, preferred stock and notes payable. The financial instruments that are included in the sensitivity analysis with respect to equity price risk include marketable equity securities. With the exception of our equity method investments, it is not anticipated</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that there would be a significant change in the fair value of other long-term investments or short-term investments if there were a change in market conditions, based on the nature and duration of the financial instruments involved.</w:t>
      </w:r>
    </w:p>
    <w:p>
      <w:pPr>
        <w:spacing w:after="0" w:line="3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 perform the sensitivity analysis, we assess the risk of loss in fair values from the effect of hypothetical changes in interest rates and equity prices on market-sensitive instruments. The changes in fair values for interest rate risks are determined by estimating the present value of future cash flows using various models, primarily duration modeling. The changes in fair values for equity price risk are determined by comparing the market price of investments against their reported values as of the balance sheet date.</w:t>
      </w:r>
    </w:p>
    <w:p>
      <w:pPr>
        <w:spacing w:after="0" w:line="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Information provided by the sensitivity analysis does not necessarily represent the actual changes in fair value that we would incur under normal market conditions because, due to practical limitations, all variables other than the specific market risk factor are held constant. For example, our reserve for title claim losses (representing 22.9% of total liabilities at December 31, 2014) is not included in the hypothetical effects.</w:t>
      </w:r>
    </w:p>
    <w:p>
      <w:pPr>
        <w:spacing w:after="0" w:line="3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have no market risk sensitive instruments entered into for trading purposes; therefore, all of our market risk sensitive instruments were entered into for purposes other than trading. The results of the sensitivity analysis at December 31, 2014 and December 31, 2013, are as follows:</w:t>
      </w:r>
    </w:p>
    <w:p>
      <w:pPr>
        <w:spacing w:after="0" w:line="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December 31, 2014, an increase (decrease) in the levels of interest rates of 100 basis points, with all other variables held constant, would result in a (decrease) increase in the fair value of our fixed maturity securities and certain of our investments in preferred stock which are tied to interest rates of $82 million as compared with a (decrease) increase of $89 million at December 31, 2013.</w:t>
      </w:r>
    </w:p>
    <w:p>
      <w:pPr>
        <w:spacing w:after="0" w:line="4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years ended December 31, 2014 and 2013, a decrease of 100 basis points in the levels of interest rates, with all other variables held constant, would result in a decrease in the interest expense on our average outstanding floating rate debt of $2 million, as the current LIBOR rate is less than 1%. An increase of 100 basis points in the levels of interest rates, with all other variables held constant, would result in an increase in the interest expense on our average outstanding floating rate debt of $14 million for the year ended December 31, 2014. The main cause of the increase from $1 million for the year ended December 31, 2013, is the addition of the $1.1 billion term loan we obtained in connection with the acquisition of LPS on January 2, 2014. See Note B for further discussion on this acquisition.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94"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At December 31, 2014, a 20% increase (decrease) in market prices, with all other variables held constant, would result in an increase (decrease) in the fair value of our equity securities portfolio of $29 million, as compared with an increase (decrease) of $27 million at December 31, 2013.</w:t>
      </w: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INFORMATION</w:t>
      </w:r>
    </w:p>
    <w:p>
      <w:pPr>
        <w:spacing w:after="0" w:line="38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1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192"/>
        </w:trPr>
        <w:tc>
          <w:tcPr>
            <w:tcW w:w="31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Number</w:t>
            </w:r>
          </w:p>
        </w:tc>
      </w:tr>
      <w:tr>
        <w:trPr>
          <w:trHeight w:val="202"/>
        </w:trPr>
        <w:tc>
          <w:tcPr>
            <w:tcW w:w="10240" w:type="dxa"/>
            <w:vAlign w:val="bottom"/>
            <w:gridSpan w:val="9"/>
          </w:tcPr>
          <w:p>
            <w:pPr>
              <w:spacing w:after="0" w:line="202" w:lineRule="exact"/>
              <w:rPr>
                <w:rFonts w:ascii="Arial" w:cs="Arial" w:eastAsia="Arial" w:hAnsi="Arial"/>
                <w:sz w:val="18"/>
                <w:szCs w:val="18"/>
                <w:color w:val="0000EE"/>
              </w:rPr>
            </w:pPr>
            <w:hyperlink w:anchor="page62">
              <w:r>
                <w:rPr>
                  <w:rFonts w:ascii="Arial" w:cs="Arial" w:eastAsia="Arial" w:hAnsi="Arial"/>
                  <w:sz w:val="18"/>
                  <w:szCs w:val="18"/>
                  <w:color w:val="0000EE"/>
                </w:rPr>
                <w:t>Report of Independent Registered Public Accounting Firm on Effectiveness of Internal Control over Financial Reporting</w:t>
              </w:r>
            </w:hyperlink>
          </w:p>
        </w:tc>
        <w:tc>
          <w:tcPr>
            <w:tcW w:w="660" w:type="dxa"/>
            <w:vAlign w:val="bottom"/>
            <w:gridSpan w:val="2"/>
          </w:tcPr>
          <w:p>
            <w:pPr>
              <w:jc w:val="center"/>
              <w:ind w:left="396"/>
              <w:spacing w:after="0" w:line="202"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61</w:t>
              </w:r>
            </w:hyperlink>
          </w:p>
        </w:tc>
        <w:tc>
          <w:tcPr>
            <w:tcW w:w="480" w:type="dxa"/>
            <w:vAlign w:val="bottom"/>
          </w:tcPr>
          <w:p>
            <w:pPr>
              <w:spacing w:after="0"/>
              <w:rPr>
                <w:sz w:val="17"/>
                <w:szCs w:val="17"/>
                <w:color w:val="auto"/>
              </w:rPr>
            </w:pPr>
          </w:p>
        </w:tc>
      </w:tr>
      <w:tr>
        <w:trPr>
          <w:trHeight w:val="250"/>
        </w:trPr>
        <w:tc>
          <w:tcPr>
            <w:tcW w:w="8680" w:type="dxa"/>
            <w:vAlign w:val="bottom"/>
            <w:tcBorders>
              <w:top w:val="single" w:sz="8" w:color="0000EE"/>
            </w:tcBorders>
            <w:gridSpan w:val="8"/>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Report of Independent Registered Public Accounting Firm on Consolidated Financial Statements</w:t>
              </w:r>
            </w:hyperlink>
          </w:p>
        </w:tc>
        <w:tc>
          <w:tcPr>
            <w:tcW w:w="15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EE"/>
            </w:tcBorders>
          </w:tcPr>
          <w:p>
            <w:pPr>
              <w:jc w:val="center"/>
              <w:spacing w:after="0"/>
              <w:rPr>
                <w:rFonts w:ascii="Arial" w:cs="Arial" w:eastAsia="Arial" w:hAnsi="Arial"/>
                <w:sz w:val="18"/>
                <w:szCs w:val="18"/>
                <w:color w:val="0000EE"/>
                <w:w w:val="89"/>
              </w:rPr>
            </w:pPr>
            <w:hyperlink w:anchor="page63">
              <w:r>
                <w:rPr>
                  <w:rFonts w:ascii="Arial" w:cs="Arial" w:eastAsia="Arial" w:hAnsi="Arial"/>
                  <w:sz w:val="18"/>
                  <w:szCs w:val="18"/>
                  <w:color w:val="0000EE"/>
                  <w:w w:val="89"/>
                </w:rPr>
                <w:t>62</w:t>
              </w:r>
            </w:hyperlink>
          </w:p>
        </w:tc>
        <w:tc>
          <w:tcPr>
            <w:tcW w:w="480" w:type="dxa"/>
            <w:vAlign w:val="bottom"/>
          </w:tcPr>
          <w:p>
            <w:pPr>
              <w:spacing w:after="0"/>
              <w:rPr>
                <w:sz w:val="21"/>
                <w:szCs w:val="21"/>
                <w:color w:val="auto"/>
              </w:rPr>
            </w:pPr>
          </w:p>
        </w:tc>
      </w:tr>
      <w:tr>
        <w:trPr>
          <w:trHeight w:val="250"/>
        </w:trPr>
        <w:tc>
          <w:tcPr>
            <w:tcW w:w="6980" w:type="dxa"/>
            <w:vAlign w:val="bottom"/>
            <w:tcBorders>
              <w:top w:val="single" w:sz="8" w:color="0000EE"/>
            </w:tcBorders>
            <w:gridSpan w:val="6"/>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Consolidated Balance Sheets as of December 31, 2014 and 2013</w:t>
              </w:r>
            </w:hyperlink>
          </w:p>
        </w:tc>
        <w:tc>
          <w:tcPr>
            <w:tcW w:w="3260" w:type="dxa"/>
            <w:vAlign w:val="bottom"/>
            <w:gridSpan w:val="3"/>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EE"/>
            </w:tcBorders>
          </w:tcPr>
          <w:p>
            <w:pPr>
              <w:jc w:val="cente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63</w:t>
              </w:r>
            </w:hyperlink>
          </w:p>
        </w:tc>
        <w:tc>
          <w:tcPr>
            <w:tcW w:w="480" w:type="dxa"/>
            <w:vAlign w:val="bottom"/>
          </w:tcPr>
          <w:p>
            <w:pPr>
              <w:spacing w:after="0"/>
              <w:rPr>
                <w:sz w:val="21"/>
                <w:szCs w:val="21"/>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10240" w:type="dxa"/>
            <w:vAlign w:val="bottom"/>
            <w:gridSpan w:val="9"/>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Consolidated Statements of Earnings for the years ended December 31, 2014, 2013, and 2012</w:t>
              </w:r>
            </w:hyperlink>
          </w:p>
        </w:tc>
        <w:tc>
          <w:tcPr>
            <w:tcW w:w="660" w:type="dxa"/>
            <w:vAlign w:val="bottom"/>
            <w:gridSpan w:val="2"/>
          </w:tcPr>
          <w:p>
            <w:pPr>
              <w:jc w:val="center"/>
              <w:ind w:left="396"/>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64</w:t>
              </w:r>
            </w:hyperlink>
          </w:p>
        </w:tc>
        <w:tc>
          <w:tcPr>
            <w:tcW w:w="480" w:type="dxa"/>
            <w:vAlign w:val="bottom"/>
          </w:tcPr>
          <w:p>
            <w:pPr>
              <w:spacing w:after="0"/>
              <w:rPr>
                <w:sz w:val="21"/>
                <w:szCs w:val="21"/>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79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Consolidated Statements of Comprehensive Earnings for the years ended December 31, 2014, 2013, and 2012</w:t>
              </w:r>
            </w:hyperlink>
          </w:p>
        </w:tc>
        <w:tc>
          <w:tcPr>
            <w:tcW w:w="2320" w:type="dxa"/>
            <w:vAlign w:val="bottom"/>
            <w:gridSpan w:val="2"/>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bottom w:val="single" w:sz="8" w:color="0000EE"/>
            </w:tcBorders>
          </w:tcPr>
          <w:p>
            <w:pPr>
              <w:jc w:val="cente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66</w:t>
              </w:r>
            </w:hyperlink>
          </w:p>
        </w:tc>
        <w:tc>
          <w:tcPr>
            <w:tcW w:w="480" w:type="dxa"/>
            <w:vAlign w:val="bottom"/>
          </w:tcPr>
          <w:p>
            <w:pPr>
              <w:spacing w:after="0"/>
              <w:rPr>
                <w:sz w:val="21"/>
                <w:szCs w:val="21"/>
                <w:color w:val="auto"/>
              </w:rPr>
            </w:pPr>
          </w:p>
        </w:tc>
      </w:tr>
      <w:tr>
        <w:trPr>
          <w:trHeight w:val="250"/>
        </w:trPr>
        <w:tc>
          <w:tcPr>
            <w:tcW w:w="10240" w:type="dxa"/>
            <w:vAlign w:val="bottom"/>
            <w:gridSpan w:val="9"/>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Consolidated Statements of Equity for the years ended December 31, 2014, 2013, and 2012</w:t>
              </w:r>
            </w:hyperlink>
          </w:p>
        </w:tc>
        <w:tc>
          <w:tcPr>
            <w:tcW w:w="660" w:type="dxa"/>
            <w:vAlign w:val="bottom"/>
            <w:gridSpan w:val="2"/>
          </w:tcPr>
          <w:p>
            <w:pPr>
              <w:jc w:val="center"/>
              <w:ind w:left="396"/>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67</w:t>
              </w:r>
            </w:hyperlink>
          </w:p>
        </w:tc>
        <w:tc>
          <w:tcPr>
            <w:tcW w:w="480" w:type="dxa"/>
            <w:vAlign w:val="bottom"/>
          </w:tcPr>
          <w:p>
            <w:pPr>
              <w:spacing w:after="0"/>
              <w:rPr>
                <w:sz w:val="21"/>
                <w:szCs w:val="21"/>
                <w:color w:val="auto"/>
              </w:rPr>
            </w:pPr>
          </w:p>
        </w:tc>
      </w:tr>
      <w:tr>
        <w:trPr>
          <w:trHeight w:val="20"/>
        </w:trPr>
        <w:tc>
          <w:tcPr>
            <w:tcW w:w="3140" w:type="dxa"/>
            <w:vAlign w:val="bottom"/>
            <w:shd w:val="clear" w:color="auto" w:fill="0000EE"/>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250"/>
        </w:trPr>
        <w:tc>
          <w:tcPr>
            <w:tcW w:w="10240" w:type="dxa"/>
            <w:vAlign w:val="bottom"/>
            <w:gridSpan w:val="9"/>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Consolidated Statements of Cash Flows for the years ended December 31, 2014, 2013, and 2012</w:t>
              </w:r>
            </w:hyperlink>
          </w:p>
        </w:tc>
        <w:tc>
          <w:tcPr>
            <w:tcW w:w="660" w:type="dxa"/>
            <w:vAlign w:val="bottom"/>
            <w:gridSpan w:val="2"/>
          </w:tcPr>
          <w:p>
            <w:pPr>
              <w:jc w:val="center"/>
              <w:ind w:left="396"/>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69</w:t>
              </w:r>
            </w:hyperlink>
          </w:p>
        </w:tc>
        <w:tc>
          <w:tcPr>
            <w:tcW w:w="480" w:type="dxa"/>
            <w:vAlign w:val="bottom"/>
          </w:tcPr>
          <w:p>
            <w:pPr>
              <w:spacing w:after="0"/>
              <w:rPr>
                <w:sz w:val="21"/>
                <w:szCs w:val="21"/>
                <w:color w:val="auto"/>
              </w:rPr>
            </w:pPr>
          </w:p>
        </w:tc>
      </w:tr>
      <w:tr>
        <w:trPr>
          <w:trHeight w:val="250"/>
        </w:trPr>
        <w:tc>
          <w:tcPr>
            <w:tcW w:w="6940" w:type="dxa"/>
            <w:vAlign w:val="bottom"/>
            <w:tcBorders>
              <w:top w:val="single" w:sz="8" w:color="0000EE"/>
            </w:tcBorders>
            <w:gridSpan w:val="5"/>
          </w:tcPr>
          <w:p>
            <w:pPr>
              <w:spacing w:after="0"/>
              <w:rPr>
                <w:rFonts w:ascii="Arial" w:cs="Arial" w:eastAsia="Arial" w:hAnsi="Arial"/>
                <w:sz w:val="18"/>
                <w:szCs w:val="18"/>
                <w:color w:val="0000EE"/>
              </w:rPr>
            </w:pPr>
            <w:hyperlink w:anchor="page73">
              <w:r>
                <w:rPr>
                  <w:rFonts w:ascii="Arial" w:cs="Arial" w:eastAsia="Arial" w:hAnsi="Arial"/>
                  <w:sz w:val="18"/>
                  <w:szCs w:val="18"/>
                  <w:color w:val="0000EE"/>
                </w:rPr>
                <w:t>Notes to Consolidated Financial Statements</w:t>
              </w:r>
            </w:hyperlink>
          </w:p>
        </w:tc>
        <w:tc>
          <w:tcPr>
            <w:tcW w:w="3300" w:type="dxa"/>
            <w:vAlign w:val="bottom"/>
            <w:gridSpan w:val="4"/>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Borders>
              <w:top w:val="single" w:sz="8" w:color="0000EE"/>
            </w:tcBorders>
          </w:tcPr>
          <w:p>
            <w:pPr>
              <w:jc w:val="cente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70</w:t>
              </w:r>
            </w:hyperlink>
          </w:p>
        </w:tc>
        <w:tc>
          <w:tcPr>
            <w:tcW w:w="480" w:type="dxa"/>
            <w:vAlign w:val="bottom"/>
          </w:tcPr>
          <w:p>
            <w:pPr>
              <w:spacing w:after="0"/>
              <w:rPr>
                <w:sz w:val="21"/>
                <w:szCs w:val="21"/>
                <w:color w:val="auto"/>
              </w:rPr>
            </w:pPr>
          </w:p>
        </w:tc>
      </w:tr>
      <w:tr>
        <w:trPr>
          <w:trHeight w:val="723"/>
        </w:trPr>
        <w:tc>
          <w:tcPr>
            <w:tcW w:w="3140" w:type="dxa"/>
            <w:vAlign w:val="bottom"/>
            <w:tcBorders>
              <w:top w:val="single" w:sz="8" w:color="0000EE"/>
            </w:tcBorders>
          </w:tcPr>
          <w:p>
            <w:pPr>
              <w:spacing w:after="0"/>
              <w:rPr>
                <w:sz w:val="24"/>
                <w:szCs w:val="24"/>
                <w:color w:val="auto"/>
              </w:rPr>
            </w:pPr>
          </w:p>
        </w:tc>
        <w:tc>
          <w:tcPr>
            <w:tcW w:w="3440" w:type="dxa"/>
            <w:vAlign w:val="bottom"/>
            <w:gridSpan w:val="2"/>
          </w:tcPr>
          <w:p>
            <w:pPr>
              <w:jc w:val="right"/>
              <w:ind w:right="820"/>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Fidelity National Financial, Inc.:</w:t>
      </w:r>
    </w:p>
    <w:p>
      <w:pPr>
        <w:spacing w:after="0" w:line="21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We have audited Fidelity National Financial, Inc.’s internal control over financial reporting as of December 31, 2014, based on criteria established in </w:t>
      </w:r>
      <w:r>
        <w:rPr>
          <w:rFonts w:ascii="Arial" w:cs="Arial" w:eastAsia="Arial" w:hAnsi="Arial"/>
          <w:sz w:val="17"/>
          <w:szCs w:val="17"/>
          <w:i w:val="1"/>
          <w:iCs w:val="1"/>
          <w:color w:val="auto"/>
        </w:rPr>
        <w:t xml:space="preserve">Internal Control - Integrated Framework (2013) </w:t>
      </w:r>
      <w:r>
        <w:rPr>
          <w:rFonts w:ascii="Arial" w:cs="Arial" w:eastAsia="Arial" w:hAnsi="Arial"/>
          <w:sz w:val="17"/>
          <w:szCs w:val="17"/>
          <w:color w:val="auto"/>
        </w:rPr>
        <w:t>issued by the Committee of Sponsoring Organizations of the Treadway Commission (COSO). Fidelity</w:t>
      </w:r>
      <w:r>
        <w:rPr>
          <w:rFonts w:ascii="Arial" w:cs="Arial" w:eastAsia="Arial" w:hAnsi="Arial"/>
          <w:sz w:val="17"/>
          <w:szCs w:val="17"/>
          <w:i w:val="1"/>
          <w:iCs w:val="1"/>
          <w:color w:val="auto"/>
        </w:rPr>
        <w:t xml:space="preserve"> </w:t>
      </w:r>
      <w:r>
        <w:rPr>
          <w:rFonts w:ascii="Arial" w:cs="Arial" w:eastAsia="Arial" w:hAnsi="Arial"/>
          <w:sz w:val="17"/>
          <w:szCs w:val="17"/>
          <w:color w:val="auto"/>
        </w:rPr>
        <w:t>National Financial,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6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5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In our opinion, Fidelity National Financial, Inc. maintained, in all material respects, effective internal control over financial reporting as of December 31, 2014,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w:t>
      </w:r>
    </w:p>
    <w:p>
      <w:pPr>
        <w:spacing w:after="0" w:line="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Fidelity National Financial, Inc. and subsidiaries as of December 31, 2014 and 2013, and the related Consolidated Statements of Earnings, Comprehensive Earnings, Equity and Cash Flows for each of the years in the three-year period ended December 31, 2014, and our report dated March 2, 2015 expressed an unqualified opinion on those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Jacksonville,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Fidelity National Financial, Inc.:</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audited the accompanying Consolidated Balance Sheets of Fidelity National Financial, Inc. and subsidiaries as of December 31, 2014 and 2013, and the related Consolidated Statements of Earnings, Comprehensive Earnings, Equity and Cash Flows for each of the years in the three-year period ended December 31, 2014. These Consolidated Financial Statements are the responsibility of the Company’s management. Our responsibility is to express an opinion on these Consolidated Financial Statements based on our audits.</w:t>
      </w:r>
    </w:p>
    <w:p>
      <w:pPr>
        <w:spacing w:after="0" w:line="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Fidelity National Financial, Inc. and subsidiaries as of December 31, 2014 and 2013, and the results of their operations and their cash flows for each of the years in the three-year period ended December 31, 2014, in conformity with U.S. generally accepted accounting principles.</w:t>
      </w:r>
    </w:p>
    <w:p>
      <w:pPr>
        <w:spacing w:after="0" w:line="100"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Fidelity National Financial, Inc.’s internal control over financial reporting as of December 31, 2014,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and our report dated March 2, 2015 expressed an unqualified opinion on the effectiveness of the Company’s internal control over financial reporting.</w:t>
      </w:r>
    </w:p>
    <w:p>
      <w:pPr>
        <w:spacing w:after="0" w:line="38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KPMG LLP</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5"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8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8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w w:val="98"/>
              </w:rPr>
              <w:t>(In millions, except share data)</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140"/>
              <w:spacing w:after="0"/>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Investments:</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4"/>
              </w:rPr>
              <w:t>Fixed maturities available for sale, at fair value, at December 31, 2014 and 2013, includes pledged fixed maturities of $499 and $261, respectively,</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related to secured trust deposits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3,025</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2,959</w:t>
            </w: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4"/>
                <w:szCs w:val="14"/>
                <w:color w:val="auto"/>
              </w:rPr>
              <w:t>Preferred stock available for sale, at fair value</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223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Equity securities available for sale, at fair value</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4"/>
                <w:szCs w:val="14"/>
                <w:color w:val="auto"/>
              </w:rPr>
              <w:t>Investments in unconsolidated affiliates</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770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357</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long-term investments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Short-term investments</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334</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56"/>
        </w:trPr>
        <w:tc>
          <w:tcPr>
            <w:tcW w:w="8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investments</w:t>
            </w: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4,669</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3,791</w:t>
            </w:r>
          </w:p>
        </w:tc>
        <w:tc>
          <w:tcPr>
            <w:tcW w:w="0" w:type="dxa"/>
            <w:vAlign w:val="bottom"/>
          </w:tcPr>
          <w:p>
            <w:pPr>
              <w:spacing w:after="0"/>
              <w:rPr>
                <w:sz w:val="1"/>
                <w:szCs w:val="1"/>
                <w:color w:val="auto"/>
              </w:rPr>
            </w:pPr>
          </w:p>
        </w:tc>
      </w:tr>
      <w:tr>
        <w:trPr>
          <w:trHeight w:val="191"/>
        </w:trPr>
        <w:tc>
          <w:tcPr>
            <w:tcW w:w="8800" w:type="dxa"/>
            <w:vAlign w:val="bottom"/>
            <w:vMerge w:val="restart"/>
          </w:tcPr>
          <w:p>
            <w:pPr>
              <w:ind w:left="40"/>
              <w:spacing w:after="0"/>
              <w:rPr>
                <w:sz w:val="20"/>
                <w:szCs w:val="20"/>
                <w:color w:val="auto"/>
              </w:rPr>
            </w:pPr>
            <w:r>
              <w:rPr>
                <w:rFonts w:ascii="Arial" w:cs="Arial" w:eastAsia="Arial" w:hAnsi="Arial"/>
                <w:sz w:val="14"/>
                <w:szCs w:val="14"/>
                <w:color w:val="auto"/>
                <w:w w:val="94"/>
              </w:rPr>
              <w:t>Cash and cash equivalents, at December 31, 2014 and 2013, includes pledged cash of $136 and $339, respectively, related to secured trust deposits</w:t>
            </w:r>
          </w:p>
        </w:tc>
        <w:tc>
          <w:tcPr>
            <w:tcW w:w="24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700</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1,969</w:t>
            </w:r>
          </w:p>
        </w:tc>
        <w:tc>
          <w:tcPr>
            <w:tcW w:w="0" w:type="dxa"/>
            <w:vAlign w:val="bottom"/>
          </w:tcPr>
          <w:p>
            <w:pPr>
              <w:spacing w:after="0"/>
              <w:rPr>
                <w:sz w:val="1"/>
                <w:szCs w:val="1"/>
                <w:color w:val="auto"/>
              </w:rPr>
            </w:pPr>
          </w:p>
        </w:tc>
      </w:tr>
      <w:tr>
        <w:trPr>
          <w:trHeight w:val="74"/>
        </w:trPr>
        <w:tc>
          <w:tcPr>
            <w:tcW w:w="88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8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Trade and notes receivables, net of allowance of $32 and $21 at December 31, 2014 and 2013, respectively</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482</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4,721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1,901</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Prepaid expenses and other assets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681</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Capitalized software, net</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570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intangible assets, net</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1,133</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619</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Title plants</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393</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645</w:t>
            </w: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Income taxes receivable</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43"/>
        </w:trPr>
        <w:tc>
          <w:tcPr>
            <w:tcW w:w="88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Total assets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13,868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10,528</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3480"/>
              <w:spacing w:after="0"/>
              <w:rPr>
                <w:sz w:val="20"/>
                <w:szCs w:val="20"/>
                <w:color w:val="auto"/>
              </w:rPr>
            </w:pPr>
            <w:r>
              <w:rPr>
                <w:rFonts w:ascii="Arial" w:cs="Arial" w:eastAsia="Arial" w:hAnsi="Arial"/>
                <w:sz w:val="14"/>
                <w:szCs w:val="14"/>
                <w:b w:val="1"/>
                <w:bCs w:val="1"/>
                <w:color w:val="auto"/>
              </w:rPr>
              <w:t>LIABILITIES AND EQUITY</w:t>
            </w: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88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4"/>
                <w:szCs w:val="14"/>
                <w:color w:val="auto"/>
              </w:rPr>
              <w:t>Accounts payable and other accrued liabilities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1,308</w:t>
            </w:r>
          </w:p>
        </w:tc>
        <w:tc>
          <w:tcPr>
            <w:tcW w:w="12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1,302</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Notes payable</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2,826</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1,323</w:t>
            </w: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4"/>
                <w:szCs w:val="14"/>
                <w:color w:val="auto"/>
              </w:rPr>
              <w:t>Reserve for title claim losses</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1,621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1,636</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Secured trust deposits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622</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588</w:t>
            </w: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Deferred tax liability</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703</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56"/>
        </w:trPr>
        <w:tc>
          <w:tcPr>
            <w:tcW w:w="8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liabilities</w:t>
            </w: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7,080</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4,993</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Commitments and Contingencies:</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Redeemable non-controlling interest by 33% minority holder of Black Knight Financial Services, LLC and 35% minority holder of ServiceLink</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Holdings, LLC</w:t>
            </w:r>
          </w:p>
        </w:tc>
        <w:tc>
          <w:tcPr>
            <w:tcW w:w="24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715</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800" w:type="dxa"/>
            <w:vAlign w:val="bottom"/>
          </w:tcPr>
          <w:p>
            <w:pPr>
              <w:ind w:left="40"/>
              <w:spacing w:after="0"/>
              <w:rPr>
                <w:sz w:val="20"/>
                <w:szCs w:val="20"/>
                <w:color w:val="auto"/>
              </w:rPr>
            </w:pPr>
            <w:r>
              <w:rPr>
                <w:rFonts w:ascii="Arial" w:cs="Arial" w:eastAsia="Arial" w:hAnsi="Arial"/>
                <w:sz w:val="14"/>
                <w:szCs w:val="14"/>
                <w:color w:val="auto"/>
              </w:rPr>
              <w:t>Equity:</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5"/>
              </w:rPr>
              <w:t>Old FNF common stock, Class A, $0.0001 par value; authorized, 600,000,000 shares as of December 31, 2013; issued 292,289,166 shares as of</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December 31, 2013</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8800" w:type="dxa"/>
            <w:vAlign w:val="bottom"/>
          </w:tcPr>
          <w:p>
            <w:pPr>
              <w:ind w:left="180"/>
              <w:spacing w:after="0" w:line="157" w:lineRule="exact"/>
              <w:rPr>
                <w:sz w:val="20"/>
                <w:szCs w:val="20"/>
                <w:color w:val="auto"/>
              </w:rPr>
            </w:pPr>
            <w:r>
              <w:rPr>
                <w:rFonts w:ascii="Arial" w:cs="Arial" w:eastAsia="Arial" w:hAnsi="Arial"/>
                <w:sz w:val="14"/>
                <w:szCs w:val="14"/>
                <w:color w:val="auto"/>
                <w:w w:val="93"/>
              </w:rPr>
              <w:t>FNF Group common stock, $0.0001 par value; authorized 487,000,000 shares as of December 31, 2014; issued 279,443,239 shares as of December</w:t>
            </w:r>
          </w:p>
        </w:tc>
        <w:tc>
          <w:tcPr>
            <w:tcW w:w="2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800" w:type="dxa"/>
            <w:vAlign w:val="bottom"/>
          </w:tcPr>
          <w:p>
            <w:pPr>
              <w:ind w:left="180"/>
              <w:spacing w:after="0"/>
              <w:rPr>
                <w:sz w:val="20"/>
                <w:szCs w:val="20"/>
                <w:color w:val="auto"/>
              </w:rPr>
            </w:pPr>
            <w:r>
              <w:rPr>
                <w:rFonts w:ascii="Arial" w:cs="Arial" w:eastAsia="Arial" w:hAnsi="Arial"/>
                <w:sz w:val="14"/>
                <w:szCs w:val="14"/>
                <w:color w:val="auto"/>
              </w:rPr>
              <w:t>31, 2014</w:t>
            </w:r>
          </w:p>
        </w:tc>
        <w:tc>
          <w:tcPr>
            <w:tcW w:w="24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2"/>
              </w:rPr>
              <w:t>FNFV Group common stock, $0.0001 par value; authorized 113,000,000 shares as of December 31, 2014; issued 92,828,470 shares as of December</w:t>
            </w: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31, 2014</w:t>
            </w:r>
          </w:p>
        </w:tc>
        <w:tc>
          <w:tcPr>
            <w:tcW w:w="24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4"/>
                <w:szCs w:val="14"/>
                <w:color w:val="auto"/>
              </w:rPr>
              <w:t>Preferred stock, $0.0001 par value; authorized, 50,000,000 shares; issued and outstanding, none</w:t>
            </w:r>
          </w:p>
        </w:tc>
        <w:tc>
          <w:tcPr>
            <w:tcW w:w="240" w:type="dxa"/>
            <w:vAlign w:val="bottom"/>
          </w:tcPr>
          <w:p>
            <w:pPr>
              <w:spacing w:after="0"/>
              <w:rPr>
                <w:sz w:val="22"/>
                <w:szCs w:val="2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Additional paid-in capital</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4,855</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4,642</w:t>
            </w:r>
          </w:p>
        </w:tc>
        <w:tc>
          <w:tcPr>
            <w:tcW w:w="0" w:type="dxa"/>
            <w:vAlign w:val="bottom"/>
          </w:tcPr>
          <w:p>
            <w:pPr>
              <w:spacing w:after="0"/>
              <w:rPr>
                <w:sz w:val="1"/>
                <w:szCs w:val="1"/>
                <w:color w:val="auto"/>
              </w:rPr>
            </w:pPr>
          </w:p>
        </w:tc>
      </w:tr>
      <w:tr>
        <w:trPr>
          <w:trHeight w:val="264"/>
        </w:trPr>
        <w:tc>
          <w:tcPr>
            <w:tcW w:w="8800" w:type="dxa"/>
            <w:vAlign w:val="bottom"/>
          </w:tcPr>
          <w:p>
            <w:pPr>
              <w:ind w:left="180"/>
              <w:spacing w:after="0"/>
              <w:rPr>
                <w:sz w:val="20"/>
                <w:szCs w:val="20"/>
                <w:color w:val="auto"/>
              </w:rPr>
            </w:pPr>
            <w:r>
              <w:rPr>
                <w:rFonts w:ascii="Arial" w:cs="Arial" w:eastAsia="Arial" w:hAnsi="Arial"/>
                <w:sz w:val="14"/>
                <w:szCs w:val="14"/>
                <w:color w:val="auto"/>
              </w:rPr>
              <w:t>Retained earnings</w:t>
            </w:r>
          </w:p>
        </w:tc>
        <w:tc>
          <w:tcPr>
            <w:tcW w:w="24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1,150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1,089</w:t>
            </w:r>
          </w:p>
        </w:tc>
        <w:tc>
          <w:tcPr>
            <w:tcW w:w="0" w:type="dxa"/>
            <w:vAlign w:val="bottom"/>
          </w:tcPr>
          <w:p>
            <w:pPr>
              <w:spacing w:after="0"/>
              <w:rPr>
                <w:sz w:val="1"/>
                <w:szCs w:val="1"/>
                <w:color w:val="auto"/>
              </w:rPr>
            </w:pPr>
          </w:p>
        </w:tc>
      </w:tr>
      <w:tr>
        <w:trPr>
          <w:trHeight w:val="276"/>
        </w:trPr>
        <w:tc>
          <w:tcPr>
            <w:tcW w:w="8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earnings</w:t>
            </w: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Less: Treasury stock, 493,737 shares and 41,948,518 shares as of December 31, 2014 and 2013, respectively, at cost</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(707)</w:t>
            </w:r>
          </w:p>
        </w:tc>
        <w:tc>
          <w:tcPr>
            <w:tcW w:w="0" w:type="dxa"/>
            <w:vAlign w:val="bottom"/>
          </w:tcPr>
          <w:p>
            <w:pPr>
              <w:spacing w:after="0"/>
              <w:rPr>
                <w:sz w:val="1"/>
                <w:szCs w:val="1"/>
                <w:color w:val="auto"/>
              </w:rPr>
            </w:pPr>
          </w:p>
        </w:tc>
      </w:tr>
      <w:tr>
        <w:trPr>
          <w:trHeight w:val="256"/>
        </w:trPr>
        <w:tc>
          <w:tcPr>
            <w:tcW w:w="8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Fidelity National Financial, Inc. shareholders’ equity</w:t>
            </w: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5,994</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5,061</w:t>
            </w:r>
          </w:p>
        </w:tc>
        <w:tc>
          <w:tcPr>
            <w:tcW w:w="0" w:type="dxa"/>
            <w:vAlign w:val="bottom"/>
          </w:tcPr>
          <w:p>
            <w:pPr>
              <w:spacing w:after="0"/>
              <w:rPr>
                <w:sz w:val="1"/>
                <w:szCs w:val="1"/>
                <w:color w:val="auto"/>
              </w:rPr>
            </w:pPr>
          </w:p>
        </w:tc>
      </w:tr>
      <w:tr>
        <w:trPr>
          <w:trHeight w:val="264"/>
        </w:trPr>
        <w:tc>
          <w:tcPr>
            <w:tcW w:w="88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Noncontrolling interests</w:t>
            </w: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474</w:t>
            </w:r>
          </w:p>
        </w:tc>
        <w:tc>
          <w:tcPr>
            <w:tcW w:w="0" w:type="dxa"/>
            <w:vAlign w:val="bottom"/>
          </w:tcPr>
          <w:p>
            <w:pPr>
              <w:spacing w:after="0"/>
              <w:rPr>
                <w:sz w:val="1"/>
                <w:szCs w:val="1"/>
                <w:color w:val="auto"/>
              </w:rPr>
            </w:pPr>
          </w:p>
        </w:tc>
      </w:tr>
      <w:tr>
        <w:trPr>
          <w:trHeight w:val="250"/>
        </w:trPr>
        <w:tc>
          <w:tcPr>
            <w:tcW w:w="8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equity</w:t>
            </w:r>
          </w:p>
        </w:tc>
        <w:tc>
          <w:tcPr>
            <w:tcW w:w="24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6,073</w:t>
            </w:r>
          </w:p>
        </w:tc>
        <w:tc>
          <w:tcPr>
            <w:tcW w:w="12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5,535</w:t>
            </w:r>
          </w:p>
        </w:tc>
        <w:tc>
          <w:tcPr>
            <w:tcW w:w="0" w:type="dxa"/>
            <w:vAlign w:val="bottom"/>
          </w:tcPr>
          <w:p>
            <w:pPr>
              <w:spacing w:after="0"/>
              <w:rPr>
                <w:sz w:val="1"/>
                <w:szCs w:val="1"/>
                <w:color w:val="auto"/>
              </w:rPr>
            </w:pPr>
          </w:p>
        </w:tc>
      </w:tr>
      <w:tr>
        <w:trPr>
          <w:trHeight w:val="243"/>
        </w:trPr>
        <w:tc>
          <w:tcPr>
            <w:tcW w:w="8800" w:type="dxa"/>
            <w:vAlign w:val="bottom"/>
          </w:tcPr>
          <w:p>
            <w:pPr>
              <w:ind w:left="600"/>
              <w:spacing w:after="0"/>
              <w:rPr>
                <w:sz w:val="20"/>
                <w:szCs w:val="20"/>
                <w:color w:val="auto"/>
              </w:rPr>
            </w:pPr>
            <w:r>
              <w:rPr>
                <w:rFonts w:ascii="Arial" w:cs="Arial" w:eastAsia="Arial" w:hAnsi="Arial"/>
                <w:sz w:val="14"/>
                <w:szCs w:val="14"/>
                <w:color w:val="auto"/>
              </w:rPr>
              <w:t>Total liabilities, redeemable non-controlling interest and equity</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13,868</w:t>
            </w:r>
          </w:p>
        </w:tc>
        <w:tc>
          <w:tcPr>
            <w:tcW w:w="120" w:type="dxa"/>
            <w:vAlign w:val="bottom"/>
          </w:tcPr>
          <w:p>
            <w:pPr>
              <w:spacing w:after="0"/>
              <w:rPr>
                <w:sz w:val="21"/>
                <w:szCs w:val="21"/>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10,528</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125" w:right="239" w:bottom="757"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125" w:right="239" w:bottom="757"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EARNINGS</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6"/>
          </w:tcPr>
          <w:p>
            <w:pPr>
              <w:jc w:val="center"/>
              <w:ind w:left="468"/>
              <w:spacing w:after="0"/>
              <w:rPr>
                <w:sz w:val="20"/>
                <w:szCs w:val="20"/>
                <w:color w:val="auto"/>
              </w:rPr>
            </w:pPr>
            <w:r>
              <w:rPr>
                <w:rFonts w:ascii="Arial" w:cs="Arial" w:eastAsia="Arial" w:hAnsi="Arial"/>
                <w:sz w:val="14"/>
                <w:szCs w:val="14"/>
                <w:b w:val="1"/>
                <w:bCs w:val="1"/>
                <w:color w:val="auto"/>
                <w:w w:val="93"/>
              </w:rPr>
              <w:t>Year Ended December 31,</w:t>
            </w:r>
          </w:p>
        </w:tc>
        <w:tc>
          <w:tcPr>
            <w:tcW w:w="780" w:type="dxa"/>
            <w:vAlign w:val="bottom"/>
            <w:tcBorders>
              <w:bottom w:val="single" w:sz="8" w:color="auto"/>
            </w:tcBorders>
          </w:tcPr>
          <w:p>
            <w:pPr>
              <w:spacing w:after="0"/>
              <w:rPr>
                <w:sz w:val="16"/>
                <w:szCs w:val="16"/>
                <w:color w:val="auto"/>
              </w:rPr>
            </w:pPr>
          </w:p>
        </w:tc>
      </w:tr>
      <w:tr>
        <w:trPr>
          <w:trHeight w:val="264"/>
        </w:trPr>
        <w:tc>
          <w:tcPr>
            <w:tcW w:w="77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2012</w:t>
            </w:r>
          </w:p>
        </w:tc>
      </w:tr>
      <w:tr>
        <w:trPr>
          <w:trHeight w:val="196"/>
        </w:trPr>
        <w:tc>
          <w:tcPr>
            <w:tcW w:w="7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80" w:type="dxa"/>
            <w:vAlign w:val="bottom"/>
            <w:gridSpan w:val="6"/>
          </w:tcPr>
          <w:p>
            <w:pPr>
              <w:jc w:val="center"/>
              <w:ind w:left="488"/>
              <w:spacing w:after="0"/>
              <w:rPr>
                <w:sz w:val="20"/>
                <w:szCs w:val="20"/>
                <w:color w:val="auto"/>
              </w:rPr>
            </w:pPr>
            <w:r>
              <w:rPr>
                <w:rFonts w:ascii="Arial" w:cs="Arial" w:eastAsia="Arial" w:hAnsi="Arial"/>
                <w:sz w:val="14"/>
                <w:szCs w:val="14"/>
                <w:b w:val="1"/>
                <w:bCs w:val="1"/>
                <w:color w:val="auto"/>
                <w:w w:val="92"/>
              </w:rPr>
              <w:t>(In millions, except share data)</w:t>
            </w:r>
          </w:p>
        </w:tc>
        <w:tc>
          <w:tcPr>
            <w:tcW w:w="780" w:type="dxa"/>
            <w:vAlign w:val="bottom"/>
          </w:tcPr>
          <w:p>
            <w:pPr>
              <w:spacing w:after="0"/>
              <w:rPr>
                <w:sz w:val="17"/>
                <w:szCs w:val="17"/>
                <w:color w:val="auto"/>
              </w:rPr>
            </w:pPr>
          </w:p>
        </w:tc>
      </w:tr>
      <w:tr>
        <w:trPr>
          <w:trHeight w:val="276"/>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64"/>
        </w:trPr>
        <w:tc>
          <w:tcPr>
            <w:tcW w:w="7760" w:type="dxa"/>
            <w:vAlign w:val="bottom"/>
          </w:tcPr>
          <w:p>
            <w:pPr>
              <w:ind w:left="160"/>
              <w:spacing w:after="0"/>
              <w:rPr>
                <w:sz w:val="20"/>
                <w:szCs w:val="20"/>
                <w:color w:val="auto"/>
              </w:rPr>
            </w:pPr>
            <w:r>
              <w:rPr>
                <w:rFonts w:ascii="Arial" w:cs="Arial" w:eastAsia="Arial" w:hAnsi="Arial"/>
                <w:sz w:val="14"/>
                <w:szCs w:val="14"/>
                <w:color w:val="auto"/>
              </w:rPr>
              <w:t>Direct title insurance premiums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1,727</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1,800</w:t>
            </w:r>
          </w:p>
        </w:tc>
        <w:tc>
          <w:tcPr>
            <w:tcW w:w="10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1,732</w:t>
            </w:r>
          </w:p>
        </w:tc>
      </w:tr>
      <w:tr>
        <w:trPr>
          <w:trHeight w:val="276"/>
        </w:trPr>
        <w:tc>
          <w:tcPr>
            <w:tcW w:w="7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Agency title insurance premiums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1,944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2,352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2,101</w:t>
            </w:r>
          </w:p>
        </w:tc>
      </w:tr>
      <w:tr>
        <w:trPr>
          <w:trHeight w:val="264"/>
        </w:trPr>
        <w:tc>
          <w:tcPr>
            <w:tcW w:w="7760" w:type="dxa"/>
            <w:vAlign w:val="bottom"/>
          </w:tcPr>
          <w:p>
            <w:pPr>
              <w:ind w:left="160"/>
              <w:spacing w:after="0"/>
              <w:rPr>
                <w:sz w:val="20"/>
                <w:szCs w:val="20"/>
                <w:color w:val="auto"/>
              </w:rPr>
            </w:pPr>
            <w:r>
              <w:rPr>
                <w:rFonts w:ascii="Arial" w:cs="Arial" w:eastAsia="Arial" w:hAnsi="Arial"/>
                <w:sz w:val="14"/>
                <w:szCs w:val="14"/>
                <w:color w:val="auto"/>
              </w:rPr>
              <w:t>Escrow, title-related and other fees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2,804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1,737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1,676</w:t>
            </w:r>
          </w:p>
        </w:tc>
      </w:tr>
      <w:tr>
        <w:trPr>
          <w:trHeight w:val="276"/>
        </w:trPr>
        <w:tc>
          <w:tcPr>
            <w:tcW w:w="7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Restaurant revenue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1,408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908</w:t>
            </w:r>
          </w:p>
        </w:tc>
      </w:tr>
      <w:tr>
        <w:trPr>
          <w:trHeight w:val="264"/>
        </w:trPr>
        <w:tc>
          <w:tcPr>
            <w:tcW w:w="7760" w:type="dxa"/>
            <w:vAlign w:val="bottom"/>
          </w:tcPr>
          <w:p>
            <w:pPr>
              <w:ind w:left="160"/>
              <w:spacing w:after="0"/>
              <w:rPr>
                <w:sz w:val="20"/>
                <w:szCs w:val="20"/>
                <w:color w:val="auto"/>
              </w:rPr>
            </w:pPr>
            <w:r>
              <w:rPr>
                <w:rFonts w:ascii="Arial" w:cs="Arial" w:eastAsia="Arial" w:hAnsi="Arial"/>
                <w:sz w:val="14"/>
                <w:szCs w:val="14"/>
                <w:color w:val="auto"/>
              </w:rPr>
              <w:t>Interest and investment income</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143</w:t>
            </w:r>
          </w:p>
        </w:tc>
      </w:tr>
      <w:tr>
        <w:trPr>
          <w:trHeight w:val="270"/>
        </w:trPr>
        <w:tc>
          <w:tcPr>
            <w:tcW w:w="7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Realized gains and losses, net</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108</w:t>
            </w:r>
          </w:p>
        </w:tc>
      </w:tr>
      <w:tr>
        <w:trPr>
          <w:trHeight w:val="250"/>
        </w:trPr>
        <w:tc>
          <w:tcPr>
            <w:tcW w:w="77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revenues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8,024</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7,440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6,668</w:t>
            </w:r>
          </w:p>
        </w:tc>
      </w:tr>
      <w:tr>
        <w:trPr>
          <w:trHeight w:val="256"/>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Expenses: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r>
      <w:tr>
        <w:trPr>
          <w:trHeight w:val="264"/>
        </w:trPr>
        <w:tc>
          <w:tcPr>
            <w:tcW w:w="7760" w:type="dxa"/>
            <w:vAlign w:val="bottom"/>
          </w:tcPr>
          <w:p>
            <w:pPr>
              <w:ind w:left="160"/>
              <w:spacing w:after="0"/>
              <w:rPr>
                <w:sz w:val="20"/>
                <w:szCs w:val="20"/>
                <w:color w:val="auto"/>
              </w:rPr>
            </w:pPr>
            <w:r>
              <w:rPr>
                <w:rFonts w:ascii="Arial" w:cs="Arial" w:eastAsia="Arial" w:hAnsi="Arial"/>
                <w:sz w:val="14"/>
                <w:szCs w:val="14"/>
                <w:color w:val="auto"/>
              </w:rPr>
              <w:t>Personnel costs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2,540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2,061</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1,834</w:t>
            </w:r>
          </w:p>
        </w:tc>
      </w:tr>
      <w:tr>
        <w:trPr>
          <w:trHeight w:val="276"/>
        </w:trPr>
        <w:tc>
          <w:tcPr>
            <w:tcW w:w="7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Agent commissions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1,471</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1,789</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1,600</w:t>
            </w:r>
          </w:p>
        </w:tc>
      </w:tr>
      <w:tr>
        <w:trPr>
          <w:trHeight w:val="264"/>
        </w:trPr>
        <w:tc>
          <w:tcPr>
            <w:tcW w:w="7760" w:type="dxa"/>
            <w:vAlign w:val="bottom"/>
          </w:tcPr>
          <w:p>
            <w:pPr>
              <w:ind w:left="160"/>
              <w:spacing w:after="0"/>
              <w:rPr>
                <w:sz w:val="20"/>
                <w:szCs w:val="20"/>
                <w:color w:val="auto"/>
              </w:rPr>
            </w:pPr>
            <w:r>
              <w:rPr>
                <w:rFonts w:ascii="Arial" w:cs="Arial" w:eastAsia="Arial" w:hAnsi="Arial"/>
                <w:sz w:val="14"/>
                <w:szCs w:val="14"/>
                <w:color w:val="auto"/>
              </w:rPr>
              <w:t>Other operating expenses</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1,643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1,273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1,269</w:t>
            </w:r>
          </w:p>
        </w:tc>
      </w:tr>
      <w:tr>
        <w:trPr>
          <w:trHeight w:val="276"/>
        </w:trPr>
        <w:tc>
          <w:tcPr>
            <w:tcW w:w="7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Cost of restaurant revenue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1,220</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1,204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773</w:t>
            </w:r>
          </w:p>
        </w:tc>
      </w:tr>
      <w:tr>
        <w:trPr>
          <w:trHeight w:val="264"/>
        </w:trPr>
        <w:tc>
          <w:tcPr>
            <w:tcW w:w="7760" w:type="dxa"/>
            <w:vAlign w:val="bottom"/>
          </w:tcPr>
          <w:p>
            <w:pPr>
              <w:ind w:left="16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403</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103</w:t>
            </w:r>
          </w:p>
        </w:tc>
      </w:tr>
      <w:tr>
        <w:trPr>
          <w:trHeight w:val="276"/>
        </w:trPr>
        <w:tc>
          <w:tcPr>
            <w:tcW w:w="77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Provision for title claim losses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279</w:t>
            </w:r>
          </w:p>
        </w:tc>
      </w:tr>
      <w:tr>
        <w:trPr>
          <w:trHeight w:val="264"/>
        </w:trPr>
        <w:tc>
          <w:tcPr>
            <w:tcW w:w="776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Interest expense</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w:t>
            </w:r>
          </w:p>
        </w:tc>
      </w:tr>
      <w:tr>
        <w:trPr>
          <w:trHeight w:val="250"/>
        </w:trPr>
        <w:tc>
          <w:tcPr>
            <w:tcW w:w="77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expenses</w:t>
            </w: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7,632</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6,824</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5,922</w:t>
            </w:r>
          </w:p>
        </w:tc>
      </w:tr>
      <w:tr>
        <w:trPr>
          <w:trHeight w:val="250"/>
        </w:trPr>
        <w:tc>
          <w:tcPr>
            <w:tcW w:w="7760" w:type="dxa"/>
            <w:vAlign w:val="bottom"/>
          </w:tcPr>
          <w:p>
            <w:pPr>
              <w:ind w:left="20"/>
              <w:spacing w:after="0"/>
              <w:rPr>
                <w:sz w:val="20"/>
                <w:szCs w:val="20"/>
                <w:color w:val="auto"/>
              </w:rPr>
            </w:pPr>
            <w:r>
              <w:rPr>
                <w:rFonts w:ascii="Arial" w:cs="Arial" w:eastAsia="Arial" w:hAnsi="Arial"/>
                <w:sz w:val="14"/>
                <w:szCs w:val="14"/>
                <w:color w:val="auto"/>
              </w:rPr>
              <w:t>Earnings from continuing operations before income taxes and equity in earnings (loss) of unconsolidated affiliates</w:t>
            </w: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392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616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746</w:t>
            </w:r>
          </w:p>
        </w:tc>
      </w:tr>
      <w:tr>
        <w:trPr>
          <w:trHeight w:val="270"/>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on continuing operations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312</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195</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242</w:t>
            </w:r>
          </w:p>
        </w:tc>
      </w:tr>
      <w:tr>
        <w:trPr>
          <w:trHeight w:val="250"/>
        </w:trPr>
        <w:tc>
          <w:tcPr>
            <w:tcW w:w="7760" w:type="dxa"/>
            <w:vAlign w:val="bottom"/>
          </w:tcPr>
          <w:p>
            <w:pPr>
              <w:ind w:left="20"/>
              <w:spacing w:after="0"/>
              <w:rPr>
                <w:sz w:val="20"/>
                <w:szCs w:val="20"/>
                <w:color w:val="auto"/>
              </w:rPr>
            </w:pPr>
            <w:r>
              <w:rPr>
                <w:rFonts w:ascii="Arial" w:cs="Arial" w:eastAsia="Arial" w:hAnsi="Arial"/>
                <w:sz w:val="14"/>
                <w:szCs w:val="14"/>
                <w:color w:val="auto"/>
              </w:rPr>
              <w:t>Earnings from continuing operations before equity in earnings (loss) of unconsolidated affiliates</w:t>
            </w: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421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504</w:t>
            </w:r>
          </w:p>
        </w:tc>
      </w:tr>
      <w:tr>
        <w:trPr>
          <w:trHeight w:val="270"/>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(loss) of unconsolidated affiliates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432</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r>
      <w:tr>
        <w:trPr>
          <w:trHeight w:val="250"/>
        </w:trPr>
        <w:tc>
          <w:tcPr>
            <w:tcW w:w="7760" w:type="dxa"/>
            <w:vAlign w:val="bottom"/>
          </w:tcPr>
          <w:p>
            <w:pPr>
              <w:ind w:left="20"/>
              <w:spacing w:after="0"/>
              <w:rPr>
                <w:sz w:val="20"/>
                <w:szCs w:val="20"/>
                <w:color w:val="auto"/>
              </w:rPr>
            </w:pPr>
            <w:r>
              <w:rPr>
                <w:rFonts w:ascii="Arial" w:cs="Arial" w:eastAsia="Arial" w:hAnsi="Arial"/>
                <w:sz w:val="14"/>
                <w:szCs w:val="14"/>
                <w:color w:val="auto"/>
              </w:rPr>
              <w:t>Net earnings from continuing operations</w:t>
            </w: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512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514</w:t>
            </w:r>
          </w:p>
        </w:tc>
      </w:tr>
      <w:tr>
        <w:trPr>
          <w:trHeight w:val="270"/>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Earnings from discontinued operations, net of tax</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w:t>
            </w:r>
          </w:p>
        </w:tc>
      </w:tr>
      <w:tr>
        <w:trPr>
          <w:trHeight w:val="250"/>
        </w:trPr>
        <w:tc>
          <w:tcPr>
            <w:tcW w:w="7760" w:type="dxa"/>
            <w:vAlign w:val="bottom"/>
          </w:tcPr>
          <w:p>
            <w:pPr>
              <w:ind w:left="20"/>
              <w:spacing w:after="0"/>
              <w:rPr>
                <w:sz w:val="20"/>
                <w:szCs w:val="20"/>
                <w:color w:val="auto"/>
              </w:rPr>
            </w:pPr>
            <w:r>
              <w:rPr>
                <w:rFonts w:ascii="Arial" w:cs="Arial" w:eastAsia="Arial" w:hAnsi="Arial"/>
                <w:sz w:val="14"/>
                <w:szCs w:val="14"/>
                <w:color w:val="auto"/>
              </w:rPr>
              <w:t>Net earnings</w:t>
            </w:r>
          </w:p>
        </w:tc>
        <w:tc>
          <w:tcPr>
            <w:tcW w:w="260" w:type="dxa"/>
            <w:vAlign w:val="bottom"/>
          </w:tcPr>
          <w:p>
            <w:pPr>
              <w:spacing w:after="0"/>
              <w:rPr>
                <w:sz w:val="21"/>
                <w:szCs w:val="21"/>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519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612</w:t>
            </w:r>
          </w:p>
        </w:tc>
      </w:tr>
      <w:tr>
        <w:trPr>
          <w:trHeight w:val="270"/>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Net (loss) earnings attributable to non-controlling interests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r>
      <w:tr>
        <w:trPr>
          <w:trHeight w:val="283"/>
        </w:trPr>
        <w:tc>
          <w:tcPr>
            <w:tcW w:w="7760" w:type="dxa"/>
            <w:vAlign w:val="bottom"/>
          </w:tcPr>
          <w:p>
            <w:pPr>
              <w:ind w:left="380"/>
              <w:spacing w:after="0"/>
              <w:rPr>
                <w:sz w:val="20"/>
                <w:szCs w:val="20"/>
                <w:color w:val="auto"/>
              </w:rPr>
            </w:pPr>
            <w:r>
              <w:rPr>
                <w:rFonts w:ascii="Arial" w:cs="Arial" w:eastAsia="Arial" w:hAnsi="Arial"/>
                <w:sz w:val="14"/>
                <w:szCs w:val="14"/>
                <w:color w:val="auto"/>
              </w:rPr>
              <w:t>Net earnings attributable to Fidelity National Financial, Inc. common shareholders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583</w:t>
            </w:r>
          </w:p>
        </w:tc>
        <w:tc>
          <w:tcPr>
            <w:tcW w:w="3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394</w:t>
            </w:r>
          </w:p>
        </w:tc>
        <w:tc>
          <w:tcPr>
            <w:tcW w:w="10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607</w:t>
            </w:r>
          </w:p>
        </w:tc>
      </w:tr>
      <w:tr>
        <w:trPr>
          <w:trHeight w:val="210"/>
        </w:trPr>
        <w:tc>
          <w:tcPr>
            <w:tcW w:w="77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r>
      <w:tr>
        <w:trPr>
          <w:trHeight w:val="264"/>
        </w:trPr>
        <w:tc>
          <w:tcPr>
            <w:tcW w:w="7760" w:type="dxa"/>
            <w:vAlign w:val="bottom"/>
          </w:tcPr>
          <w:p>
            <w:pPr>
              <w:ind w:left="20"/>
              <w:spacing w:after="0"/>
              <w:rPr>
                <w:sz w:val="20"/>
                <w:szCs w:val="20"/>
                <w:color w:val="auto"/>
              </w:rPr>
            </w:pPr>
            <w:r>
              <w:rPr>
                <w:rFonts w:ascii="Arial" w:cs="Arial" w:eastAsia="Arial" w:hAnsi="Arial"/>
                <w:sz w:val="14"/>
                <w:szCs w:val="14"/>
                <w:b w:val="1"/>
                <w:bCs w:val="1"/>
                <w:color w:val="auto"/>
              </w:rPr>
              <w:t>Amounts attributable to Fidelity National Financial, Inc., common shareholders: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6"/>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earnings from continuing operations, attributable to Old FNF common shareholders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551</w:t>
            </w:r>
          </w:p>
        </w:tc>
      </w:tr>
      <w:tr>
        <w:trPr>
          <w:trHeight w:val="264"/>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earnings from discontinued operations, attributable to Old FNF common shareholders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w:t>
            </w:r>
          </w:p>
        </w:tc>
      </w:tr>
      <w:tr>
        <w:trPr>
          <w:trHeight w:val="243"/>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earnings attributable to Old FNF common shareholders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607</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776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r>
      <w:tr>
        <w:trPr>
          <w:trHeight w:val="237"/>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earnings attributable to FNF Group common shareholders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64"/>
        </w:trPr>
        <w:tc>
          <w:tcPr>
            <w:tcW w:w="7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0"/>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earnings from continuing operations, attributable to FNFV Group common shareholders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64"/>
        </w:trPr>
        <w:tc>
          <w:tcPr>
            <w:tcW w:w="7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earnings from discontinued operations, attributable to FNFV Group common shareholders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r>
      <w:tr>
        <w:trPr>
          <w:trHeight w:val="243"/>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earnings attributable to FNFV Group common shareholders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0"/>
        </w:trPr>
        <w:tc>
          <w:tcPr>
            <w:tcW w:w="7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bl>
    <w:p>
      <w:pPr>
        <w:spacing w:after="0" w:line="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00"/>
          </w:cols>
          <w:pgMar w:left="240" w:top="125" w:right="25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EARNINGS - (continued)</w:t>
      </w:r>
    </w:p>
    <w:p>
      <w:pPr>
        <w:spacing w:after="0" w:line="383"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0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40" w:type="dxa"/>
            <w:vAlign w:val="bottom"/>
          </w:tcPr>
          <w:p>
            <w:pPr>
              <w:spacing w:after="0"/>
              <w:rPr>
                <w:sz w:val="16"/>
                <w:szCs w:val="16"/>
                <w:color w:val="auto"/>
              </w:rPr>
            </w:pPr>
          </w:p>
        </w:tc>
      </w:tr>
      <w:tr>
        <w:trPr>
          <w:trHeight w:val="80"/>
        </w:trPr>
        <w:tc>
          <w:tcPr>
            <w:tcW w:w="8100" w:type="dxa"/>
            <w:vAlign w:val="bottom"/>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r>
      <w:tr>
        <w:trPr>
          <w:trHeight w:val="258"/>
        </w:trPr>
        <w:tc>
          <w:tcPr>
            <w:tcW w:w="8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2012</w:t>
            </w:r>
          </w:p>
        </w:tc>
      </w:tr>
      <w:tr>
        <w:trPr>
          <w:trHeight w:val="283"/>
        </w:trPr>
        <w:tc>
          <w:tcPr>
            <w:tcW w:w="8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Earnings per share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i w:val="1"/>
                <w:iCs w:val="1"/>
                <w:color w:val="auto"/>
              </w:rPr>
              <w:t>Basic</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3"/>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per share from continuing operations attributable to Old FNF common shareholders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0.31</w:t>
            </w:r>
          </w:p>
        </w:tc>
        <w:tc>
          <w:tcPr>
            <w:tcW w:w="3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2.48</w:t>
            </w: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Net earnings per share from discontinued operations attributable to Old FNF common shareholders</w:t>
            </w: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0.27</w:t>
            </w:r>
          </w:p>
        </w:tc>
      </w:tr>
      <w:tr>
        <w:trPr>
          <w:trHeight w:val="33"/>
        </w:trPr>
        <w:tc>
          <w:tcPr>
            <w:tcW w:w="8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per share attributable to Old FNF common shareholders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0.33</w:t>
            </w:r>
          </w:p>
        </w:tc>
        <w:tc>
          <w:tcPr>
            <w:tcW w:w="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1.71</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2.75</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8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50"/>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per share attributable to FNF Group common shareholders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0.77</w:t>
            </w:r>
          </w:p>
        </w:tc>
        <w:tc>
          <w:tcPr>
            <w:tcW w:w="34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8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 from continuing operations attributable to FNFV Group common shareholders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Net loss from discontinued operations attributable to FNFV Group common shareholders</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3"/>
        </w:trPr>
        <w:tc>
          <w:tcPr>
            <w:tcW w:w="8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r>
      <w:tr>
        <w:trPr>
          <w:trHeight w:val="244"/>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per share attributable to FNFV Group common shareholders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76"/>
        </w:trPr>
        <w:tc>
          <w:tcPr>
            <w:tcW w:w="8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5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Diluted</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Net earnings per share from continuing operations attributable to Old FNF common shareholders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0.30</w:t>
            </w: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1.64</w:t>
            </w:r>
          </w:p>
        </w:tc>
        <w:tc>
          <w:tcPr>
            <w:tcW w:w="12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2.42</w:t>
            </w:r>
          </w:p>
        </w:tc>
      </w:tr>
      <w:tr>
        <w:trPr>
          <w:trHeight w:val="33"/>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per share from discontinued operations attributable to Old FNF common shareholders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0.27</w:t>
            </w:r>
          </w:p>
        </w:tc>
      </w:tr>
      <w:tr>
        <w:trPr>
          <w:trHeight w:val="284"/>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earnings per share attributable to Old FNF common shareholders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0.32</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1.68</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2.69</w:t>
            </w:r>
          </w:p>
        </w:tc>
      </w:tr>
      <w:tr>
        <w:trPr>
          <w:trHeight w:val="217"/>
        </w:trPr>
        <w:tc>
          <w:tcPr>
            <w:tcW w:w="8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90"/>
        </w:trPr>
        <w:tc>
          <w:tcPr>
            <w:tcW w:w="8100" w:type="dxa"/>
            <w:vAlign w:val="bottom"/>
          </w:tcPr>
          <w:p>
            <w:pPr>
              <w:ind w:left="20"/>
              <w:spacing w:after="0"/>
              <w:rPr>
                <w:sz w:val="20"/>
                <w:szCs w:val="20"/>
                <w:color w:val="auto"/>
              </w:rPr>
            </w:pPr>
            <w:r>
              <w:rPr>
                <w:rFonts w:ascii="Arial" w:cs="Arial" w:eastAsia="Arial" w:hAnsi="Arial"/>
                <w:sz w:val="16"/>
                <w:szCs w:val="16"/>
                <w:color w:val="auto"/>
              </w:rPr>
              <w:t>Net earnings per share attributable to FNF Group common shareholders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0.75</w:t>
            </w: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17"/>
        </w:trPr>
        <w:tc>
          <w:tcPr>
            <w:tcW w:w="8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r>
      <w:tr>
        <w:trPr>
          <w:trHeight w:val="237"/>
        </w:trPr>
        <w:tc>
          <w:tcPr>
            <w:tcW w:w="8100" w:type="dxa"/>
            <w:vAlign w:val="bottom"/>
          </w:tcPr>
          <w:p>
            <w:pPr>
              <w:ind w:left="20"/>
              <w:spacing w:after="0"/>
              <w:rPr>
                <w:sz w:val="20"/>
                <w:szCs w:val="20"/>
                <w:color w:val="auto"/>
              </w:rPr>
            </w:pPr>
            <w:r>
              <w:rPr>
                <w:rFonts w:ascii="Arial" w:cs="Arial" w:eastAsia="Arial" w:hAnsi="Arial"/>
                <w:sz w:val="16"/>
                <w:szCs w:val="16"/>
                <w:color w:val="auto"/>
              </w:rPr>
              <w:t>Net earnings from continuing operations attributable to FNFV Group common shareholders</w:t>
            </w:r>
          </w:p>
        </w:tc>
        <w:tc>
          <w:tcPr>
            <w:tcW w:w="240" w:type="dxa"/>
            <w:vAlign w:val="bottom"/>
          </w:tcPr>
          <w:p>
            <w:pPr>
              <w:spacing w:after="0"/>
              <w:rPr>
                <w:sz w:val="20"/>
                <w:szCs w:val="20"/>
                <w:color w:val="auto"/>
              </w:rPr>
            </w:pP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3.05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33"/>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from discontinued operations attributable to FNFV Group common shareholders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r>
      <w:tr>
        <w:trPr>
          <w:trHeight w:val="284"/>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loss per share attributable to FNFV Group common shareholders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3.01</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r>
      <w:tr>
        <w:trPr>
          <w:trHeight w:val="176"/>
        </w:trPr>
        <w:tc>
          <w:tcPr>
            <w:tcW w:w="8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29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Weighted average shares outstanding Old FNF common stock, basic basis</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230</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221</w:t>
            </w:r>
          </w:p>
        </w:tc>
      </w:tr>
      <w:tr>
        <w:trPr>
          <w:trHeight w:val="23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Old FNF common stock, diluted basis</w:t>
            </w: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235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226</w:t>
            </w: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77"/>
        </w:trPr>
        <w:tc>
          <w:tcPr>
            <w:tcW w:w="8100" w:type="dxa"/>
            <w:vAlign w:val="bottom"/>
          </w:tcPr>
          <w:p>
            <w:pPr>
              <w:ind w:left="20"/>
              <w:spacing w:after="0"/>
              <w:rPr>
                <w:sz w:val="20"/>
                <w:szCs w:val="20"/>
                <w:color w:val="auto"/>
              </w:rPr>
            </w:pPr>
            <w:r>
              <w:rPr>
                <w:rFonts w:ascii="Arial" w:cs="Arial" w:eastAsia="Arial" w:hAnsi="Arial"/>
                <w:sz w:val="16"/>
                <w:szCs w:val="16"/>
                <w:color w:val="auto"/>
              </w:rPr>
              <w:t>Cash dividends paid per share Old FNF common stock</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ind w:right="40"/>
              <w:spacing w:after="0"/>
              <w:rPr>
                <w:sz w:val="20"/>
                <w:szCs w:val="20"/>
                <w:color w:val="auto"/>
              </w:rPr>
            </w:pPr>
            <w:r>
              <w:rPr>
                <w:rFonts w:ascii="Arial" w:cs="Arial" w:eastAsia="Arial" w:hAnsi="Arial"/>
                <w:sz w:val="16"/>
                <w:szCs w:val="16"/>
                <w:color w:val="auto"/>
              </w:rPr>
              <w:t>0.36</w:t>
            </w: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20"/>
              <w:spacing w:after="0"/>
              <w:rPr>
                <w:sz w:val="20"/>
                <w:szCs w:val="20"/>
                <w:color w:val="auto"/>
              </w:rPr>
            </w:pPr>
            <w:r>
              <w:rPr>
                <w:rFonts w:ascii="Arial" w:cs="Arial" w:eastAsia="Arial" w:hAnsi="Arial"/>
                <w:sz w:val="16"/>
                <w:szCs w:val="16"/>
                <w:color w:val="auto"/>
              </w:rPr>
              <w:t>0.66</w:t>
            </w:r>
          </w:p>
        </w:tc>
        <w:tc>
          <w:tcPr>
            <w:tcW w:w="12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20"/>
              <w:spacing w:after="0"/>
              <w:rPr>
                <w:sz w:val="20"/>
                <w:szCs w:val="20"/>
                <w:color w:val="auto"/>
              </w:rPr>
            </w:pPr>
            <w:r>
              <w:rPr>
                <w:rFonts w:ascii="Arial" w:cs="Arial" w:eastAsia="Arial" w:hAnsi="Arial"/>
                <w:sz w:val="16"/>
                <w:szCs w:val="16"/>
                <w:color w:val="auto"/>
              </w:rPr>
              <w:t>0.58</w:t>
            </w:r>
          </w:p>
        </w:tc>
      </w:tr>
      <w:tr>
        <w:trPr>
          <w:trHeight w:val="176"/>
        </w:trPr>
        <w:tc>
          <w:tcPr>
            <w:tcW w:w="8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r>
      <w:tr>
        <w:trPr>
          <w:trHeight w:val="29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Weighted average shares outstanding FNF Group common stock, basic basis</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138</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r>
      <w:tr>
        <w:trPr>
          <w:trHeight w:val="23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FNF Group common stock, diluted basis</w:t>
            </w: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142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77"/>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dividends paid per share FNF Group common stock</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0.37</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r>
      <w:tr>
        <w:trPr>
          <w:trHeight w:val="176"/>
        </w:trPr>
        <w:tc>
          <w:tcPr>
            <w:tcW w:w="8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29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Weighted average shares outstanding FNFV Group common stock, basic basis</w:t>
            </w: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46</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r>
      <w:tr>
        <w:trPr>
          <w:trHeight w:val="237"/>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FNFV Group common stock, diluted basis</w:t>
            </w: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47</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25"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EARNINGS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right"/>
              <w:ind w:right="79"/>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2012</w:t>
            </w:r>
          </w:p>
        </w:tc>
      </w:tr>
      <w:tr>
        <w:trPr>
          <w:trHeight w:val="237"/>
        </w:trPr>
        <w:tc>
          <w:tcPr>
            <w:tcW w:w="7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earnings</w:t>
            </w:r>
          </w:p>
        </w:tc>
        <w:tc>
          <w:tcPr>
            <w:tcW w:w="760" w:type="dxa"/>
            <w:vAlign w:val="bottom"/>
            <w:tcBorders>
              <w:bottom w:val="single" w:sz="8" w:color="CCEEFF"/>
            </w:tcBorders>
            <w:shd w:val="clear" w:color="auto" w:fill="CCEEFF"/>
          </w:tcPr>
          <w:p>
            <w:pPr>
              <w:jc w:val="right"/>
              <w:ind w:right="580"/>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7"/>
              </w:rPr>
              <w:t>519</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612</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Other comprehensive (loss) earnings (net of tax):</w:t>
            </w: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33"/>
        </w:trPr>
        <w:tc>
          <w:tcPr>
            <w:tcW w:w="7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0"/>
        </w:trPr>
        <w:tc>
          <w:tcPr>
            <w:tcW w:w="7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Unrealized (loss) gain on investments and other financial instruments, net (excluding investments in</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9"/>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unconsolidated affiliates)</w:t>
            </w:r>
          </w:p>
        </w:tc>
        <w:tc>
          <w:tcPr>
            <w:tcW w:w="76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Unrealized (loss) gain relating to investments in unconsolidated affiliates</w:t>
            </w:r>
          </w:p>
        </w:tc>
        <w:tc>
          <w:tcPr>
            <w:tcW w:w="7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23</w:t>
            </w:r>
          </w:p>
        </w:tc>
      </w:tr>
      <w:tr>
        <w:trPr>
          <w:trHeight w:val="33"/>
        </w:trPr>
        <w:tc>
          <w:tcPr>
            <w:tcW w:w="7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Unrealized (loss) gain on foreign currency translation and cash flow hedging</w:t>
            </w: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r>
      <w:tr>
        <w:trPr>
          <w:trHeight w:val="237"/>
        </w:trPr>
        <w:tc>
          <w:tcPr>
            <w:tcW w:w="7780" w:type="dxa"/>
            <w:vAlign w:val="bottom"/>
          </w:tcPr>
          <w:p>
            <w:pPr>
              <w:ind w:left="280"/>
              <w:spacing w:after="0"/>
              <w:rPr>
                <w:sz w:val="20"/>
                <w:szCs w:val="20"/>
                <w:color w:val="auto"/>
              </w:rPr>
            </w:pPr>
            <w:r>
              <w:rPr>
                <w:rFonts w:ascii="Arial" w:cs="Arial" w:eastAsia="Arial" w:hAnsi="Arial"/>
                <w:sz w:val="16"/>
                <w:szCs w:val="16"/>
                <w:color w:val="auto"/>
              </w:rPr>
              <w:t>Reclassification adjustments for change in unrealized gains and losses included in net earnings</w:t>
            </w:r>
          </w:p>
        </w:tc>
        <w:tc>
          <w:tcPr>
            <w:tcW w:w="760" w:type="dxa"/>
            <w:vAlign w:val="bottom"/>
          </w:tcPr>
          <w:p>
            <w:pPr>
              <w:spacing w:after="0"/>
              <w:rPr>
                <w:sz w:val="20"/>
                <w:szCs w:val="20"/>
                <w:color w:val="auto"/>
              </w:rPr>
            </w:pPr>
          </w:p>
        </w:tc>
        <w:tc>
          <w:tcPr>
            <w:tcW w:w="40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33"/>
        </w:trPr>
        <w:tc>
          <w:tcPr>
            <w:tcW w:w="7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Minimum pension liability adjustment</w:t>
            </w:r>
          </w:p>
        </w:tc>
        <w:tc>
          <w:tcPr>
            <w:tcW w:w="7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w:t>
            </w:r>
          </w:p>
        </w:tc>
      </w:tr>
      <w:tr>
        <w:trPr>
          <w:trHeight w:val="217"/>
        </w:trPr>
        <w:tc>
          <w:tcPr>
            <w:tcW w:w="7780" w:type="dxa"/>
            <w:vAlign w:val="bottom"/>
          </w:tcPr>
          <w:p>
            <w:pPr>
              <w:ind w:left="40"/>
              <w:spacing w:after="0"/>
              <w:rPr>
                <w:sz w:val="20"/>
                <w:szCs w:val="20"/>
                <w:color w:val="auto"/>
              </w:rPr>
            </w:pPr>
            <w:r>
              <w:rPr>
                <w:rFonts w:ascii="Arial" w:cs="Arial" w:eastAsia="Arial" w:hAnsi="Arial"/>
                <w:sz w:val="16"/>
                <w:szCs w:val="16"/>
                <w:color w:val="auto"/>
              </w:rPr>
              <w:t>Other comprehensive (loss) earnings</w:t>
            </w:r>
          </w:p>
        </w:tc>
        <w:tc>
          <w:tcPr>
            <w:tcW w:w="7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65</w:t>
            </w:r>
          </w:p>
        </w:tc>
      </w:tr>
      <w:tr>
        <w:trPr>
          <w:trHeight w:val="33"/>
        </w:trPr>
        <w:tc>
          <w:tcPr>
            <w:tcW w:w="77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earnings</w:t>
            </w:r>
          </w:p>
        </w:tc>
        <w:tc>
          <w:tcPr>
            <w:tcW w:w="7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97"/>
              </w:rPr>
              <w:t>479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389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677</w:t>
            </w:r>
          </w:p>
        </w:tc>
      </w:tr>
      <w:tr>
        <w:trPr>
          <w:trHeight w:val="237"/>
        </w:trPr>
        <w:tc>
          <w:tcPr>
            <w:tcW w:w="7780" w:type="dxa"/>
            <w:vAlign w:val="bottom"/>
          </w:tcPr>
          <w:p>
            <w:pPr>
              <w:ind w:left="40"/>
              <w:spacing w:after="0"/>
              <w:rPr>
                <w:sz w:val="20"/>
                <w:szCs w:val="20"/>
                <w:color w:val="auto"/>
              </w:rPr>
            </w:pPr>
            <w:r>
              <w:rPr>
                <w:rFonts w:ascii="Arial" w:cs="Arial" w:eastAsia="Arial" w:hAnsi="Arial"/>
                <w:sz w:val="16"/>
                <w:szCs w:val="16"/>
                <w:color w:val="auto"/>
              </w:rPr>
              <w:t>Less: Comprehensive (loss) earnings attributable to noncontrolling interests</w:t>
            </w:r>
          </w:p>
        </w:tc>
        <w:tc>
          <w:tcPr>
            <w:tcW w:w="7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40"/>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w:t>
            </w:r>
          </w:p>
        </w:tc>
      </w:tr>
      <w:tr>
        <w:trPr>
          <w:trHeight w:val="33"/>
        </w:trPr>
        <w:tc>
          <w:tcPr>
            <w:tcW w:w="77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earnings attributable to Fidelity National Financial Inc. common shareholders</w:t>
            </w:r>
          </w:p>
        </w:tc>
        <w:tc>
          <w:tcPr>
            <w:tcW w:w="760" w:type="dxa"/>
            <w:vAlign w:val="bottom"/>
            <w:shd w:val="clear" w:color="auto" w:fill="CCEEFF"/>
          </w:tcPr>
          <w:p>
            <w:pPr>
              <w:jc w:val="right"/>
              <w:ind w:right="580"/>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97"/>
              </w:rPr>
              <w:t>543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372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672</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84"/>
        </w:trPr>
        <w:tc>
          <w:tcPr>
            <w:tcW w:w="7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77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earnings attributable to Old FNF common shareholders</w:t>
            </w:r>
          </w:p>
        </w:tc>
        <w:tc>
          <w:tcPr>
            <w:tcW w:w="760" w:type="dxa"/>
            <w:vAlign w:val="bottom"/>
            <w:shd w:val="clear" w:color="auto" w:fill="CCEEFF"/>
          </w:tcPr>
          <w:p>
            <w:pPr>
              <w:jc w:val="right"/>
              <w:ind w:right="580"/>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w w:val="97"/>
              </w:rPr>
              <w:t>111</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372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672</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22"/>
        </w:trPr>
        <w:tc>
          <w:tcPr>
            <w:tcW w:w="7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earnings attributable to FNF Group common shareholders</w:t>
            </w:r>
          </w:p>
        </w:tc>
        <w:tc>
          <w:tcPr>
            <w:tcW w:w="760" w:type="dxa"/>
            <w:vAlign w:val="bottom"/>
            <w:tcBorders>
              <w:bottom w:val="single" w:sz="8" w:color="auto"/>
            </w:tcBorders>
            <w:shd w:val="clear" w:color="auto" w:fill="CCEEFF"/>
          </w:tcPr>
          <w:p>
            <w:pPr>
              <w:jc w:val="right"/>
              <w:ind w:right="580"/>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97"/>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0"/>
        </w:trPr>
        <w:tc>
          <w:tcPr>
            <w:tcW w:w="77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22"/>
        </w:trPr>
        <w:tc>
          <w:tcPr>
            <w:tcW w:w="7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Comprehensive earnings attributable to FNFV Group common shareholders</w:t>
            </w:r>
          </w:p>
        </w:tc>
        <w:tc>
          <w:tcPr>
            <w:tcW w:w="760" w:type="dxa"/>
            <w:vAlign w:val="bottom"/>
            <w:tcBorders>
              <w:bottom w:val="single" w:sz="8" w:color="auto"/>
            </w:tcBorders>
            <w:shd w:val="clear" w:color="auto" w:fill="CCEEFF"/>
          </w:tcPr>
          <w:p>
            <w:pPr>
              <w:jc w:val="right"/>
              <w:ind w:right="580"/>
              <w:spacing w:after="0"/>
              <w:rPr>
                <w:sz w:val="20"/>
                <w:szCs w:val="20"/>
                <w:color w:val="auto"/>
              </w:rPr>
            </w:pPr>
            <w:r>
              <w:rPr>
                <w:rFonts w:ascii="Arial" w:cs="Arial" w:eastAsia="Arial" w:hAnsi="Arial"/>
                <w:sz w:val="16"/>
                <w:szCs w:val="16"/>
                <w:color w:val="auto"/>
                <w:w w:val="89"/>
              </w:rPr>
              <w:t>$</w:t>
            </w:r>
          </w:p>
        </w:tc>
        <w:tc>
          <w:tcPr>
            <w:tcW w:w="4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w w:val="97"/>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0"/>
        </w:trPr>
        <w:tc>
          <w:tcPr>
            <w:tcW w:w="77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8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080" w:type="dxa"/>
            <w:vAlign w:val="bottom"/>
            <w:tcBorders>
              <w:bottom w:val="single" w:sz="8" w:color="auto"/>
            </w:tcBorders>
            <w:gridSpan w:val="11"/>
          </w:tcPr>
          <w:p>
            <w:pPr>
              <w:ind w:left="80"/>
              <w:spacing w:after="0"/>
              <w:rPr>
                <w:sz w:val="20"/>
                <w:szCs w:val="20"/>
                <w:color w:val="auto"/>
              </w:rPr>
            </w:pPr>
            <w:r>
              <w:rPr>
                <w:rFonts w:ascii="Arial" w:cs="Arial" w:eastAsia="Arial" w:hAnsi="Arial"/>
                <w:sz w:val="13"/>
                <w:szCs w:val="13"/>
                <w:b w:val="1"/>
                <w:bCs w:val="1"/>
                <w:color w:val="auto"/>
                <w:w w:val="88"/>
              </w:rPr>
              <w:t>Fidelity National Financial, Inc. Common Shareholders</w:t>
            </w: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680" w:type="dxa"/>
            <w:vAlign w:val="bottom"/>
          </w:tcPr>
          <w:p>
            <w:pPr>
              <w:spacing w:after="0"/>
              <w:rPr>
                <w:sz w:val="12"/>
                <w:szCs w:val="12"/>
                <w:color w:val="auto"/>
              </w:rPr>
            </w:pPr>
          </w:p>
        </w:tc>
        <w:tc>
          <w:tcPr>
            <w:tcW w:w="1060" w:type="dxa"/>
            <w:vAlign w:val="bottom"/>
            <w:gridSpan w:val="4"/>
            <w:vMerge w:val="restart"/>
          </w:tcPr>
          <w:p>
            <w:pPr>
              <w:ind w:left="160"/>
              <w:spacing w:after="0"/>
              <w:rPr>
                <w:sz w:val="20"/>
                <w:szCs w:val="20"/>
                <w:color w:val="auto"/>
              </w:rPr>
            </w:pPr>
            <w:r>
              <w:rPr>
                <w:rFonts w:ascii="Arial" w:cs="Arial" w:eastAsia="Arial" w:hAnsi="Arial"/>
                <w:sz w:val="13"/>
                <w:szCs w:val="13"/>
                <w:b w:val="1"/>
                <w:bCs w:val="1"/>
                <w:color w:val="auto"/>
              </w:rPr>
              <w:t>FNF Class A</w:t>
            </w:r>
          </w:p>
        </w:tc>
        <w:tc>
          <w:tcPr>
            <w:tcW w:w="980" w:type="dxa"/>
            <w:vAlign w:val="bottom"/>
            <w:gridSpan w:val="3"/>
            <w:vMerge w:val="restart"/>
          </w:tcPr>
          <w:p>
            <w:pPr>
              <w:ind w:left="200"/>
              <w:spacing w:after="0"/>
              <w:rPr>
                <w:sz w:val="20"/>
                <w:szCs w:val="20"/>
                <w:color w:val="auto"/>
              </w:rPr>
            </w:pPr>
            <w:r>
              <w:rPr>
                <w:rFonts w:ascii="Arial" w:cs="Arial" w:eastAsia="Arial" w:hAnsi="Arial"/>
                <w:sz w:val="13"/>
                <w:szCs w:val="13"/>
                <w:b w:val="1"/>
                <w:bCs w:val="1"/>
                <w:color w:val="auto"/>
              </w:rPr>
              <w:t>FNF Group</w:t>
            </w:r>
          </w:p>
        </w:tc>
        <w:tc>
          <w:tcPr>
            <w:tcW w:w="120" w:type="dxa"/>
            <w:vAlign w:val="bottom"/>
          </w:tcPr>
          <w:p>
            <w:pPr>
              <w:spacing w:after="0"/>
              <w:rPr>
                <w:sz w:val="12"/>
                <w:szCs w:val="12"/>
                <w:color w:val="auto"/>
              </w:rPr>
            </w:pPr>
          </w:p>
        </w:tc>
        <w:tc>
          <w:tcPr>
            <w:tcW w:w="98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FNFV Group</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8"/>
              </w:rPr>
              <w:t>Accumulated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68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2"/>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Other</w:t>
            </w: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1680" w:type="dxa"/>
            <w:vAlign w:val="bottom"/>
          </w:tcPr>
          <w:p>
            <w:pPr>
              <w:spacing w:after="0"/>
              <w:rPr>
                <w:sz w:val="7"/>
                <w:szCs w:val="7"/>
                <w:color w:val="auto"/>
              </w:rPr>
            </w:pPr>
          </w:p>
        </w:tc>
        <w:tc>
          <w:tcPr>
            <w:tcW w:w="1060" w:type="dxa"/>
            <w:vAlign w:val="bottom"/>
            <w:gridSpan w:val="4"/>
            <w:vMerge w:val="restart"/>
          </w:tcPr>
          <w:p>
            <w:pPr>
              <w:ind w:left="80"/>
              <w:spacing w:after="0"/>
              <w:rPr>
                <w:sz w:val="20"/>
                <w:szCs w:val="20"/>
                <w:color w:val="auto"/>
              </w:rPr>
            </w:pPr>
            <w:r>
              <w:rPr>
                <w:rFonts w:ascii="Arial" w:cs="Arial" w:eastAsia="Arial" w:hAnsi="Arial"/>
                <w:sz w:val="13"/>
                <w:szCs w:val="13"/>
                <w:b w:val="1"/>
                <w:bCs w:val="1"/>
                <w:color w:val="auto"/>
              </w:rPr>
              <w:t>Common Stock</w:t>
            </w:r>
          </w:p>
        </w:tc>
        <w:tc>
          <w:tcPr>
            <w:tcW w:w="980" w:type="dxa"/>
            <w:vAlign w:val="bottom"/>
            <w:gridSpan w:val="3"/>
            <w:vMerge w:val="restart"/>
          </w:tcPr>
          <w:p>
            <w:pPr>
              <w:ind w:left="100"/>
              <w:spacing w:after="0"/>
              <w:rPr>
                <w:sz w:val="20"/>
                <w:szCs w:val="20"/>
                <w:color w:val="auto"/>
              </w:rPr>
            </w:pPr>
            <w:r>
              <w:rPr>
                <w:rFonts w:ascii="Arial" w:cs="Arial" w:eastAsia="Arial" w:hAnsi="Arial"/>
                <w:sz w:val="13"/>
                <w:szCs w:val="13"/>
                <w:b w:val="1"/>
                <w:bCs w:val="1"/>
                <w:color w:val="auto"/>
                <w:w w:val="90"/>
              </w:rPr>
              <w:t>Common Stock</w:t>
            </w:r>
          </w:p>
        </w:tc>
        <w:tc>
          <w:tcPr>
            <w:tcW w:w="120" w:type="dxa"/>
            <w:vAlign w:val="bottom"/>
          </w:tcPr>
          <w:p>
            <w:pPr>
              <w:spacing w:after="0"/>
              <w:rPr>
                <w:sz w:val="7"/>
                <w:szCs w:val="7"/>
                <w:color w:val="auto"/>
              </w:rPr>
            </w:pPr>
          </w:p>
        </w:tc>
        <w:tc>
          <w:tcPr>
            <w:tcW w:w="98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w w:val="96"/>
              </w:rPr>
              <w:t>Common Stock</w:t>
            </w: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240" w:type="dxa"/>
            <w:vAlign w:val="bottom"/>
            <w:gridSpan w:val="4"/>
            <w:vMerge w:val="restart"/>
          </w:tcPr>
          <w:p>
            <w:pPr>
              <w:ind w:left="180"/>
              <w:spacing w:after="0"/>
              <w:rPr>
                <w:sz w:val="20"/>
                <w:szCs w:val="20"/>
                <w:color w:val="auto"/>
              </w:rPr>
            </w:pPr>
            <w:r>
              <w:rPr>
                <w:rFonts w:ascii="Arial" w:cs="Arial" w:eastAsia="Arial" w:hAnsi="Arial"/>
                <w:sz w:val="13"/>
                <w:szCs w:val="13"/>
                <w:b w:val="1"/>
                <w:bCs w:val="1"/>
                <w:color w:val="auto"/>
              </w:rPr>
              <w:t>Treasury Stock</w:t>
            </w: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8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9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gridSpan w:val="3"/>
            <w:vMerge w:val="continue"/>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vMerge w:val="restart"/>
          </w:tcPr>
          <w:p>
            <w:pPr>
              <w:jc w:val="right"/>
              <w:ind w:right="37"/>
              <w:spacing w:after="0" w:line="135" w:lineRule="exact"/>
              <w:rPr>
                <w:sz w:val="20"/>
                <w:szCs w:val="20"/>
                <w:color w:val="auto"/>
              </w:rPr>
            </w:pPr>
            <w:r>
              <w:rPr>
                <w:rFonts w:ascii="Arial" w:cs="Arial" w:eastAsia="Arial" w:hAnsi="Arial"/>
                <w:sz w:val="13"/>
                <w:szCs w:val="13"/>
                <w:b w:val="1"/>
                <w:bCs w:val="1"/>
                <w:color w:val="auto"/>
                <w:w w:val="88"/>
              </w:rPr>
              <w:t>Additional</w:t>
            </w: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3"/>
            <w:vMerge w:val="restart"/>
          </w:tcPr>
          <w:p>
            <w:pPr>
              <w:ind w:left="20"/>
              <w:spacing w:after="0" w:line="135" w:lineRule="exact"/>
              <w:rPr>
                <w:sz w:val="20"/>
                <w:szCs w:val="20"/>
                <w:color w:val="auto"/>
              </w:rPr>
            </w:pPr>
            <w:r>
              <w:rPr>
                <w:rFonts w:ascii="Arial" w:cs="Arial" w:eastAsia="Arial" w:hAnsi="Arial"/>
                <w:sz w:val="13"/>
                <w:szCs w:val="13"/>
                <w:b w:val="1"/>
                <w:bCs w:val="1"/>
                <w:color w:val="auto"/>
                <w:w w:val="98"/>
              </w:rPr>
              <w:t>Comprehensive</w:t>
            </w:r>
          </w:p>
        </w:tc>
        <w:tc>
          <w:tcPr>
            <w:tcW w:w="1240" w:type="dxa"/>
            <w:vAlign w:val="bottom"/>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vMerge w:val="restart"/>
          </w:tcPr>
          <w:p>
            <w:pPr>
              <w:spacing w:after="0" w:line="135" w:lineRule="exact"/>
              <w:rPr>
                <w:sz w:val="20"/>
                <w:szCs w:val="20"/>
                <w:color w:val="auto"/>
              </w:rPr>
            </w:pPr>
            <w:r>
              <w:rPr>
                <w:rFonts w:ascii="Arial" w:cs="Arial" w:eastAsia="Arial" w:hAnsi="Arial"/>
                <w:sz w:val="13"/>
                <w:szCs w:val="13"/>
                <w:b w:val="1"/>
                <w:bCs w:val="1"/>
                <w:color w:val="auto"/>
                <w:w w:val="96"/>
              </w:rPr>
              <w:t>Redeemable</w:t>
            </w: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3"/>
            <w:vMerge w:val="continue"/>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Paid-In</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1"/>
                <w:szCs w:val="11"/>
                <w:color w:val="auto"/>
              </w:rPr>
            </w:pPr>
          </w:p>
        </w:tc>
        <w:tc>
          <w:tcPr>
            <w:tcW w:w="9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Earnings</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7"/>
              </w:rPr>
              <w:t>Noncontrolling</w:t>
            </w:r>
          </w:p>
        </w:tc>
        <w:tc>
          <w:tcPr>
            <w:tcW w:w="100" w:type="dxa"/>
            <w:vAlign w:val="bottom"/>
          </w:tcPr>
          <w:p>
            <w:pPr>
              <w:spacing w:after="0"/>
              <w:rPr>
                <w:sz w:val="11"/>
                <w:szCs w:val="11"/>
                <w:color w:val="auto"/>
              </w:rPr>
            </w:pPr>
          </w:p>
        </w:tc>
        <w:tc>
          <w:tcPr>
            <w:tcW w:w="5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Total</w:t>
            </w:r>
          </w:p>
        </w:tc>
        <w:tc>
          <w:tcPr>
            <w:tcW w:w="86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0" w:type="dxa"/>
            <w:vAlign w:val="bottom"/>
          </w:tcPr>
          <w:p>
            <w:pPr>
              <w:spacing w:after="0"/>
              <w:rPr>
                <w:sz w:val="1"/>
                <w:szCs w:val="1"/>
                <w:color w:val="auto"/>
              </w:rPr>
            </w:pPr>
          </w:p>
        </w:tc>
      </w:tr>
      <w:tr>
        <w:trPr>
          <w:trHeight w:val="174"/>
        </w:trPr>
        <w:tc>
          <w:tcPr>
            <w:tcW w:w="1680" w:type="dxa"/>
            <w:vAlign w:val="bottom"/>
          </w:tcPr>
          <w:p>
            <w:pPr>
              <w:spacing w:after="0"/>
              <w:rPr>
                <w:sz w:val="15"/>
                <w:szCs w:val="15"/>
                <w:color w:val="auto"/>
              </w:rPr>
            </w:pPr>
          </w:p>
        </w:tc>
        <w:tc>
          <w:tcPr>
            <w:tcW w:w="640" w:type="dxa"/>
            <w:vAlign w:val="bottom"/>
            <w:gridSpan w:val="2"/>
          </w:tcPr>
          <w:p>
            <w:pPr>
              <w:ind w:left="80"/>
              <w:spacing w:after="0"/>
              <w:rPr>
                <w:sz w:val="20"/>
                <w:szCs w:val="20"/>
                <w:color w:val="auto"/>
              </w:rPr>
            </w:pPr>
            <w:r>
              <w:rPr>
                <w:rFonts w:ascii="Arial" w:cs="Arial" w:eastAsia="Arial" w:hAnsi="Arial"/>
                <w:sz w:val="13"/>
                <w:szCs w:val="13"/>
                <w:b w:val="1"/>
                <w:bCs w:val="1"/>
                <w:color w:val="auto"/>
              </w:rPr>
              <w:t>Shares</w:t>
            </w:r>
          </w:p>
        </w:tc>
        <w:tc>
          <w:tcPr>
            <w:tcW w:w="320" w:type="dxa"/>
            <w:vAlign w:val="bottom"/>
          </w:tcPr>
          <w:p>
            <w:pPr>
              <w:jc w:val="right"/>
              <w:ind w:right="57"/>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640" w:type="dxa"/>
            <w:vAlign w:val="bottom"/>
            <w:gridSpan w:val="2"/>
          </w:tcPr>
          <w:p>
            <w:pPr>
              <w:ind w:left="100"/>
              <w:spacing w:after="0"/>
              <w:rPr>
                <w:sz w:val="20"/>
                <w:szCs w:val="20"/>
                <w:color w:val="auto"/>
              </w:rPr>
            </w:pPr>
            <w:r>
              <w:rPr>
                <w:rFonts w:ascii="Arial" w:cs="Arial" w:eastAsia="Arial" w:hAnsi="Arial"/>
                <w:sz w:val="13"/>
                <w:szCs w:val="13"/>
                <w:b w:val="1"/>
                <w:bCs w:val="1"/>
                <w:color w:val="auto"/>
              </w:rPr>
              <w:t>Shares</w:t>
            </w:r>
          </w:p>
        </w:tc>
        <w:tc>
          <w:tcPr>
            <w:tcW w:w="340" w:type="dxa"/>
            <w:vAlign w:val="bottom"/>
          </w:tcPr>
          <w:p>
            <w:pPr>
              <w:jc w:val="right"/>
              <w:ind w:right="77"/>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5"/>
                <w:szCs w:val="15"/>
                <w:color w:val="auto"/>
              </w:rPr>
            </w:pPr>
          </w:p>
        </w:tc>
        <w:tc>
          <w:tcPr>
            <w:tcW w:w="540" w:type="dxa"/>
            <w:vAlign w:val="bottom"/>
            <w:gridSpan w:val="2"/>
          </w:tcPr>
          <w:p>
            <w:pPr>
              <w:ind w:left="40"/>
              <w:spacing w:after="0"/>
              <w:rPr>
                <w:sz w:val="20"/>
                <w:szCs w:val="20"/>
                <w:color w:val="auto"/>
              </w:rPr>
            </w:pPr>
            <w:r>
              <w:rPr>
                <w:rFonts w:ascii="Arial" w:cs="Arial" w:eastAsia="Arial" w:hAnsi="Arial"/>
                <w:sz w:val="13"/>
                <w:szCs w:val="13"/>
                <w:b w:val="1"/>
                <w:bCs w:val="1"/>
                <w:color w:val="auto"/>
              </w:rPr>
              <w:t>Shares</w:t>
            </w:r>
          </w:p>
        </w:tc>
        <w:tc>
          <w:tcPr>
            <w:tcW w:w="440" w:type="dxa"/>
            <w:vAlign w:val="bottom"/>
          </w:tcPr>
          <w:p>
            <w:pPr>
              <w:jc w:val="right"/>
              <w:ind w:right="177"/>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680" w:type="dxa"/>
            <w:vAlign w:val="bottom"/>
          </w:tcPr>
          <w:p>
            <w:pPr>
              <w:jc w:val="right"/>
              <w:ind w:right="117"/>
              <w:spacing w:after="0"/>
              <w:rPr>
                <w:sz w:val="20"/>
                <w:szCs w:val="20"/>
                <w:color w:val="auto"/>
              </w:rPr>
            </w:pPr>
            <w:r>
              <w:rPr>
                <w:rFonts w:ascii="Arial" w:cs="Arial" w:eastAsia="Arial" w:hAnsi="Arial"/>
                <w:sz w:val="13"/>
                <w:szCs w:val="13"/>
                <w:b w:val="1"/>
                <w:bCs w:val="1"/>
                <w:color w:val="auto"/>
              </w:rPr>
              <w:t>Capital</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(Loss)</w:t>
            </w:r>
          </w:p>
        </w:tc>
        <w:tc>
          <w:tcPr>
            <w:tcW w:w="640" w:type="dxa"/>
            <w:vAlign w:val="bottom"/>
            <w:gridSpan w:val="2"/>
          </w:tcPr>
          <w:p>
            <w:pPr>
              <w:ind w:left="80"/>
              <w:spacing w:after="0"/>
              <w:rPr>
                <w:sz w:val="20"/>
                <w:szCs w:val="20"/>
                <w:color w:val="auto"/>
              </w:rPr>
            </w:pPr>
            <w:r>
              <w:rPr>
                <w:rFonts w:ascii="Arial" w:cs="Arial" w:eastAsia="Arial" w:hAnsi="Arial"/>
                <w:sz w:val="13"/>
                <w:szCs w:val="13"/>
                <w:b w:val="1"/>
                <w:bCs w:val="1"/>
                <w:color w:val="auto"/>
              </w:rPr>
              <w:t>Shares</w:t>
            </w:r>
          </w:p>
        </w:tc>
        <w:tc>
          <w:tcPr>
            <w:tcW w:w="6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Arial" w:cs="Arial" w:eastAsia="Arial" w:hAnsi="Arial"/>
                <w:sz w:val="13"/>
                <w:szCs w:val="13"/>
                <w:b w:val="1"/>
                <w:bCs w:val="1"/>
                <w:color w:val="auto"/>
              </w:rPr>
              <w:t>Interests</w:t>
            </w:r>
          </w:p>
        </w:tc>
        <w:tc>
          <w:tcPr>
            <w:tcW w:w="100" w:type="dxa"/>
            <w:vAlign w:val="bottom"/>
          </w:tcPr>
          <w:p>
            <w:pPr>
              <w:spacing w:after="0"/>
              <w:rPr>
                <w:sz w:val="15"/>
                <w:szCs w:val="15"/>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Equity</w:t>
            </w:r>
          </w:p>
        </w:tc>
        <w:tc>
          <w:tcPr>
            <w:tcW w:w="100" w:type="dxa"/>
            <w:vAlign w:val="bottom"/>
          </w:tcPr>
          <w:p>
            <w:pPr>
              <w:spacing w:after="0"/>
              <w:rPr>
                <w:sz w:val="15"/>
                <w:szCs w:val="15"/>
                <w:color w:val="auto"/>
              </w:rPr>
            </w:pPr>
          </w:p>
        </w:tc>
        <w:tc>
          <w:tcPr>
            <w:tcW w:w="760" w:type="dxa"/>
            <w:vAlign w:val="bottom"/>
          </w:tcPr>
          <w:p>
            <w:pPr>
              <w:ind w:left="100"/>
              <w:spacing w:after="0"/>
              <w:rPr>
                <w:sz w:val="20"/>
                <w:szCs w:val="20"/>
                <w:color w:val="auto"/>
              </w:rPr>
            </w:pPr>
            <w:r>
              <w:rPr>
                <w:rFonts w:ascii="Arial" w:cs="Arial" w:eastAsia="Arial" w:hAnsi="Arial"/>
                <w:sz w:val="13"/>
                <w:szCs w:val="13"/>
                <w:b w:val="1"/>
                <w:bCs w:val="1"/>
                <w:color w:val="auto"/>
              </w:rPr>
              <w:t>Interests</w:t>
            </w:r>
          </w:p>
        </w:tc>
        <w:tc>
          <w:tcPr>
            <w:tcW w:w="0" w:type="dxa"/>
            <w:vAlign w:val="bottom"/>
          </w:tcPr>
          <w:p>
            <w:pPr>
              <w:spacing w:after="0"/>
              <w:rPr>
                <w:sz w:val="1"/>
                <w:szCs w:val="1"/>
                <w:color w:val="auto"/>
              </w:rPr>
            </w:pPr>
          </w:p>
        </w:tc>
      </w:tr>
      <w:tr>
        <w:trPr>
          <w:trHeight w:val="262"/>
        </w:trPr>
        <w:tc>
          <w:tcPr>
            <w:tcW w:w="1680" w:type="dxa"/>
            <w:vAlign w:val="bottom"/>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gridSpan w:val="4"/>
          </w:tcPr>
          <w:p>
            <w:pPr>
              <w:ind w:left="160"/>
              <w:spacing w:after="0"/>
              <w:rPr>
                <w:sz w:val="20"/>
                <w:szCs w:val="20"/>
                <w:color w:val="auto"/>
              </w:rPr>
            </w:pPr>
            <w:r>
              <w:rPr>
                <w:rFonts w:ascii="Arial" w:cs="Arial" w:eastAsia="Arial" w:hAnsi="Arial"/>
                <w:sz w:val="13"/>
                <w:szCs w:val="13"/>
                <w:b w:val="1"/>
                <w:bCs w:val="1"/>
                <w:color w:val="auto"/>
              </w:rPr>
              <w:t>(In millions)</w:t>
            </w:r>
          </w:p>
        </w:tc>
        <w:tc>
          <w:tcPr>
            <w:tcW w:w="8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16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Balance, December 31, 2011</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255</w:t>
            </w:r>
          </w:p>
        </w:tc>
        <w:tc>
          <w:tcPr>
            <w:tcW w:w="12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2"/>
              </w:rPr>
              <w:t>$ —</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2"/>
              </w:rPr>
              <w:t>$ —</w:t>
            </w:r>
          </w:p>
        </w:tc>
        <w:tc>
          <w:tcPr>
            <w:tcW w:w="120" w:type="dxa"/>
            <w:vAlign w:val="bottom"/>
            <w:shd w:val="clear" w:color="auto" w:fill="CCEEFF"/>
          </w:tcPr>
          <w:p>
            <w:pPr>
              <w:spacing w:after="0"/>
              <w:rPr>
                <w:sz w:val="24"/>
                <w:szCs w:val="24"/>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92"/>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3,799</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373</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9"/>
                <w:szCs w:val="9"/>
                <w:color w:val="auto"/>
                <w:w w:val="78"/>
              </w:rPr>
              <w:t>$</w:t>
            </w: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7"/>
              </w:rPr>
              <w:t>$ (532)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3,656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ind w:left="40"/>
              <w:spacing w:after="0"/>
              <w:rPr>
                <w:sz w:val="20"/>
                <w:szCs w:val="20"/>
                <w:color w:val="auto"/>
              </w:rPr>
            </w:pPr>
            <w:r>
              <w:rPr>
                <w:rFonts w:ascii="Arial" w:cs="Arial" w:eastAsia="Arial" w:hAnsi="Arial"/>
                <w:sz w:val="9"/>
                <w:szCs w:val="9"/>
                <w:color w:val="auto"/>
                <w:w w:val="78"/>
              </w:rPr>
              <w:t>$</w:t>
            </w:r>
          </w:p>
        </w:tc>
        <w:tc>
          <w:tcPr>
            <w:tcW w:w="7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680" w:type="dxa"/>
            <w:vAlign w:val="bottom"/>
          </w:tcPr>
          <w:p>
            <w:pPr>
              <w:ind w:left="180"/>
              <w:spacing w:after="0" w:line="148" w:lineRule="exact"/>
              <w:rPr>
                <w:sz w:val="20"/>
                <w:szCs w:val="20"/>
                <w:color w:val="auto"/>
              </w:rPr>
            </w:pPr>
            <w:r>
              <w:rPr>
                <w:rFonts w:ascii="Arial" w:cs="Arial" w:eastAsia="Arial" w:hAnsi="Arial"/>
                <w:sz w:val="13"/>
                <w:szCs w:val="13"/>
                <w:color w:val="auto"/>
                <w:w w:val="98"/>
              </w:rPr>
              <w:t>Acquisition of O'Charley's,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80" w:type="dxa"/>
            <w:vAlign w:val="bottom"/>
          </w:tcPr>
          <w:p>
            <w:pPr>
              <w:ind w:left="180"/>
              <w:spacing w:after="0"/>
              <w:rPr>
                <w:sz w:val="20"/>
                <w:szCs w:val="20"/>
                <w:color w:val="auto"/>
              </w:rPr>
            </w:pPr>
            <w:r>
              <w:rPr>
                <w:rFonts w:ascii="Arial" w:cs="Arial" w:eastAsia="Arial" w:hAnsi="Arial"/>
                <w:sz w:val="13"/>
                <w:szCs w:val="13"/>
                <w:color w:val="auto"/>
              </w:rPr>
              <w:t>Inc.</w:t>
            </w: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ind w:left="5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1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Exercise of stock options</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w:t>
            </w:r>
          </w:p>
        </w:tc>
        <w:tc>
          <w:tcPr>
            <w:tcW w:w="12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154</w:t>
            </w: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1680" w:type="dxa"/>
            <w:vAlign w:val="bottom"/>
          </w:tcPr>
          <w:p>
            <w:pPr>
              <w:ind w:left="180"/>
              <w:spacing w:after="0"/>
              <w:rPr>
                <w:sz w:val="20"/>
                <w:szCs w:val="20"/>
                <w:color w:val="auto"/>
              </w:rPr>
            </w:pPr>
            <w:r>
              <w:rPr>
                <w:rFonts w:ascii="Arial" w:cs="Arial" w:eastAsia="Arial" w:hAnsi="Arial"/>
                <w:sz w:val="13"/>
                <w:szCs w:val="13"/>
                <w:color w:val="auto"/>
                <w:w w:val="91"/>
              </w:rPr>
              <w:t>Treasury stock repurchased</w:t>
            </w: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22"/>
                <w:szCs w:val="22"/>
                <w:color w:val="auto"/>
              </w:rPr>
            </w:pPr>
          </w:p>
        </w:tc>
        <w:tc>
          <w:tcPr>
            <w:tcW w:w="500" w:type="dxa"/>
            <w:vAlign w:val="bottom"/>
          </w:tcPr>
          <w:p>
            <w:pPr>
              <w:jc w:val="right"/>
              <w:ind w:right="17"/>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(38)</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ind w:left="5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168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4"/>
              </w:rPr>
              <w:t>Tax benefit associated with</w:t>
            </w: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3"/>
              </w:rPr>
              <w:t>the exercise of stock-based</w:t>
            </w: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compensation</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1680" w:type="dxa"/>
            <w:vAlign w:val="bottom"/>
          </w:tcPr>
          <w:p>
            <w:pPr>
              <w:ind w:left="180"/>
              <w:spacing w:after="0"/>
              <w:rPr>
                <w:sz w:val="20"/>
                <w:szCs w:val="20"/>
                <w:color w:val="auto"/>
              </w:rPr>
            </w:pPr>
            <w:r>
              <w:rPr>
                <w:rFonts w:ascii="Arial" w:cs="Arial" w:eastAsia="Arial" w:hAnsi="Arial"/>
                <w:sz w:val="13"/>
                <w:szCs w:val="13"/>
                <w:color w:val="auto"/>
                <w:w w:val="93"/>
              </w:rPr>
              <w:t>Issuance of restricted stock</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60" w:type="dxa"/>
            <w:vAlign w:val="bottom"/>
          </w:tcPr>
          <w:p>
            <w:pPr>
              <w:ind w:left="5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1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w:t>
            </w: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3"/>
              </w:rPr>
              <w:t>earnings — unrealized gain</w:t>
            </w: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on investments and other</w:t>
            </w: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financial instruments</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680" w:type="dxa"/>
            <w:vAlign w:val="bottom"/>
          </w:tcPr>
          <w:p>
            <w:pPr>
              <w:ind w:left="180"/>
              <w:spacing w:after="0" w:line="148" w:lineRule="exact"/>
              <w:rPr>
                <w:sz w:val="20"/>
                <w:szCs w:val="20"/>
                <w:color w:val="auto"/>
              </w:rPr>
            </w:pPr>
            <w:r>
              <w:rPr>
                <w:rFonts w:ascii="Arial" w:cs="Arial" w:eastAsia="Arial" w:hAnsi="Arial"/>
                <w:sz w:val="13"/>
                <w:szCs w:val="13"/>
                <w:color w:val="auto"/>
              </w:rPr>
              <w:t>Other comprehensive</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80" w:type="dxa"/>
            <w:vAlign w:val="bottom"/>
          </w:tcPr>
          <w:p>
            <w:pPr>
              <w:ind w:left="180"/>
              <w:spacing w:after="0" w:line="135" w:lineRule="exact"/>
              <w:rPr>
                <w:sz w:val="20"/>
                <w:szCs w:val="20"/>
                <w:color w:val="auto"/>
              </w:rPr>
            </w:pPr>
            <w:r>
              <w:rPr>
                <w:rFonts w:ascii="Arial" w:cs="Arial" w:eastAsia="Arial" w:hAnsi="Arial"/>
                <w:sz w:val="13"/>
                <w:szCs w:val="13"/>
                <w:color w:val="auto"/>
                <w:w w:val="93"/>
              </w:rPr>
              <w:t>earnings — unrealized gain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tcPr>
          <w:p>
            <w:pPr>
              <w:ind w:left="180"/>
              <w:spacing w:after="0" w:line="135" w:lineRule="exact"/>
              <w:rPr>
                <w:sz w:val="20"/>
                <w:szCs w:val="20"/>
                <w:color w:val="auto"/>
              </w:rPr>
            </w:pPr>
            <w:r>
              <w:rPr>
                <w:rFonts w:ascii="Arial" w:cs="Arial" w:eastAsia="Arial" w:hAnsi="Arial"/>
                <w:sz w:val="13"/>
                <w:szCs w:val="13"/>
                <w:color w:val="auto"/>
              </w:rPr>
              <w:t>on investments in</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680" w:type="dxa"/>
            <w:vAlign w:val="bottom"/>
          </w:tcPr>
          <w:p>
            <w:pPr>
              <w:ind w:left="180"/>
              <w:spacing w:after="0"/>
              <w:rPr>
                <w:sz w:val="20"/>
                <w:szCs w:val="20"/>
                <w:color w:val="auto"/>
              </w:rPr>
            </w:pPr>
            <w:r>
              <w:rPr>
                <w:rFonts w:ascii="Arial" w:cs="Arial" w:eastAsia="Arial" w:hAnsi="Arial"/>
                <w:sz w:val="13"/>
                <w:szCs w:val="13"/>
                <w:color w:val="auto"/>
              </w:rPr>
              <w:t>unconsolidated affiliates</w:t>
            </w: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tcPr>
          <w:p>
            <w:pPr>
              <w:jc w:val="right"/>
              <w:ind w:right="96"/>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ind w:left="5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1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w:t>
            </w: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3"/>
              </w:rPr>
              <w:t>earnings — unrealized gain</w:t>
            </w: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on foreign currency</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680" w:type="dxa"/>
            <w:vAlign w:val="bottom"/>
          </w:tcPr>
          <w:p>
            <w:pPr>
              <w:ind w:left="180"/>
              <w:spacing w:after="0" w:line="148" w:lineRule="exact"/>
              <w:rPr>
                <w:sz w:val="20"/>
                <w:szCs w:val="20"/>
                <w:color w:val="auto"/>
              </w:rPr>
            </w:pPr>
            <w:r>
              <w:rPr>
                <w:rFonts w:ascii="Arial" w:cs="Arial" w:eastAsia="Arial" w:hAnsi="Arial"/>
                <w:sz w:val="13"/>
                <w:szCs w:val="13"/>
                <w:color w:val="auto"/>
              </w:rPr>
              <w:t>Other comprehensive</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80" w:type="dxa"/>
            <w:vAlign w:val="bottom"/>
          </w:tcPr>
          <w:p>
            <w:pPr>
              <w:ind w:left="180"/>
              <w:spacing w:after="0" w:line="135" w:lineRule="exact"/>
              <w:rPr>
                <w:sz w:val="20"/>
                <w:szCs w:val="20"/>
                <w:color w:val="auto"/>
              </w:rPr>
            </w:pPr>
            <w:r>
              <w:rPr>
                <w:rFonts w:ascii="Arial" w:cs="Arial" w:eastAsia="Arial" w:hAnsi="Arial"/>
                <w:sz w:val="13"/>
                <w:szCs w:val="13"/>
                <w:color w:val="auto"/>
              </w:rPr>
              <w:t>earnings — minimum</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680" w:type="dxa"/>
            <w:vAlign w:val="bottom"/>
          </w:tcPr>
          <w:p>
            <w:pPr>
              <w:ind w:left="180"/>
              <w:spacing w:after="0"/>
              <w:rPr>
                <w:sz w:val="20"/>
                <w:szCs w:val="20"/>
                <w:color w:val="auto"/>
              </w:rPr>
            </w:pPr>
            <w:r>
              <w:rPr>
                <w:rFonts w:ascii="Arial" w:cs="Arial" w:eastAsia="Arial" w:hAnsi="Arial"/>
                <w:sz w:val="13"/>
                <w:szCs w:val="13"/>
                <w:color w:val="auto"/>
                <w:w w:val="95"/>
              </w:rPr>
              <w:t>pension liability adjustment</w:t>
            </w: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tcPr>
          <w:p>
            <w:pPr>
              <w:jc w:val="right"/>
              <w:ind w:right="96"/>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ind w:left="5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168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4"/>
              </w:rPr>
              <w:t>Stock-based compensation</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w:t>
            </w: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680" w:type="dxa"/>
            <w:vAlign w:val="bottom"/>
          </w:tcPr>
          <w:p>
            <w:pPr>
              <w:ind w:left="180"/>
              <w:spacing w:after="0" w:line="148" w:lineRule="exact"/>
              <w:rPr>
                <w:sz w:val="20"/>
                <w:szCs w:val="20"/>
                <w:color w:val="auto"/>
              </w:rPr>
            </w:pPr>
            <w:r>
              <w:rPr>
                <w:rFonts w:ascii="Arial" w:cs="Arial" w:eastAsia="Arial" w:hAnsi="Arial"/>
                <w:sz w:val="13"/>
                <w:szCs w:val="13"/>
                <w:color w:val="auto"/>
              </w:rPr>
              <w:t>Shares withheld for taxes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80" w:type="dxa"/>
            <w:vAlign w:val="bottom"/>
          </w:tcPr>
          <w:p>
            <w:pPr>
              <w:ind w:left="180"/>
              <w:spacing w:after="0"/>
              <w:rPr>
                <w:sz w:val="20"/>
                <w:szCs w:val="20"/>
                <w:color w:val="auto"/>
              </w:rPr>
            </w:pPr>
            <w:r>
              <w:rPr>
                <w:rFonts w:ascii="Arial" w:cs="Arial" w:eastAsia="Arial" w:hAnsi="Arial"/>
                <w:sz w:val="13"/>
                <w:szCs w:val="13"/>
                <w:color w:val="auto"/>
              </w:rPr>
              <w:t>and in treasury</w:t>
            </w: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500" w:type="dxa"/>
            <w:vAlign w:val="bottom"/>
          </w:tcPr>
          <w:p>
            <w:pPr>
              <w:jc w:val="right"/>
              <w:ind w:right="17"/>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ind w:left="5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16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Contributions to</w:t>
            </w: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noncontrolling interests</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680" w:type="dxa"/>
            <w:vAlign w:val="bottom"/>
          </w:tcPr>
          <w:p>
            <w:pPr>
              <w:ind w:left="180"/>
              <w:spacing w:after="0" w:line="148" w:lineRule="exact"/>
              <w:rPr>
                <w:sz w:val="20"/>
                <w:szCs w:val="20"/>
                <w:color w:val="auto"/>
              </w:rPr>
            </w:pPr>
            <w:r>
              <w:rPr>
                <w:rFonts w:ascii="Arial" w:cs="Arial" w:eastAsia="Arial" w:hAnsi="Arial"/>
                <w:sz w:val="13"/>
                <w:szCs w:val="13"/>
                <w:color w:val="auto"/>
              </w:rPr>
              <w:t>Consolidation of previous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80" w:type="dxa"/>
            <w:vAlign w:val="bottom"/>
          </w:tcPr>
          <w:p>
            <w:pPr>
              <w:ind w:left="180"/>
              <w:spacing w:after="0"/>
              <w:rPr>
                <w:sz w:val="20"/>
                <w:szCs w:val="20"/>
                <w:color w:val="auto"/>
              </w:rPr>
            </w:pPr>
            <w:r>
              <w:rPr>
                <w:rFonts w:ascii="Arial" w:cs="Arial" w:eastAsia="Arial" w:hAnsi="Arial"/>
                <w:sz w:val="13"/>
                <w:szCs w:val="13"/>
                <w:color w:val="auto"/>
                <w:w w:val="98"/>
              </w:rPr>
              <w:t>minority-owned subsidiary</w:t>
            </w: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462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462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ind w:left="5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1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Dividends declared</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(131)</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680" w:type="dxa"/>
            <w:vAlign w:val="bottom"/>
          </w:tcPr>
          <w:p>
            <w:pPr>
              <w:ind w:left="180"/>
              <w:spacing w:after="0" w:line="148" w:lineRule="exact"/>
              <w:rPr>
                <w:sz w:val="20"/>
                <w:szCs w:val="20"/>
                <w:color w:val="auto"/>
              </w:rPr>
            </w:pPr>
            <w:r>
              <w:rPr>
                <w:rFonts w:ascii="Arial" w:cs="Arial" w:eastAsia="Arial" w:hAnsi="Arial"/>
                <w:sz w:val="13"/>
                <w:szCs w:val="13"/>
                <w:color w:val="auto"/>
                <w:w w:val="91"/>
              </w:rPr>
              <w:t>Subsidiary dividends paid to</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80" w:type="dxa"/>
            <w:vAlign w:val="bottom"/>
          </w:tcPr>
          <w:p>
            <w:pPr>
              <w:ind w:left="180"/>
              <w:spacing w:after="0"/>
              <w:rPr>
                <w:sz w:val="20"/>
                <w:szCs w:val="20"/>
                <w:color w:val="auto"/>
              </w:rPr>
            </w:pPr>
            <w:r>
              <w:rPr>
                <w:rFonts w:ascii="Arial" w:cs="Arial" w:eastAsia="Arial" w:hAnsi="Arial"/>
                <w:sz w:val="13"/>
                <w:szCs w:val="13"/>
                <w:color w:val="auto"/>
              </w:rPr>
              <w:t>noncontrolling interests</w:t>
            </w: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ind w:left="5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2"/>
        </w:trPr>
        <w:tc>
          <w:tcPr>
            <w:tcW w:w="1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earnings</w:t>
            </w:r>
          </w:p>
        </w:tc>
        <w:tc>
          <w:tcPr>
            <w:tcW w:w="5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607</w:t>
            </w:r>
          </w:p>
        </w:tc>
        <w:tc>
          <w:tcPr>
            <w:tcW w:w="100" w:type="dxa"/>
            <w:vAlign w:val="bottom"/>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612</w:t>
            </w:r>
          </w:p>
        </w:tc>
        <w:tc>
          <w:tcPr>
            <w:tcW w:w="10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1680" w:type="dxa"/>
            <w:vAlign w:val="bottom"/>
          </w:tcPr>
          <w:p>
            <w:pPr>
              <w:ind w:left="40"/>
              <w:spacing w:after="0"/>
              <w:rPr>
                <w:sz w:val="20"/>
                <w:szCs w:val="20"/>
                <w:color w:val="auto"/>
              </w:rPr>
            </w:pPr>
            <w:r>
              <w:rPr>
                <w:rFonts w:ascii="Arial" w:cs="Arial" w:eastAsia="Arial" w:hAnsi="Arial"/>
                <w:sz w:val="13"/>
                <w:szCs w:val="13"/>
                <w:color w:val="auto"/>
                <w:w w:val="96"/>
              </w:rPr>
              <w:t>Balance, December 31, 2012</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268</w:t>
            </w:r>
          </w:p>
        </w:tc>
        <w:tc>
          <w:tcPr>
            <w:tcW w:w="120" w:type="dxa"/>
            <w:vAlign w:val="bottom"/>
          </w:tcPr>
          <w:p>
            <w:pPr>
              <w:spacing w:after="0"/>
              <w:rPr>
                <w:sz w:val="22"/>
                <w:szCs w:val="22"/>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3"/>
                <w:szCs w:val="13"/>
                <w:color w:val="auto"/>
                <w:w w:val="92"/>
              </w:rPr>
              <w:t>$ —</w:t>
            </w:r>
          </w:p>
        </w:tc>
        <w:tc>
          <w:tcPr>
            <w:tcW w:w="64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w w:val="92"/>
              </w:rPr>
              <w:t>$ —</w:t>
            </w:r>
          </w:p>
        </w:tc>
        <w:tc>
          <w:tcPr>
            <w:tcW w:w="120" w:type="dxa"/>
            <w:vAlign w:val="bottom"/>
          </w:tcPr>
          <w:p>
            <w:pPr>
              <w:spacing w:after="0"/>
              <w:rPr>
                <w:sz w:val="22"/>
                <w:szCs w:val="22"/>
                <w:color w:val="auto"/>
              </w:rPr>
            </w:pPr>
          </w:p>
        </w:tc>
        <w:tc>
          <w:tcPr>
            <w:tcW w:w="54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137"/>
              <w:spacing w:after="0"/>
              <w:rPr>
                <w:sz w:val="20"/>
                <w:szCs w:val="20"/>
                <w:color w:val="auto"/>
              </w:rPr>
            </w:pPr>
            <w:r>
              <w:rPr>
                <w:rFonts w:ascii="Arial" w:cs="Arial" w:eastAsia="Arial" w:hAnsi="Arial"/>
                <w:sz w:val="13"/>
                <w:szCs w:val="13"/>
                <w:color w:val="auto"/>
                <w:w w:val="92"/>
              </w:rPr>
              <w:t>$ —</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4,018</w:t>
            </w:r>
          </w:p>
        </w:tc>
        <w:tc>
          <w:tcPr>
            <w:tcW w:w="3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7"/>
              <w:spacing w:after="0"/>
              <w:rPr>
                <w:sz w:val="20"/>
                <w:szCs w:val="20"/>
                <w:color w:val="auto"/>
              </w:rPr>
            </w:pPr>
            <w:r>
              <w:rPr>
                <w:rFonts w:ascii="Arial" w:cs="Arial" w:eastAsia="Arial" w:hAnsi="Arial"/>
                <w:sz w:val="13"/>
                <w:szCs w:val="13"/>
                <w:color w:val="auto"/>
              </w:rPr>
              <w:t>849</w:t>
            </w:r>
          </w:p>
        </w:tc>
        <w:tc>
          <w:tcPr>
            <w:tcW w:w="100" w:type="dxa"/>
            <w:vAlign w:val="bottom"/>
          </w:tcPr>
          <w:p>
            <w:pPr>
              <w:spacing w:after="0"/>
              <w:rPr>
                <w:sz w:val="22"/>
                <w:szCs w:val="22"/>
                <w:color w:val="auto"/>
              </w:rPr>
            </w:pPr>
          </w:p>
        </w:tc>
        <w:tc>
          <w:tcPr>
            <w:tcW w:w="80" w:type="dxa"/>
            <w:vAlign w:val="bottom"/>
          </w:tcPr>
          <w:p>
            <w:pPr>
              <w:ind w:left="20"/>
              <w:spacing w:after="0"/>
              <w:rPr>
                <w:sz w:val="20"/>
                <w:szCs w:val="20"/>
                <w:color w:val="auto"/>
              </w:rPr>
            </w:pPr>
            <w:r>
              <w:rPr>
                <w:rFonts w:ascii="Arial" w:cs="Arial" w:eastAsia="Arial" w:hAnsi="Arial"/>
                <w:sz w:val="9"/>
                <w:szCs w:val="9"/>
                <w:color w:val="auto"/>
                <w:w w:val="78"/>
              </w:rPr>
              <w:t>$</w:t>
            </w:r>
          </w:p>
        </w:tc>
        <w:tc>
          <w:tcPr>
            <w:tcW w:w="820" w:type="dxa"/>
            <w:vAlign w:val="bottom"/>
          </w:tcPr>
          <w:p>
            <w:pPr>
              <w:jc w:val="right"/>
              <w:ind w:right="96"/>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22"/>
                <w:szCs w:val="22"/>
                <w:color w:val="auto"/>
              </w:rPr>
            </w:pP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22"/>
                <w:szCs w:val="22"/>
                <w:color w:val="auto"/>
              </w:rPr>
            </w:pPr>
          </w:p>
        </w:tc>
        <w:tc>
          <w:tcPr>
            <w:tcW w:w="500" w:type="dxa"/>
            <w:vAlign w:val="bottom"/>
          </w:tcPr>
          <w:p>
            <w:pPr>
              <w:jc w:val="right"/>
              <w:ind w:right="17"/>
              <w:spacing w:after="0"/>
              <w:rPr>
                <w:sz w:val="20"/>
                <w:szCs w:val="20"/>
                <w:color w:val="auto"/>
              </w:rPr>
            </w:pPr>
            <w:r>
              <w:rPr>
                <w:rFonts w:ascii="Arial" w:cs="Arial" w:eastAsia="Arial" w:hAnsi="Arial"/>
                <w:sz w:val="13"/>
                <w:szCs w:val="13"/>
                <w:color w:val="auto"/>
                <w:w w:val="97"/>
              </w:rPr>
              <w:t>$ (658)</w:t>
            </w:r>
          </w:p>
        </w:tc>
        <w:tc>
          <w:tcPr>
            <w:tcW w:w="100" w:type="dxa"/>
            <w:vAlign w:val="bottom"/>
          </w:tcPr>
          <w:p>
            <w:pPr>
              <w:spacing w:after="0"/>
              <w:rPr>
                <w:sz w:val="22"/>
                <w:szCs w:val="22"/>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481</w:t>
            </w:r>
          </w:p>
        </w:tc>
        <w:tc>
          <w:tcPr>
            <w:tcW w:w="10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4,749</w:t>
            </w:r>
          </w:p>
        </w:tc>
        <w:tc>
          <w:tcPr>
            <w:tcW w:w="100" w:type="dxa"/>
            <w:vAlign w:val="bottom"/>
          </w:tcPr>
          <w:p>
            <w:pPr>
              <w:spacing w:after="0"/>
              <w:rPr>
                <w:sz w:val="22"/>
                <w:szCs w:val="22"/>
                <w:color w:val="auto"/>
              </w:rPr>
            </w:pPr>
          </w:p>
        </w:tc>
        <w:tc>
          <w:tcPr>
            <w:tcW w:w="100" w:type="dxa"/>
            <w:vAlign w:val="bottom"/>
          </w:tcPr>
          <w:p>
            <w:pPr>
              <w:ind w:left="40"/>
              <w:spacing w:after="0"/>
              <w:rPr>
                <w:sz w:val="20"/>
                <w:szCs w:val="20"/>
                <w:color w:val="auto"/>
              </w:rPr>
            </w:pPr>
            <w:r>
              <w:rPr>
                <w:rFonts w:ascii="Arial" w:cs="Arial" w:eastAsia="Arial" w:hAnsi="Arial"/>
                <w:sz w:val="9"/>
                <w:szCs w:val="9"/>
                <w:color w:val="auto"/>
                <w:w w:val="78"/>
              </w:rPr>
              <w:t>$</w:t>
            </w:r>
          </w:p>
        </w:tc>
        <w:tc>
          <w:tcPr>
            <w:tcW w:w="760" w:type="dxa"/>
            <w:vAlign w:val="bottom"/>
          </w:tcPr>
          <w:p>
            <w:pPr>
              <w:ind w:left="5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1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Equity offering</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w:t>
            </w:r>
          </w:p>
        </w:tc>
        <w:tc>
          <w:tcPr>
            <w:tcW w:w="12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511</w:t>
            </w: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511</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1680" w:type="dxa"/>
            <w:vAlign w:val="bottom"/>
          </w:tcPr>
          <w:p>
            <w:pPr>
              <w:ind w:left="180"/>
              <w:spacing w:after="0"/>
              <w:rPr>
                <w:sz w:val="20"/>
                <w:szCs w:val="20"/>
                <w:color w:val="auto"/>
              </w:rPr>
            </w:pPr>
            <w:r>
              <w:rPr>
                <w:rFonts w:ascii="Arial" w:cs="Arial" w:eastAsia="Arial" w:hAnsi="Arial"/>
                <w:sz w:val="13"/>
                <w:szCs w:val="13"/>
                <w:color w:val="auto"/>
              </w:rPr>
              <w:t>Exercise of stock options</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22"/>
                <w:szCs w:val="22"/>
                <w:color w:val="auto"/>
              </w:rPr>
            </w:pPr>
          </w:p>
        </w:tc>
        <w:tc>
          <w:tcPr>
            <w:tcW w:w="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61</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ind w:left="5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168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1"/>
              </w:rPr>
              <w:t>Treasury stock repurchased</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680" w:type="dxa"/>
            <w:vAlign w:val="bottom"/>
          </w:tcPr>
          <w:p>
            <w:pPr>
              <w:ind w:left="180"/>
              <w:spacing w:after="0" w:line="148" w:lineRule="exact"/>
              <w:rPr>
                <w:sz w:val="20"/>
                <w:szCs w:val="20"/>
                <w:color w:val="auto"/>
              </w:rPr>
            </w:pPr>
            <w:r>
              <w:rPr>
                <w:rFonts w:ascii="Arial" w:cs="Arial" w:eastAsia="Arial" w:hAnsi="Arial"/>
                <w:sz w:val="13"/>
                <w:szCs w:val="13"/>
                <w:color w:val="auto"/>
                <w:w w:val="94"/>
              </w:rPr>
              <w:t>Tax benefit associated with</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80" w:type="dxa"/>
            <w:vAlign w:val="bottom"/>
          </w:tcPr>
          <w:p>
            <w:pPr>
              <w:ind w:left="180"/>
              <w:spacing w:after="0" w:line="135" w:lineRule="exact"/>
              <w:rPr>
                <w:sz w:val="20"/>
                <w:szCs w:val="20"/>
                <w:color w:val="auto"/>
              </w:rPr>
            </w:pPr>
            <w:r>
              <w:rPr>
                <w:rFonts w:ascii="Arial" w:cs="Arial" w:eastAsia="Arial" w:hAnsi="Arial"/>
                <w:sz w:val="13"/>
                <w:szCs w:val="13"/>
                <w:color w:val="auto"/>
                <w:w w:val="93"/>
              </w:rPr>
              <w:t>the exercise of stock-based</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680" w:type="dxa"/>
            <w:vAlign w:val="bottom"/>
          </w:tcPr>
          <w:p>
            <w:pPr>
              <w:ind w:left="180"/>
              <w:spacing w:after="0"/>
              <w:rPr>
                <w:sz w:val="20"/>
                <w:szCs w:val="20"/>
                <w:color w:val="auto"/>
              </w:rPr>
            </w:pPr>
            <w:r>
              <w:rPr>
                <w:rFonts w:ascii="Arial" w:cs="Arial" w:eastAsia="Arial" w:hAnsi="Arial"/>
                <w:sz w:val="13"/>
                <w:szCs w:val="13"/>
                <w:color w:val="auto"/>
              </w:rPr>
              <w:t>compensation</w:t>
            </w: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17</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ind w:left="5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168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3"/>
              </w:rPr>
              <w:t>Issuance of restricted stock</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680" w:type="dxa"/>
            <w:vAlign w:val="bottom"/>
          </w:tcPr>
          <w:p>
            <w:pPr>
              <w:ind w:left="180"/>
              <w:spacing w:after="0" w:line="148" w:lineRule="exact"/>
              <w:rPr>
                <w:sz w:val="20"/>
                <w:szCs w:val="20"/>
                <w:color w:val="auto"/>
              </w:rPr>
            </w:pPr>
            <w:r>
              <w:rPr>
                <w:rFonts w:ascii="Arial" w:cs="Arial" w:eastAsia="Arial" w:hAnsi="Arial"/>
                <w:sz w:val="13"/>
                <w:szCs w:val="13"/>
                <w:color w:val="auto"/>
              </w:rPr>
              <w:t>Other comprehensive</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80" w:type="dxa"/>
            <w:vAlign w:val="bottom"/>
          </w:tcPr>
          <w:p>
            <w:pPr>
              <w:ind w:left="180"/>
              <w:spacing w:after="0" w:line="135" w:lineRule="exact"/>
              <w:rPr>
                <w:sz w:val="20"/>
                <w:szCs w:val="20"/>
                <w:color w:val="auto"/>
              </w:rPr>
            </w:pPr>
            <w:r>
              <w:rPr>
                <w:rFonts w:ascii="Arial" w:cs="Arial" w:eastAsia="Arial" w:hAnsi="Arial"/>
                <w:sz w:val="13"/>
                <w:szCs w:val="13"/>
                <w:color w:val="auto"/>
                <w:w w:val="89"/>
              </w:rPr>
              <w:t>earnings — unrealized (loss)</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tcPr>
          <w:p>
            <w:pPr>
              <w:ind w:left="180"/>
              <w:spacing w:after="0" w:line="135" w:lineRule="exact"/>
              <w:rPr>
                <w:sz w:val="20"/>
                <w:szCs w:val="20"/>
                <w:color w:val="auto"/>
              </w:rPr>
            </w:pPr>
            <w:r>
              <w:rPr>
                <w:rFonts w:ascii="Arial" w:cs="Arial" w:eastAsia="Arial" w:hAnsi="Arial"/>
                <w:sz w:val="13"/>
                <w:szCs w:val="13"/>
                <w:color w:val="auto"/>
              </w:rPr>
              <w:t>on investments and other</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680" w:type="dxa"/>
            <w:vAlign w:val="bottom"/>
          </w:tcPr>
          <w:p>
            <w:pPr>
              <w:ind w:left="180"/>
              <w:spacing w:after="0"/>
              <w:rPr>
                <w:sz w:val="20"/>
                <w:szCs w:val="20"/>
                <w:color w:val="auto"/>
              </w:rPr>
            </w:pPr>
            <w:r>
              <w:rPr>
                <w:rFonts w:ascii="Arial" w:cs="Arial" w:eastAsia="Arial" w:hAnsi="Arial"/>
                <w:sz w:val="13"/>
                <w:szCs w:val="13"/>
                <w:color w:val="auto"/>
              </w:rPr>
              <w:t>financial instruments</w:t>
            </w: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ind w:left="5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1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w:t>
            </w: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89"/>
              </w:rPr>
              <w:t>earnings — unrealized (loss)</w:t>
            </w: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on investments in</w:t>
            </w: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unconsolidated affiliates</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680" w:type="dxa"/>
            <w:vAlign w:val="bottom"/>
          </w:tcPr>
          <w:p>
            <w:pPr>
              <w:ind w:left="180"/>
              <w:spacing w:after="0" w:line="148" w:lineRule="exact"/>
              <w:rPr>
                <w:sz w:val="20"/>
                <w:szCs w:val="20"/>
                <w:color w:val="auto"/>
              </w:rPr>
            </w:pPr>
            <w:r>
              <w:rPr>
                <w:rFonts w:ascii="Arial" w:cs="Arial" w:eastAsia="Arial" w:hAnsi="Arial"/>
                <w:sz w:val="13"/>
                <w:szCs w:val="13"/>
                <w:color w:val="auto"/>
              </w:rPr>
              <w:t>Other comprehensive</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80" w:type="dxa"/>
            <w:vAlign w:val="bottom"/>
          </w:tcPr>
          <w:p>
            <w:pPr>
              <w:ind w:left="180"/>
              <w:spacing w:after="0" w:line="135" w:lineRule="exact"/>
              <w:rPr>
                <w:sz w:val="20"/>
                <w:szCs w:val="20"/>
                <w:color w:val="auto"/>
              </w:rPr>
            </w:pPr>
            <w:r>
              <w:rPr>
                <w:rFonts w:ascii="Arial" w:cs="Arial" w:eastAsia="Arial" w:hAnsi="Arial"/>
                <w:sz w:val="13"/>
                <w:szCs w:val="13"/>
                <w:color w:val="auto"/>
                <w:w w:val="89"/>
              </w:rPr>
              <w:t>earnings — unrealized (loss)</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680" w:type="dxa"/>
            <w:vAlign w:val="bottom"/>
          </w:tcPr>
          <w:p>
            <w:pPr>
              <w:ind w:left="180"/>
              <w:spacing w:after="0"/>
              <w:rPr>
                <w:sz w:val="20"/>
                <w:szCs w:val="20"/>
                <w:color w:val="auto"/>
              </w:rPr>
            </w:pPr>
            <w:r>
              <w:rPr>
                <w:rFonts w:ascii="Arial" w:cs="Arial" w:eastAsia="Arial" w:hAnsi="Arial"/>
                <w:sz w:val="13"/>
                <w:szCs w:val="13"/>
                <w:color w:val="auto"/>
              </w:rPr>
              <w:t>on foreign currency</w:t>
            </w: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tcPr>
          <w:p>
            <w:pPr>
              <w:jc w:val="right"/>
              <w:ind w:right="56"/>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60" w:type="dxa"/>
            <w:vAlign w:val="bottom"/>
          </w:tcPr>
          <w:p>
            <w:pPr>
              <w:ind w:left="5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1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w:t>
            </w: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earnings — minimum</w:t>
            </w: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68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5"/>
              </w:rPr>
              <w:t>pension liability adjustment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24</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1680" w:type="dxa"/>
            <w:vAlign w:val="bottom"/>
          </w:tcPr>
          <w:p>
            <w:pPr>
              <w:ind w:left="180"/>
              <w:spacing w:after="0"/>
              <w:rPr>
                <w:sz w:val="20"/>
                <w:szCs w:val="20"/>
                <w:color w:val="auto"/>
              </w:rPr>
            </w:pPr>
            <w:r>
              <w:rPr>
                <w:rFonts w:ascii="Arial" w:cs="Arial" w:eastAsia="Arial" w:hAnsi="Arial"/>
                <w:sz w:val="13"/>
                <w:szCs w:val="13"/>
                <w:color w:val="auto"/>
                <w:w w:val="94"/>
              </w:rPr>
              <w:t>Stock-based compensation</w:t>
            </w: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30</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ind w:left="5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1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Shares withheld for taxes</w:t>
            </w: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and in treasury</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680" w:type="dxa"/>
            <w:vAlign w:val="bottom"/>
          </w:tcPr>
          <w:p>
            <w:pPr>
              <w:ind w:left="140"/>
              <w:spacing w:after="0" w:line="148" w:lineRule="exact"/>
              <w:rPr>
                <w:sz w:val="20"/>
                <w:szCs w:val="20"/>
                <w:color w:val="auto"/>
              </w:rPr>
            </w:pPr>
            <w:r>
              <w:rPr>
                <w:rFonts w:ascii="Arial" w:cs="Arial" w:eastAsia="Arial" w:hAnsi="Arial"/>
                <w:sz w:val="13"/>
                <w:szCs w:val="13"/>
                <w:color w:val="auto"/>
              </w:rPr>
              <w:t>Contributions to</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80" w:type="dxa"/>
            <w:vAlign w:val="bottom"/>
          </w:tcPr>
          <w:p>
            <w:pPr>
              <w:ind w:left="120"/>
              <w:spacing w:after="0"/>
              <w:rPr>
                <w:sz w:val="20"/>
                <w:szCs w:val="20"/>
                <w:color w:val="auto"/>
              </w:rPr>
            </w:pPr>
            <w:r>
              <w:rPr>
                <w:rFonts w:ascii="Arial" w:cs="Arial" w:eastAsia="Arial" w:hAnsi="Arial"/>
                <w:sz w:val="13"/>
                <w:szCs w:val="13"/>
                <w:color w:val="auto"/>
              </w:rPr>
              <w:t>noncontrolling interests</w:t>
            </w: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54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ind w:left="5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1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Consolidation of previous</w:t>
            </w: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68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8"/>
              </w:rPr>
              <w:t>minority-owned subsidiary</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1680" w:type="dxa"/>
            <w:vAlign w:val="bottom"/>
          </w:tcPr>
          <w:p>
            <w:pPr>
              <w:ind w:left="180"/>
              <w:spacing w:after="0"/>
              <w:rPr>
                <w:sz w:val="20"/>
                <w:szCs w:val="20"/>
                <w:color w:val="auto"/>
              </w:rPr>
            </w:pPr>
            <w:r>
              <w:rPr>
                <w:rFonts w:ascii="Arial" w:cs="Arial" w:eastAsia="Arial" w:hAnsi="Arial"/>
                <w:sz w:val="13"/>
                <w:szCs w:val="13"/>
                <w:color w:val="auto"/>
              </w:rPr>
              <w:t>Dividends declared</w:t>
            </w: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54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(154)</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(154)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ind w:left="5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168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1"/>
              </w:rPr>
              <w:t>Subsidiary dividends paid to</w:t>
            </w:r>
          </w:p>
        </w:tc>
        <w:tc>
          <w:tcPr>
            <w:tcW w:w="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noncontrolling interests</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4"/>
        </w:trPr>
        <w:tc>
          <w:tcPr>
            <w:tcW w:w="16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Net earnings</w:t>
            </w:r>
          </w:p>
        </w:tc>
        <w:tc>
          <w:tcPr>
            <w:tcW w:w="5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ind w:left="3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ind w:left="20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26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394</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96"/>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17</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411</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5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0"/>
        </w:trPr>
        <w:tc>
          <w:tcPr>
            <w:tcW w:w="16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Balance, December 31, 2013</w:t>
            </w:r>
          </w:p>
        </w:tc>
        <w:tc>
          <w:tcPr>
            <w:tcW w:w="5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292</w:t>
            </w:r>
          </w:p>
        </w:tc>
        <w:tc>
          <w:tcPr>
            <w:tcW w:w="120" w:type="dxa"/>
            <w:vAlign w:val="bottom"/>
            <w:shd w:val="clear" w:color="auto" w:fill="CCEEFF"/>
          </w:tcPr>
          <w:p>
            <w:pPr>
              <w:spacing w:after="0"/>
              <w:rPr>
                <w:sz w:val="23"/>
                <w:szCs w:val="23"/>
                <w:color w:val="auto"/>
              </w:rPr>
            </w:pP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w w:val="92"/>
              </w:rPr>
              <w:t>$ —</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2"/>
              </w:rPr>
              <w:t>$ —</w:t>
            </w:r>
          </w:p>
        </w:tc>
        <w:tc>
          <w:tcPr>
            <w:tcW w:w="120" w:type="dxa"/>
            <w:vAlign w:val="bottom"/>
            <w:shd w:val="clear" w:color="auto" w:fill="CCEEFF"/>
          </w:tcPr>
          <w:p>
            <w:pPr>
              <w:spacing w:after="0"/>
              <w:rPr>
                <w:sz w:val="23"/>
                <w:szCs w:val="23"/>
                <w:color w:val="auto"/>
              </w:rPr>
            </w:pPr>
          </w:p>
        </w:tc>
        <w:tc>
          <w:tcPr>
            <w:tcW w:w="54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92"/>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4,642</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1,089</w:t>
            </w: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ind w:left="20"/>
              <w:spacing w:after="0"/>
              <w:rPr>
                <w:sz w:val="20"/>
                <w:szCs w:val="20"/>
                <w:color w:val="auto"/>
              </w:rPr>
            </w:pPr>
            <w:r>
              <w:rPr>
                <w:rFonts w:ascii="Arial" w:cs="Arial" w:eastAsia="Arial" w:hAnsi="Arial"/>
                <w:sz w:val="9"/>
                <w:szCs w:val="9"/>
                <w:color w:val="auto"/>
                <w:w w:val="78"/>
              </w:rPr>
              <w:t>$</w:t>
            </w:r>
          </w:p>
        </w:tc>
        <w:tc>
          <w:tcPr>
            <w:tcW w:w="82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spacing w:after="0"/>
              <w:rPr>
                <w:sz w:val="23"/>
                <w:szCs w:val="23"/>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7"/>
              </w:rPr>
              <w:t>$ (707)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474</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5,535</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ind w:left="40"/>
              <w:spacing w:after="0"/>
              <w:rPr>
                <w:sz w:val="20"/>
                <w:szCs w:val="20"/>
                <w:color w:val="auto"/>
              </w:rPr>
            </w:pPr>
            <w:r>
              <w:rPr>
                <w:rFonts w:ascii="Arial" w:cs="Arial" w:eastAsia="Arial" w:hAnsi="Arial"/>
                <w:sz w:val="9"/>
                <w:szCs w:val="9"/>
                <w:color w:val="auto"/>
                <w:w w:val="78"/>
              </w:rPr>
              <w:t>$</w:t>
            </w:r>
          </w:p>
        </w:tc>
        <w:tc>
          <w:tcPr>
            <w:tcW w:w="76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125" w:right="239" w:bottom="2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125" w:right="239" w:bottom="28" w:gutter="0" w:footer="0" w:header="0"/>
          <w:type w:val="continuous"/>
        </w:sectPr>
      </w:pPr>
    </w:p>
    <w:bookmarkStart w:id="69" w:name="page70"/>
    <w:bookmarkEnd w:id="6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 - Continued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6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12"/>
          </w:tcPr>
          <w:p>
            <w:pPr>
              <w:jc w:val="right"/>
              <w:spacing w:after="0"/>
              <w:rPr>
                <w:sz w:val="20"/>
                <w:szCs w:val="20"/>
                <w:color w:val="auto"/>
              </w:rPr>
            </w:pPr>
            <w:r>
              <w:rPr>
                <w:rFonts w:ascii="Arial" w:cs="Arial" w:eastAsia="Arial" w:hAnsi="Arial"/>
                <w:sz w:val="13"/>
                <w:szCs w:val="13"/>
                <w:b w:val="1"/>
                <w:bCs w:val="1"/>
                <w:color w:val="auto"/>
                <w:w w:val="89"/>
              </w:rPr>
              <w:t>Fidelity National Financial, Inc. Common Shareholders</w:t>
            </w:r>
          </w:p>
        </w:tc>
        <w:tc>
          <w:tcPr>
            <w:tcW w:w="8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680" w:type="dxa"/>
            <w:vAlign w:val="bottom"/>
          </w:tcPr>
          <w:p>
            <w:pPr>
              <w:spacing w:after="0"/>
              <w:rPr>
                <w:sz w:val="12"/>
                <w:szCs w:val="12"/>
                <w:color w:val="auto"/>
              </w:rPr>
            </w:pPr>
          </w:p>
        </w:tc>
        <w:tc>
          <w:tcPr>
            <w:tcW w:w="1100" w:type="dxa"/>
            <w:vAlign w:val="bottom"/>
            <w:gridSpan w:val="4"/>
            <w:vMerge w:val="restart"/>
          </w:tcPr>
          <w:p>
            <w:pPr>
              <w:jc w:val="right"/>
              <w:ind w:right="240"/>
              <w:spacing w:after="0"/>
              <w:rPr>
                <w:sz w:val="20"/>
                <w:szCs w:val="20"/>
                <w:color w:val="auto"/>
              </w:rPr>
            </w:pPr>
            <w:r>
              <w:rPr>
                <w:rFonts w:ascii="Arial" w:cs="Arial" w:eastAsia="Arial" w:hAnsi="Arial"/>
                <w:sz w:val="13"/>
                <w:szCs w:val="13"/>
                <w:b w:val="1"/>
                <w:bCs w:val="1"/>
                <w:color w:val="auto"/>
              </w:rPr>
              <w:t>FNF Class A</w:t>
            </w:r>
          </w:p>
        </w:tc>
        <w:tc>
          <w:tcPr>
            <w:tcW w:w="980" w:type="dxa"/>
            <w:vAlign w:val="bottom"/>
            <w:gridSpan w:val="3"/>
            <w:vMerge w:val="restart"/>
          </w:tcPr>
          <w:p>
            <w:pPr>
              <w:jc w:val="right"/>
              <w:ind w:right="97"/>
              <w:spacing w:after="0"/>
              <w:rPr>
                <w:sz w:val="20"/>
                <w:szCs w:val="20"/>
                <w:color w:val="auto"/>
              </w:rPr>
            </w:pPr>
            <w:r>
              <w:rPr>
                <w:rFonts w:ascii="Arial" w:cs="Arial" w:eastAsia="Arial" w:hAnsi="Arial"/>
                <w:sz w:val="13"/>
                <w:szCs w:val="13"/>
                <w:b w:val="1"/>
                <w:bCs w:val="1"/>
                <w:color w:val="auto"/>
              </w:rPr>
              <w:t>FNF Group</w:t>
            </w:r>
          </w:p>
        </w:tc>
        <w:tc>
          <w:tcPr>
            <w:tcW w:w="120" w:type="dxa"/>
            <w:vAlign w:val="bottom"/>
          </w:tcPr>
          <w:p>
            <w:pPr>
              <w:spacing w:after="0"/>
              <w:rPr>
                <w:sz w:val="12"/>
                <w:szCs w:val="12"/>
                <w:color w:val="auto"/>
              </w:rPr>
            </w:pPr>
          </w:p>
        </w:tc>
        <w:tc>
          <w:tcPr>
            <w:tcW w:w="1080" w:type="dxa"/>
            <w:vAlign w:val="bottom"/>
            <w:gridSpan w:val="4"/>
            <w:vMerge w:val="restart"/>
          </w:tcPr>
          <w:p>
            <w:pPr>
              <w:ind w:left="140"/>
              <w:spacing w:after="0"/>
              <w:rPr>
                <w:sz w:val="20"/>
                <w:szCs w:val="20"/>
                <w:color w:val="auto"/>
              </w:rPr>
            </w:pPr>
            <w:r>
              <w:rPr>
                <w:rFonts w:ascii="Arial" w:cs="Arial" w:eastAsia="Arial" w:hAnsi="Arial"/>
                <w:sz w:val="13"/>
                <w:szCs w:val="13"/>
                <w:b w:val="1"/>
                <w:bCs w:val="1"/>
                <w:color w:val="auto"/>
              </w:rPr>
              <w:t>FNFV Group</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00"/>
              <w:spacing w:after="0" w:line="144" w:lineRule="exact"/>
              <w:rPr>
                <w:sz w:val="20"/>
                <w:szCs w:val="20"/>
                <w:color w:val="auto"/>
              </w:rPr>
            </w:pPr>
            <w:r>
              <w:rPr>
                <w:rFonts w:ascii="Arial" w:cs="Arial" w:eastAsia="Arial" w:hAnsi="Arial"/>
                <w:sz w:val="13"/>
                <w:szCs w:val="13"/>
                <w:b w:val="1"/>
                <w:bCs w:val="1"/>
                <w:color w:val="auto"/>
                <w:w w:val="88"/>
              </w:rPr>
              <w:t>Accumulated</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680" w:type="dxa"/>
            <w:vAlign w:val="bottom"/>
          </w:tcPr>
          <w:p>
            <w:pPr>
              <w:spacing w:after="0"/>
              <w:rPr>
                <w:sz w:val="4"/>
                <w:szCs w:val="4"/>
                <w:color w:val="auto"/>
              </w:rPr>
            </w:pPr>
          </w:p>
        </w:tc>
        <w:tc>
          <w:tcPr>
            <w:tcW w:w="1100" w:type="dxa"/>
            <w:vAlign w:val="bottom"/>
            <w:gridSpan w:val="4"/>
            <w:vMerge w:val="continue"/>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gridSpan w:val="4"/>
            <w:vMerge w:val="continue"/>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2"/>
            <w:vMerge w:val="restart"/>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Other</w:t>
            </w: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1680" w:type="dxa"/>
            <w:vAlign w:val="bottom"/>
          </w:tcPr>
          <w:p>
            <w:pPr>
              <w:spacing w:after="0"/>
              <w:rPr>
                <w:sz w:val="7"/>
                <w:szCs w:val="7"/>
                <w:color w:val="auto"/>
              </w:rPr>
            </w:pPr>
          </w:p>
        </w:tc>
        <w:tc>
          <w:tcPr>
            <w:tcW w:w="1100" w:type="dxa"/>
            <w:vAlign w:val="bottom"/>
            <w:gridSpan w:val="4"/>
            <w:vMerge w:val="restart"/>
          </w:tcPr>
          <w:p>
            <w:pPr>
              <w:ind w:left="100"/>
              <w:spacing w:after="0"/>
              <w:rPr>
                <w:sz w:val="20"/>
                <w:szCs w:val="20"/>
                <w:color w:val="auto"/>
              </w:rPr>
            </w:pPr>
            <w:r>
              <w:rPr>
                <w:rFonts w:ascii="Arial" w:cs="Arial" w:eastAsia="Arial" w:hAnsi="Arial"/>
                <w:sz w:val="13"/>
                <w:szCs w:val="13"/>
                <w:b w:val="1"/>
                <w:bCs w:val="1"/>
                <w:color w:val="auto"/>
              </w:rPr>
              <w:t>Common Stock</w:t>
            </w:r>
          </w:p>
        </w:tc>
        <w:tc>
          <w:tcPr>
            <w:tcW w:w="98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w w:val="92"/>
              </w:rPr>
              <w:t>Common Stock</w:t>
            </w:r>
          </w:p>
        </w:tc>
        <w:tc>
          <w:tcPr>
            <w:tcW w:w="120" w:type="dxa"/>
            <w:vAlign w:val="bottom"/>
          </w:tcPr>
          <w:p>
            <w:pPr>
              <w:spacing w:after="0"/>
              <w:rPr>
                <w:sz w:val="7"/>
                <w:szCs w:val="7"/>
                <w:color w:val="auto"/>
              </w:rPr>
            </w:pPr>
          </w:p>
        </w:tc>
        <w:tc>
          <w:tcPr>
            <w:tcW w:w="1080" w:type="dxa"/>
            <w:vAlign w:val="bottom"/>
            <w:gridSpan w:val="4"/>
            <w:vMerge w:val="restart"/>
          </w:tcPr>
          <w:p>
            <w:pPr>
              <w:ind w:left="80"/>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240" w:type="dxa"/>
            <w:vAlign w:val="bottom"/>
            <w:gridSpan w:val="5"/>
            <w:vMerge w:val="restart"/>
          </w:tcPr>
          <w:p>
            <w:pPr>
              <w:ind w:left="180"/>
              <w:spacing w:after="0"/>
              <w:rPr>
                <w:sz w:val="20"/>
                <w:szCs w:val="20"/>
                <w:color w:val="auto"/>
              </w:rPr>
            </w:pPr>
            <w:r>
              <w:rPr>
                <w:rFonts w:ascii="Arial" w:cs="Arial" w:eastAsia="Arial" w:hAnsi="Arial"/>
                <w:sz w:val="13"/>
                <w:szCs w:val="13"/>
                <w:b w:val="1"/>
                <w:bCs w:val="1"/>
                <w:color w:val="auto"/>
              </w:rPr>
              <w:t>Treasury Stock</w:t>
            </w: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8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98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vMerge w:val="restart"/>
          </w:tcPr>
          <w:p>
            <w:pPr>
              <w:jc w:val="right"/>
              <w:ind w:right="37"/>
              <w:spacing w:after="0" w:line="135" w:lineRule="exact"/>
              <w:rPr>
                <w:sz w:val="20"/>
                <w:szCs w:val="20"/>
                <w:color w:val="auto"/>
              </w:rPr>
            </w:pPr>
            <w:r>
              <w:rPr>
                <w:rFonts w:ascii="Arial" w:cs="Arial" w:eastAsia="Arial" w:hAnsi="Arial"/>
                <w:sz w:val="13"/>
                <w:szCs w:val="13"/>
                <w:b w:val="1"/>
                <w:bCs w:val="1"/>
                <w:color w:val="auto"/>
                <w:w w:val="88"/>
              </w:rPr>
              <w:t>Additional</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gridSpan w:val="3"/>
            <w:vMerge w:val="restart"/>
          </w:tcPr>
          <w:p>
            <w:pPr>
              <w:jc w:val="center"/>
              <w:ind w:right="1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24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vMerge w:val="restart"/>
          </w:tcPr>
          <w:p>
            <w:pPr>
              <w:jc w:val="right"/>
              <w:ind w:right="37"/>
              <w:spacing w:after="0" w:line="135" w:lineRule="exact"/>
              <w:rPr>
                <w:sz w:val="20"/>
                <w:szCs w:val="20"/>
                <w:color w:val="auto"/>
              </w:rPr>
            </w:pPr>
            <w:r>
              <w:rPr>
                <w:rFonts w:ascii="Arial" w:cs="Arial" w:eastAsia="Arial" w:hAnsi="Arial"/>
                <w:sz w:val="13"/>
                <w:szCs w:val="13"/>
                <w:b w:val="1"/>
                <w:bCs w:val="1"/>
                <w:color w:val="auto"/>
                <w:w w:val="83"/>
              </w:rPr>
              <w:t>Redeemable</w:t>
            </w:r>
          </w:p>
        </w:tc>
        <w:tc>
          <w:tcPr>
            <w:tcW w:w="0" w:type="dxa"/>
            <w:vAlign w:val="bottom"/>
          </w:tcPr>
          <w:p>
            <w:pPr>
              <w:spacing w:after="0"/>
              <w:rPr>
                <w:sz w:val="1"/>
                <w:szCs w:val="1"/>
                <w:color w:val="auto"/>
              </w:rPr>
            </w:pPr>
          </w:p>
        </w:tc>
      </w:tr>
      <w:tr>
        <w:trPr>
          <w:trHeight w:val="22"/>
        </w:trPr>
        <w:tc>
          <w:tcPr>
            <w:tcW w:w="168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3"/>
            <w:vMerge w:val="continue"/>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117"/>
              <w:spacing w:after="0" w:line="135" w:lineRule="exact"/>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1"/>
                <w:szCs w:val="11"/>
                <w:color w:val="auto"/>
              </w:rPr>
            </w:pPr>
          </w:p>
        </w:tc>
        <w:tc>
          <w:tcPr>
            <w:tcW w:w="9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Earnings</w:t>
            </w: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7"/>
              </w:rPr>
              <w:t>Noncontrolling</w:t>
            </w:r>
          </w:p>
        </w:tc>
        <w:tc>
          <w:tcPr>
            <w:tcW w:w="100" w:type="dxa"/>
            <w:vAlign w:val="bottom"/>
          </w:tcPr>
          <w:p>
            <w:pPr>
              <w:spacing w:after="0"/>
              <w:rPr>
                <w:sz w:val="11"/>
                <w:szCs w:val="11"/>
                <w:color w:val="auto"/>
              </w:rPr>
            </w:pPr>
          </w:p>
        </w:tc>
        <w:tc>
          <w:tcPr>
            <w:tcW w:w="5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Total</w:t>
            </w:r>
          </w:p>
        </w:tc>
        <w:tc>
          <w:tcPr>
            <w:tcW w:w="86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0" w:type="dxa"/>
            <w:vAlign w:val="bottom"/>
          </w:tcPr>
          <w:p>
            <w:pPr>
              <w:spacing w:after="0"/>
              <w:rPr>
                <w:sz w:val="1"/>
                <w:szCs w:val="1"/>
                <w:color w:val="auto"/>
              </w:rPr>
            </w:pPr>
          </w:p>
        </w:tc>
      </w:tr>
      <w:tr>
        <w:trPr>
          <w:trHeight w:val="174"/>
        </w:trPr>
        <w:tc>
          <w:tcPr>
            <w:tcW w:w="1680" w:type="dxa"/>
            <w:vAlign w:val="bottom"/>
          </w:tcPr>
          <w:p>
            <w:pPr>
              <w:spacing w:after="0"/>
              <w:rPr>
                <w:sz w:val="15"/>
                <w:szCs w:val="15"/>
                <w:color w:val="auto"/>
              </w:rPr>
            </w:pPr>
          </w:p>
        </w:tc>
        <w:tc>
          <w:tcPr>
            <w:tcW w:w="660" w:type="dxa"/>
            <w:vAlign w:val="bottom"/>
            <w:gridSpan w:val="2"/>
          </w:tcPr>
          <w:p>
            <w:pPr>
              <w:ind w:left="100"/>
              <w:spacing w:after="0"/>
              <w:rPr>
                <w:sz w:val="20"/>
                <w:szCs w:val="20"/>
                <w:color w:val="auto"/>
              </w:rPr>
            </w:pPr>
            <w:r>
              <w:rPr>
                <w:rFonts w:ascii="Arial" w:cs="Arial" w:eastAsia="Arial" w:hAnsi="Arial"/>
                <w:sz w:val="13"/>
                <w:szCs w:val="13"/>
                <w:b w:val="1"/>
                <w:bCs w:val="1"/>
                <w:color w:val="auto"/>
              </w:rPr>
              <w:t>Shares</w:t>
            </w:r>
          </w:p>
        </w:tc>
        <w:tc>
          <w:tcPr>
            <w:tcW w:w="320" w:type="dxa"/>
            <w:vAlign w:val="bottom"/>
          </w:tcPr>
          <w:p>
            <w:pPr>
              <w:jc w:val="right"/>
              <w:ind w:right="57"/>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5"/>
                <w:szCs w:val="15"/>
                <w:color w:val="auto"/>
              </w:rPr>
            </w:pPr>
          </w:p>
        </w:tc>
        <w:tc>
          <w:tcPr>
            <w:tcW w:w="640" w:type="dxa"/>
            <w:vAlign w:val="bottom"/>
            <w:gridSpan w:val="2"/>
          </w:tcPr>
          <w:p>
            <w:pPr>
              <w:ind w:left="80"/>
              <w:spacing w:after="0"/>
              <w:rPr>
                <w:sz w:val="20"/>
                <w:szCs w:val="20"/>
                <w:color w:val="auto"/>
              </w:rPr>
            </w:pPr>
            <w:r>
              <w:rPr>
                <w:rFonts w:ascii="Arial" w:cs="Arial" w:eastAsia="Arial" w:hAnsi="Arial"/>
                <w:sz w:val="13"/>
                <w:szCs w:val="13"/>
                <w:b w:val="1"/>
                <w:bCs w:val="1"/>
                <w:color w:val="auto"/>
              </w:rPr>
              <w:t>Shares</w:t>
            </w:r>
          </w:p>
        </w:tc>
        <w:tc>
          <w:tcPr>
            <w:tcW w:w="340" w:type="dxa"/>
            <w:vAlign w:val="bottom"/>
          </w:tcPr>
          <w:p>
            <w:pPr>
              <w:jc w:val="right"/>
              <w:ind w:right="77"/>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5"/>
                <w:szCs w:val="15"/>
                <w:color w:val="auto"/>
              </w:rPr>
            </w:pPr>
          </w:p>
        </w:tc>
        <w:tc>
          <w:tcPr>
            <w:tcW w:w="640" w:type="dxa"/>
            <w:vAlign w:val="bottom"/>
            <w:gridSpan w:val="2"/>
          </w:tcPr>
          <w:p>
            <w:pPr>
              <w:ind w:left="80"/>
              <w:spacing w:after="0"/>
              <w:rPr>
                <w:sz w:val="20"/>
                <w:szCs w:val="20"/>
                <w:color w:val="auto"/>
              </w:rPr>
            </w:pPr>
            <w:r>
              <w:rPr>
                <w:rFonts w:ascii="Arial" w:cs="Arial" w:eastAsia="Arial" w:hAnsi="Arial"/>
                <w:sz w:val="13"/>
                <w:szCs w:val="13"/>
                <w:b w:val="1"/>
                <w:bCs w:val="1"/>
                <w:color w:val="auto"/>
              </w:rPr>
              <w:t>Shares</w:t>
            </w:r>
          </w:p>
        </w:tc>
        <w:tc>
          <w:tcPr>
            <w:tcW w:w="340" w:type="dxa"/>
            <w:vAlign w:val="bottom"/>
          </w:tcPr>
          <w:p>
            <w:pPr>
              <w:jc w:val="right"/>
              <w:ind w:right="77"/>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jc w:val="right"/>
              <w:ind w:right="137"/>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(Loss)</w:t>
            </w:r>
          </w:p>
        </w:tc>
        <w:tc>
          <w:tcPr>
            <w:tcW w:w="640" w:type="dxa"/>
            <w:vAlign w:val="bottom"/>
            <w:gridSpan w:val="2"/>
          </w:tcPr>
          <w:p>
            <w:pPr>
              <w:ind w:left="80"/>
              <w:spacing w:after="0"/>
              <w:rPr>
                <w:sz w:val="20"/>
                <w:szCs w:val="20"/>
                <w:color w:val="auto"/>
              </w:rPr>
            </w:pPr>
            <w:r>
              <w:rPr>
                <w:rFonts w:ascii="Arial" w:cs="Arial" w:eastAsia="Arial" w:hAnsi="Arial"/>
                <w:sz w:val="13"/>
                <w:szCs w:val="13"/>
                <w:b w:val="1"/>
                <w:bCs w:val="1"/>
                <w:color w:val="auto"/>
              </w:rPr>
              <w:t>Shares</w:t>
            </w:r>
          </w:p>
        </w:tc>
        <w:tc>
          <w:tcPr>
            <w:tcW w:w="600" w:type="dxa"/>
            <w:vAlign w:val="bottom"/>
            <w:gridSpan w:val="3"/>
          </w:tcPr>
          <w:p>
            <w:pPr>
              <w:ind w:left="40"/>
              <w:spacing w:after="0"/>
              <w:rPr>
                <w:sz w:val="20"/>
                <w:szCs w:val="20"/>
                <w:color w:val="auto"/>
              </w:rPr>
            </w:pPr>
            <w:r>
              <w:rPr>
                <w:rFonts w:ascii="Arial" w:cs="Arial" w:eastAsia="Arial" w:hAnsi="Arial"/>
                <w:sz w:val="13"/>
                <w:szCs w:val="13"/>
                <w:b w:val="1"/>
                <w:bCs w:val="1"/>
                <w:color w:val="auto"/>
              </w:rPr>
              <w:t>Amount</w:t>
            </w:r>
          </w:p>
        </w:tc>
        <w:tc>
          <w:tcPr>
            <w:tcW w:w="14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Arial" w:cs="Arial" w:eastAsia="Arial" w:hAnsi="Arial"/>
                <w:sz w:val="13"/>
                <w:szCs w:val="13"/>
                <w:b w:val="1"/>
                <w:bCs w:val="1"/>
                <w:color w:val="auto"/>
              </w:rPr>
              <w:t>Interests</w:t>
            </w:r>
          </w:p>
        </w:tc>
        <w:tc>
          <w:tcPr>
            <w:tcW w:w="100" w:type="dxa"/>
            <w:vAlign w:val="bottom"/>
          </w:tcPr>
          <w:p>
            <w:pPr>
              <w:spacing w:after="0"/>
              <w:rPr>
                <w:sz w:val="15"/>
                <w:szCs w:val="15"/>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Equity</w:t>
            </w:r>
          </w:p>
        </w:tc>
        <w:tc>
          <w:tcPr>
            <w:tcW w:w="100" w:type="dxa"/>
            <w:vAlign w:val="bottom"/>
          </w:tcPr>
          <w:p>
            <w:pPr>
              <w:spacing w:after="0"/>
              <w:rPr>
                <w:sz w:val="15"/>
                <w:szCs w:val="15"/>
                <w:color w:val="auto"/>
              </w:rPr>
            </w:pPr>
          </w:p>
        </w:tc>
        <w:tc>
          <w:tcPr>
            <w:tcW w:w="760" w:type="dxa"/>
            <w:vAlign w:val="bottom"/>
          </w:tcPr>
          <w:p>
            <w:pPr>
              <w:jc w:val="right"/>
              <w:ind w:right="137"/>
              <w:spacing w:after="0"/>
              <w:rPr>
                <w:sz w:val="20"/>
                <w:szCs w:val="20"/>
                <w:color w:val="auto"/>
              </w:rPr>
            </w:pPr>
            <w:r>
              <w:rPr>
                <w:rFonts w:ascii="Arial" w:cs="Arial" w:eastAsia="Arial" w:hAnsi="Arial"/>
                <w:sz w:val="13"/>
                <w:szCs w:val="13"/>
                <w:b w:val="1"/>
                <w:bCs w:val="1"/>
                <w:color w:val="auto"/>
                <w:w w:val="99"/>
              </w:rPr>
              <w:t>Interests</w:t>
            </w:r>
          </w:p>
        </w:tc>
        <w:tc>
          <w:tcPr>
            <w:tcW w:w="0" w:type="dxa"/>
            <w:vAlign w:val="bottom"/>
          </w:tcPr>
          <w:p>
            <w:pPr>
              <w:spacing w:after="0"/>
              <w:rPr>
                <w:sz w:val="1"/>
                <w:szCs w:val="1"/>
                <w:color w:val="auto"/>
              </w:rPr>
            </w:pPr>
          </w:p>
        </w:tc>
      </w:tr>
      <w:tr>
        <w:trPr>
          <w:trHeight w:val="262"/>
        </w:trPr>
        <w:tc>
          <w:tcPr>
            <w:tcW w:w="1680" w:type="dxa"/>
            <w:vAlign w:val="bottom"/>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gridSpan w:val="4"/>
          </w:tcPr>
          <w:p>
            <w:pPr>
              <w:ind w:left="20"/>
              <w:spacing w:after="0"/>
              <w:rPr>
                <w:sz w:val="20"/>
                <w:szCs w:val="20"/>
                <w:color w:val="auto"/>
              </w:rPr>
            </w:pPr>
            <w:r>
              <w:rPr>
                <w:rFonts w:ascii="Arial" w:cs="Arial" w:eastAsia="Arial" w:hAnsi="Arial"/>
                <w:sz w:val="13"/>
                <w:szCs w:val="13"/>
                <w:b w:val="1"/>
                <w:bCs w:val="1"/>
                <w:color w:val="auto"/>
              </w:rPr>
              <w:t>(In millions)</w:t>
            </w:r>
          </w:p>
        </w:tc>
        <w:tc>
          <w:tcPr>
            <w:tcW w:w="8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16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Balance, December 31, 2013</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292</w:t>
            </w:r>
          </w:p>
        </w:tc>
        <w:tc>
          <w:tcPr>
            <w:tcW w:w="1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2"/>
              </w:rPr>
              <w:t>$ —</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2"/>
              </w:rPr>
              <w:t>$ —</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2"/>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4,642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1,089</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37</w:t>
            </w:r>
          </w:p>
        </w:tc>
        <w:tc>
          <w:tcPr>
            <w:tcW w:w="1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2"/>
              </w:rPr>
              <w:t>(707)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474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5,535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ind w:left="40"/>
              <w:spacing w:after="0"/>
              <w:rPr>
                <w:sz w:val="20"/>
                <w:szCs w:val="20"/>
                <w:color w:val="auto"/>
              </w:rPr>
            </w:pPr>
            <w:r>
              <w:rPr>
                <w:rFonts w:ascii="Arial" w:cs="Arial" w:eastAsia="Arial" w:hAnsi="Arial"/>
                <w:sz w:val="9"/>
                <w:szCs w:val="9"/>
                <w:color w:val="auto"/>
                <w:w w:val="78"/>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680" w:type="dxa"/>
            <w:vAlign w:val="bottom"/>
          </w:tcPr>
          <w:p>
            <w:pPr>
              <w:ind w:left="180"/>
              <w:spacing w:after="0" w:line="148" w:lineRule="exact"/>
              <w:rPr>
                <w:sz w:val="20"/>
                <w:szCs w:val="20"/>
                <w:color w:val="auto"/>
              </w:rPr>
            </w:pPr>
            <w:r>
              <w:rPr>
                <w:rFonts w:ascii="Arial" w:cs="Arial" w:eastAsia="Arial" w:hAnsi="Arial"/>
                <w:sz w:val="13"/>
                <w:szCs w:val="13"/>
                <w:color w:val="auto"/>
              </w:rPr>
              <w:t>Acquisition of Lender</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80" w:type="dxa"/>
            <w:vAlign w:val="bottom"/>
          </w:tcPr>
          <w:p>
            <w:pPr>
              <w:ind w:left="180"/>
              <w:spacing w:after="0"/>
              <w:rPr>
                <w:sz w:val="20"/>
                <w:szCs w:val="20"/>
                <w:color w:val="auto"/>
              </w:rPr>
            </w:pPr>
            <w:r>
              <w:rPr>
                <w:rFonts w:ascii="Arial" w:cs="Arial" w:eastAsia="Arial" w:hAnsi="Arial"/>
                <w:sz w:val="13"/>
                <w:szCs w:val="13"/>
                <w:color w:val="auto"/>
              </w:rPr>
              <w:t>Processing Services</w:t>
            </w:r>
          </w:p>
        </w:tc>
        <w:tc>
          <w:tcPr>
            <w:tcW w:w="540" w:type="dxa"/>
            <w:vAlign w:val="bottom"/>
          </w:tcPr>
          <w:p>
            <w:pPr>
              <w:jc w:val="right"/>
              <w:ind w:right="37"/>
              <w:spacing w:after="0"/>
              <w:rPr>
                <w:sz w:val="20"/>
                <w:szCs w:val="20"/>
                <w:color w:val="auto"/>
              </w:rPr>
            </w:pPr>
            <w:r>
              <w:rPr>
                <w:rFonts w:ascii="Arial" w:cs="Arial" w:eastAsia="Arial" w:hAnsi="Arial"/>
                <w:sz w:val="13"/>
                <w:szCs w:val="13"/>
                <w:color w:val="auto"/>
              </w:rPr>
              <w:t>26</w:t>
            </w:r>
          </w:p>
        </w:tc>
        <w:tc>
          <w:tcPr>
            <w:tcW w:w="120" w:type="dxa"/>
            <w:vAlign w:val="bottom"/>
          </w:tcPr>
          <w:p>
            <w:pPr>
              <w:spacing w:after="0"/>
              <w:rPr>
                <w:sz w:val="14"/>
                <w:szCs w:val="14"/>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839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839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1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Exercise of stock options</w:t>
            </w:r>
          </w:p>
        </w:tc>
        <w:tc>
          <w:tcPr>
            <w:tcW w:w="5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24"/>
                <w:szCs w:val="24"/>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40</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680" w:type="dxa"/>
            <w:vAlign w:val="bottom"/>
          </w:tcPr>
          <w:p>
            <w:pPr>
              <w:ind w:left="180"/>
              <w:spacing w:after="0" w:line="148" w:lineRule="exact"/>
              <w:rPr>
                <w:sz w:val="20"/>
                <w:szCs w:val="20"/>
                <w:color w:val="auto"/>
              </w:rPr>
            </w:pPr>
            <w:r>
              <w:rPr>
                <w:rFonts w:ascii="Arial" w:cs="Arial" w:eastAsia="Arial" w:hAnsi="Arial"/>
                <w:sz w:val="13"/>
                <w:szCs w:val="13"/>
                <w:color w:val="auto"/>
              </w:rPr>
              <w:t>Recapitalization of FNF</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80" w:type="dxa"/>
            <w:vAlign w:val="bottom"/>
          </w:tcPr>
          <w:p>
            <w:pPr>
              <w:ind w:left="180"/>
              <w:spacing w:after="0"/>
              <w:rPr>
                <w:sz w:val="20"/>
                <w:szCs w:val="20"/>
                <w:color w:val="auto"/>
              </w:rPr>
            </w:pPr>
            <w:r>
              <w:rPr>
                <w:rFonts w:ascii="Arial" w:cs="Arial" w:eastAsia="Arial" w:hAnsi="Arial"/>
                <w:sz w:val="13"/>
                <w:szCs w:val="13"/>
                <w:color w:val="auto"/>
              </w:rPr>
              <w:t>stock</w:t>
            </w:r>
          </w:p>
        </w:tc>
        <w:tc>
          <w:tcPr>
            <w:tcW w:w="540" w:type="dxa"/>
            <w:vAlign w:val="bottom"/>
          </w:tcPr>
          <w:p>
            <w:pPr>
              <w:jc w:val="right"/>
              <w:spacing w:after="0"/>
              <w:rPr>
                <w:sz w:val="20"/>
                <w:szCs w:val="20"/>
                <w:color w:val="auto"/>
              </w:rPr>
            </w:pPr>
            <w:r>
              <w:rPr>
                <w:rFonts w:ascii="Arial" w:cs="Arial" w:eastAsia="Arial" w:hAnsi="Arial"/>
                <w:sz w:val="13"/>
                <w:szCs w:val="13"/>
                <w:color w:val="auto"/>
              </w:rPr>
              <w:t>(277)</w:t>
            </w:r>
          </w:p>
        </w:tc>
        <w:tc>
          <w:tcPr>
            <w:tcW w:w="120" w:type="dxa"/>
            <w:vAlign w:val="bottom"/>
          </w:tcPr>
          <w:p>
            <w:pPr>
              <w:spacing w:after="0"/>
              <w:rPr>
                <w:sz w:val="14"/>
                <w:szCs w:val="14"/>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277</w:t>
            </w:r>
          </w:p>
        </w:tc>
        <w:tc>
          <w:tcPr>
            <w:tcW w:w="100" w:type="dxa"/>
            <w:vAlign w:val="bottom"/>
          </w:tcPr>
          <w:p>
            <w:pPr>
              <w:spacing w:after="0"/>
              <w:rPr>
                <w:sz w:val="14"/>
                <w:szCs w:val="14"/>
                <w:color w:val="auto"/>
              </w:rPr>
            </w:pP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57"/>
              <w:spacing w:after="0"/>
              <w:rPr>
                <w:sz w:val="20"/>
                <w:szCs w:val="20"/>
                <w:color w:val="auto"/>
              </w:rPr>
            </w:pPr>
            <w:r>
              <w:rPr>
                <w:rFonts w:ascii="Arial" w:cs="Arial" w:eastAsia="Arial" w:hAnsi="Arial"/>
                <w:sz w:val="13"/>
                <w:szCs w:val="13"/>
                <w:color w:val="auto"/>
              </w:rPr>
              <w:t>92</w:t>
            </w:r>
          </w:p>
        </w:tc>
        <w:tc>
          <w:tcPr>
            <w:tcW w:w="100" w:type="dxa"/>
            <w:vAlign w:val="bottom"/>
          </w:tcPr>
          <w:p>
            <w:pPr>
              <w:spacing w:after="0"/>
              <w:rPr>
                <w:sz w:val="14"/>
                <w:szCs w:val="14"/>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168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4"/>
              </w:rPr>
              <w:t>Tax benefit associated with</w:t>
            </w: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3"/>
              </w:rPr>
              <w:t>the exercise of stock-based</w:t>
            </w: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compensation</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1680" w:type="dxa"/>
            <w:vAlign w:val="bottom"/>
          </w:tcPr>
          <w:p>
            <w:pPr>
              <w:ind w:left="180"/>
              <w:spacing w:after="0"/>
              <w:rPr>
                <w:sz w:val="20"/>
                <w:szCs w:val="20"/>
                <w:color w:val="auto"/>
              </w:rPr>
            </w:pPr>
            <w:r>
              <w:rPr>
                <w:rFonts w:ascii="Arial" w:cs="Arial" w:eastAsia="Arial" w:hAnsi="Arial"/>
                <w:sz w:val="13"/>
                <w:szCs w:val="13"/>
                <w:color w:val="auto"/>
                <w:w w:val="93"/>
              </w:rPr>
              <w:t>Issuance of restricted stock</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54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2"/>
                <w:szCs w:val="22"/>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1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w:t>
            </w: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89"/>
              </w:rPr>
              <w:t>earnings — unrealized (loss)</w:t>
            </w: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on investments and other</w:t>
            </w: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financial instruments</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680" w:type="dxa"/>
            <w:vAlign w:val="bottom"/>
          </w:tcPr>
          <w:p>
            <w:pPr>
              <w:ind w:left="180"/>
              <w:spacing w:after="0" w:line="148" w:lineRule="exact"/>
              <w:rPr>
                <w:sz w:val="20"/>
                <w:szCs w:val="20"/>
                <w:color w:val="auto"/>
              </w:rPr>
            </w:pPr>
            <w:r>
              <w:rPr>
                <w:rFonts w:ascii="Arial" w:cs="Arial" w:eastAsia="Arial" w:hAnsi="Arial"/>
                <w:sz w:val="13"/>
                <w:szCs w:val="13"/>
                <w:color w:val="auto"/>
              </w:rPr>
              <w:t>Other comprehensive</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80" w:type="dxa"/>
            <w:vAlign w:val="bottom"/>
          </w:tcPr>
          <w:p>
            <w:pPr>
              <w:ind w:left="180"/>
              <w:spacing w:after="0" w:line="135" w:lineRule="exact"/>
              <w:rPr>
                <w:sz w:val="20"/>
                <w:szCs w:val="20"/>
                <w:color w:val="auto"/>
              </w:rPr>
            </w:pPr>
            <w:r>
              <w:rPr>
                <w:rFonts w:ascii="Arial" w:cs="Arial" w:eastAsia="Arial" w:hAnsi="Arial"/>
                <w:sz w:val="13"/>
                <w:szCs w:val="13"/>
                <w:color w:val="auto"/>
                <w:w w:val="89"/>
              </w:rPr>
              <w:t>earnings — unrealized (loss)</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tcPr>
          <w:p>
            <w:pPr>
              <w:ind w:left="180"/>
              <w:spacing w:after="0" w:line="135" w:lineRule="exact"/>
              <w:rPr>
                <w:sz w:val="20"/>
                <w:szCs w:val="20"/>
                <w:color w:val="auto"/>
              </w:rPr>
            </w:pPr>
            <w:r>
              <w:rPr>
                <w:rFonts w:ascii="Arial" w:cs="Arial" w:eastAsia="Arial" w:hAnsi="Arial"/>
                <w:sz w:val="13"/>
                <w:szCs w:val="13"/>
                <w:color w:val="auto"/>
              </w:rPr>
              <w:t>on investments in</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680" w:type="dxa"/>
            <w:vAlign w:val="bottom"/>
          </w:tcPr>
          <w:p>
            <w:pPr>
              <w:ind w:left="180"/>
              <w:spacing w:after="0"/>
              <w:rPr>
                <w:sz w:val="20"/>
                <w:szCs w:val="20"/>
                <w:color w:val="auto"/>
              </w:rPr>
            </w:pPr>
            <w:r>
              <w:rPr>
                <w:rFonts w:ascii="Arial" w:cs="Arial" w:eastAsia="Arial" w:hAnsi="Arial"/>
                <w:sz w:val="13"/>
                <w:szCs w:val="13"/>
                <w:color w:val="auto"/>
              </w:rPr>
              <w:t>unconsolidated affiliates</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1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w:t>
            </w: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89"/>
              </w:rPr>
              <w:t>earnings — unrealized (loss)</w:t>
            </w: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88"/>
              </w:rPr>
              <w:t>on foreign currency and cash</w:t>
            </w: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flow hedging</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680" w:type="dxa"/>
            <w:vAlign w:val="bottom"/>
          </w:tcPr>
          <w:p>
            <w:pPr>
              <w:ind w:left="180"/>
              <w:spacing w:after="0" w:line="148" w:lineRule="exact"/>
              <w:rPr>
                <w:sz w:val="20"/>
                <w:szCs w:val="20"/>
                <w:color w:val="auto"/>
              </w:rPr>
            </w:pPr>
            <w:r>
              <w:rPr>
                <w:rFonts w:ascii="Arial" w:cs="Arial" w:eastAsia="Arial" w:hAnsi="Arial"/>
                <w:sz w:val="13"/>
                <w:szCs w:val="13"/>
                <w:color w:val="auto"/>
              </w:rPr>
              <w:t>Other comprehensive</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680" w:type="dxa"/>
            <w:vAlign w:val="bottom"/>
          </w:tcPr>
          <w:p>
            <w:pPr>
              <w:ind w:left="180"/>
              <w:spacing w:after="0" w:line="135" w:lineRule="exact"/>
              <w:rPr>
                <w:sz w:val="20"/>
                <w:szCs w:val="20"/>
                <w:color w:val="auto"/>
              </w:rPr>
            </w:pPr>
            <w:r>
              <w:rPr>
                <w:rFonts w:ascii="Arial" w:cs="Arial" w:eastAsia="Arial" w:hAnsi="Arial"/>
                <w:sz w:val="13"/>
                <w:szCs w:val="13"/>
                <w:color w:val="auto"/>
              </w:rPr>
              <w:t>earnings — minimum</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680" w:type="dxa"/>
            <w:vAlign w:val="bottom"/>
          </w:tcPr>
          <w:p>
            <w:pPr>
              <w:ind w:left="180"/>
              <w:spacing w:after="0"/>
              <w:rPr>
                <w:sz w:val="20"/>
                <w:szCs w:val="20"/>
                <w:color w:val="auto"/>
              </w:rPr>
            </w:pPr>
            <w:r>
              <w:rPr>
                <w:rFonts w:ascii="Arial" w:cs="Arial" w:eastAsia="Arial" w:hAnsi="Arial"/>
                <w:sz w:val="13"/>
                <w:szCs w:val="13"/>
                <w:color w:val="auto"/>
                <w:w w:val="95"/>
              </w:rPr>
              <w:t>pension liability adjustment</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820" w:type="dxa"/>
            <w:vAlign w:val="bottom"/>
          </w:tcPr>
          <w:p>
            <w:pPr>
              <w:jc w:val="right"/>
              <w:ind w:right="57"/>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168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4"/>
              </w:rPr>
              <w:t>Stock-based compensation</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148"/>
        </w:trPr>
        <w:tc>
          <w:tcPr>
            <w:tcW w:w="1680" w:type="dxa"/>
            <w:vAlign w:val="bottom"/>
          </w:tcPr>
          <w:p>
            <w:pPr>
              <w:ind w:left="180"/>
              <w:spacing w:after="0" w:line="148" w:lineRule="exact"/>
              <w:rPr>
                <w:sz w:val="20"/>
                <w:szCs w:val="20"/>
                <w:color w:val="auto"/>
              </w:rPr>
            </w:pPr>
            <w:r>
              <w:rPr>
                <w:rFonts w:ascii="Arial" w:cs="Arial" w:eastAsia="Arial" w:hAnsi="Arial"/>
                <w:sz w:val="13"/>
                <w:szCs w:val="13"/>
                <w:color w:val="auto"/>
              </w:rPr>
              <w:t>Shares withheld for taxes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80" w:type="dxa"/>
            <w:vAlign w:val="bottom"/>
          </w:tcPr>
          <w:p>
            <w:pPr>
              <w:ind w:left="180"/>
              <w:spacing w:after="0"/>
              <w:rPr>
                <w:sz w:val="20"/>
                <w:szCs w:val="20"/>
                <w:color w:val="auto"/>
              </w:rPr>
            </w:pPr>
            <w:r>
              <w:rPr>
                <w:rFonts w:ascii="Arial" w:cs="Arial" w:eastAsia="Arial" w:hAnsi="Arial"/>
                <w:sz w:val="13"/>
                <w:szCs w:val="13"/>
                <w:color w:val="auto"/>
              </w:rPr>
              <w:t>and in treasury</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380" w:type="dxa"/>
            <w:vAlign w:val="bottom"/>
          </w:tcPr>
          <w:p>
            <w:pPr>
              <w:jc w:val="right"/>
              <w:ind w:right="17"/>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8"/>
        </w:trPr>
        <w:tc>
          <w:tcPr>
            <w:tcW w:w="168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2"/>
              </w:rPr>
              <w:t>Purchases of treasury stock</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1680" w:type="dxa"/>
            <w:vAlign w:val="bottom"/>
          </w:tcPr>
          <w:p>
            <w:pPr>
              <w:ind w:left="180"/>
              <w:spacing w:after="0" w:line="148" w:lineRule="exact"/>
              <w:rPr>
                <w:sz w:val="20"/>
                <w:szCs w:val="20"/>
                <w:color w:val="auto"/>
              </w:rPr>
            </w:pPr>
            <w:r>
              <w:rPr>
                <w:rFonts w:ascii="Arial" w:cs="Arial" w:eastAsia="Arial" w:hAnsi="Arial"/>
                <w:sz w:val="13"/>
                <w:szCs w:val="13"/>
                <w:color w:val="auto"/>
              </w:rPr>
              <w:t>Contributions to</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1680" w:type="dxa"/>
            <w:vAlign w:val="bottom"/>
          </w:tcPr>
          <w:p>
            <w:pPr>
              <w:ind w:left="180"/>
              <w:spacing w:after="0"/>
              <w:rPr>
                <w:sz w:val="20"/>
                <w:szCs w:val="20"/>
                <w:color w:val="auto"/>
              </w:rPr>
            </w:pPr>
            <w:r>
              <w:rPr>
                <w:rFonts w:ascii="Arial" w:cs="Arial" w:eastAsia="Arial" w:hAnsi="Arial"/>
                <w:sz w:val="13"/>
                <w:szCs w:val="13"/>
                <w:color w:val="auto"/>
              </w:rPr>
              <w:t>noncontrolling interests</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7"/>
              <w:spacing w:after="0"/>
              <w:rPr>
                <w:sz w:val="20"/>
                <w:szCs w:val="20"/>
                <w:color w:val="auto"/>
              </w:rPr>
            </w:pPr>
            <w:r>
              <w:rPr>
                <w:rFonts w:ascii="Arial" w:cs="Arial" w:eastAsia="Arial" w:hAnsi="Arial"/>
                <w:sz w:val="13"/>
                <w:szCs w:val="13"/>
                <w:color w:val="auto"/>
              </w:rPr>
              <w:t>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1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Contribution by minority</w:t>
            </w: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owner to acquire minority</w:t>
            </w: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interest in Black Knight</w:t>
            </w: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6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91"/>
              </w:rPr>
              <w:t>Financial Services, LLC and</w:t>
            </w:r>
          </w:p>
        </w:tc>
        <w:tc>
          <w:tcPr>
            <w:tcW w:w="5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168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7"/>
              </w:rPr>
              <w:t>ServiceLink Holdings, LLC</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687</w:t>
            </w:r>
          </w:p>
        </w:tc>
        <w:tc>
          <w:tcPr>
            <w:tcW w:w="0" w:type="dxa"/>
            <w:vAlign w:val="bottom"/>
          </w:tcPr>
          <w:p>
            <w:pPr>
              <w:spacing w:after="0"/>
              <w:rPr>
                <w:sz w:val="1"/>
                <w:szCs w:val="1"/>
                <w:color w:val="auto"/>
              </w:rPr>
            </w:pPr>
          </w:p>
        </w:tc>
      </w:tr>
      <w:tr>
        <w:trPr>
          <w:trHeight w:val="262"/>
        </w:trPr>
        <w:tc>
          <w:tcPr>
            <w:tcW w:w="1680" w:type="dxa"/>
            <w:vAlign w:val="bottom"/>
          </w:tcPr>
          <w:p>
            <w:pPr>
              <w:ind w:left="180"/>
              <w:spacing w:after="0"/>
              <w:rPr>
                <w:sz w:val="20"/>
                <w:szCs w:val="20"/>
                <w:color w:val="auto"/>
              </w:rPr>
            </w:pPr>
            <w:r>
              <w:rPr>
                <w:rFonts w:ascii="Arial" w:cs="Arial" w:eastAsia="Arial" w:hAnsi="Arial"/>
                <w:sz w:val="13"/>
                <w:szCs w:val="13"/>
                <w:color w:val="auto"/>
                <w:w w:val="86"/>
              </w:rPr>
              <w:t>Retirement of treasury shares</w:t>
            </w:r>
          </w:p>
        </w:tc>
        <w:tc>
          <w:tcPr>
            <w:tcW w:w="540" w:type="dxa"/>
            <w:vAlign w:val="bottom"/>
          </w:tcPr>
          <w:p>
            <w:pPr>
              <w:jc w:val="right"/>
              <w:spacing w:after="0"/>
              <w:rPr>
                <w:sz w:val="20"/>
                <w:szCs w:val="20"/>
                <w:color w:val="auto"/>
              </w:rPr>
            </w:pPr>
            <w:r>
              <w:rPr>
                <w:rFonts w:ascii="Arial" w:cs="Arial" w:eastAsia="Arial" w:hAnsi="Arial"/>
                <w:sz w:val="13"/>
                <w:szCs w:val="13"/>
                <w:color w:val="auto"/>
              </w:rPr>
              <w:t>(42)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(707)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jc w:val="right"/>
              <w:ind w:right="57"/>
              <w:spacing w:after="0"/>
              <w:rPr>
                <w:sz w:val="20"/>
                <w:szCs w:val="20"/>
                <w:color w:val="auto"/>
              </w:rPr>
            </w:pPr>
            <w:r>
              <w:rPr>
                <w:rFonts w:ascii="Arial" w:cs="Arial" w:eastAsia="Arial" w:hAnsi="Arial"/>
                <w:sz w:val="13"/>
                <w:szCs w:val="13"/>
                <w:color w:val="auto"/>
              </w:rPr>
              <w:t>707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1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Distribution of Remy to</w:t>
            </w: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68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5"/>
              </w:rPr>
              <w:t>FNFV Group Shareholders</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(319)</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2"/>
        </w:trPr>
        <w:tc>
          <w:tcPr>
            <w:tcW w:w="1680" w:type="dxa"/>
            <w:vAlign w:val="bottom"/>
          </w:tcPr>
          <w:p>
            <w:pPr>
              <w:ind w:left="180"/>
              <w:spacing w:after="0"/>
              <w:rPr>
                <w:sz w:val="20"/>
                <w:szCs w:val="20"/>
                <w:color w:val="auto"/>
              </w:rPr>
            </w:pPr>
            <w:r>
              <w:rPr>
                <w:rFonts w:ascii="Arial" w:cs="Arial" w:eastAsia="Arial" w:hAnsi="Arial"/>
                <w:sz w:val="13"/>
                <w:szCs w:val="13"/>
                <w:color w:val="auto"/>
              </w:rPr>
              <w:t>Dividends declared</w:t>
            </w:r>
          </w:p>
        </w:tc>
        <w:tc>
          <w:tcPr>
            <w:tcW w:w="6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ind w:right="17"/>
              <w:spacing w:after="0"/>
              <w:rPr>
                <w:sz w:val="20"/>
                <w:szCs w:val="20"/>
                <w:color w:val="auto"/>
              </w:rPr>
            </w:pPr>
            <w:r>
              <w:rPr>
                <w:rFonts w:ascii="Arial" w:cs="Arial" w:eastAsia="Arial" w:hAnsi="Arial"/>
                <w:sz w:val="13"/>
                <w:szCs w:val="13"/>
                <w:color w:val="auto"/>
              </w:rPr>
              <w:t>(203)</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(203)</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168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1"/>
              </w:rPr>
              <w:t>Subsidiary dividends paid to</w:t>
            </w: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6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noncontrolling interests</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4"/>
        </w:trPr>
        <w:tc>
          <w:tcPr>
            <w:tcW w:w="168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Net earnings</w:t>
            </w: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583</w:t>
            </w: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(64)</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519</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42"/>
        </w:trPr>
        <w:tc>
          <w:tcPr>
            <w:tcW w:w="1680" w:type="dxa"/>
            <w:vAlign w:val="bottom"/>
            <w:shd w:val="clear" w:color="auto" w:fill="CCEEFF"/>
          </w:tcPr>
          <w:p>
            <w:pPr>
              <w:ind w:left="40"/>
              <w:spacing w:after="0"/>
              <w:rPr>
                <w:sz w:val="20"/>
                <w:szCs w:val="20"/>
                <w:color w:val="auto"/>
              </w:rPr>
            </w:pPr>
            <w:r>
              <w:rPr>
                <w:rFonts w:ascii="Arial" w:cs="Arial" w:eastAsia="Arial" w:hAnsi="Arial"/>
                <w:sz w:val="13"/>
                <w:szCs w:val="13"/>
                <w:color w:val="auto"/>
                <w:w w:val="96"/>
              </w:rPr>
              <w:t>Balance, December 31, 2014</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2"/>
              </w:rPr>
              <w:t>$ —</w:t>
            </w:r>
          </w:p>
        </w:tc>
        <w:tc>
          <w:tcPr>
            <w:tcW w:w="54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279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2"/>
              </w:rPr>
              <w:t>$ —</w:t>
            </w:r>
          </w:p>
        </w:tc>
        <w:tc>
          <w:tcPr>
            <w:tcW w:w="660" w:type="dxa"/>
            <w:vAlign w:val="bottom"/>
            <w:gridSpan w:val="2"/>
            <w:shd w:val="clear" w:color="auto" w:fill="CCEEFF"/>
          </w:tcPr>
          <w:p>
            <w:pPr>
              <w:jc w:val="right"/>
              <w:ind w:right="57"/>
              <w:spacing w:after="0"/>
              <w:rPr>
                <w:sz w:val="20"/>
                <w:szCs w:val="20"/>
                <w:color w:val="auto"/>
              </w:rPr>
            </w:pPr>
            <w:r>
              <w:rPr>
                <w:rFonts w:ascii="Arial" w:cs="Arial" w:eastAsia="Arial" w:hAnsi="Arial"/>
                <w:sz w:val="13"/>
                <w:szCs w:val="13"/>
                <w:color w:val="auto"/>
              </w:rPr>
              <w:t>93</w:t>
            </w:r>
          </w:p>
        </w:tc>
        <w:tc>
          <w:tcPr>
            <w:tcW w:w="10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2"/>
              </w:rPr>
              <w:t>$ —</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4,855</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1,150</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ind w:left="40"/>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6,073</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ind w:left="40"/>
              <w:spacing w:after="0"/>
              <w:rPr>
                <w:sz w:val="20"/>
                <w:szCs w:val="20"/>
                <w:color w:val="auto"/>
              </w:rPr>
            </w:pPr>
            <w:r>
              <w:rPr>
                <w:rFonts w:ascii="Arial" w:cs="Arial" w:eastAsia="Arial" w:hAnsi="Arial"/>
                <w:sz w:val="9"/>
                <w:szCs w:val="9"/>
                <w:color w:val="auto"/>
                <w:w w:val="78"/>
              </w:rPr>
              <w:t>$</w:t>
            </w:r>
          </w:p>
        </w:tc>
        <w:tc>
          <w:tcPr>
            <w:tcW w:w="76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715</w:t>
            </w: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5" w:right="239" w:bottom="1440" w:gutter="0" w:footer="0" w:header="0"/>
        </w:sectPr>
      </w:pPr>
    </w:p>
    <w:bookmarkStart w:id="70" w:name="page71"/>
    <w:bookmarkEnd w:id="70"/>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jc w:val="center"/>
              <w:ind w:left="548"/>
              <w:spacing w:after="0"/>
              <w:rPr>
                <w:sz w:val="20"/>
                <w:szCs w:val="20"/>
                <w:color w:val="auto"/>
              </w:rPr>
            </w:pPr>
            <w:r>
              <w:rPr>
                <w:rFonts w:ascii="Arial" w:cs="Arial" w:eastAsia="Arial" w:hAnsi="Arial"/>
                <w:sz w:val="14"/>
                <w:szCs w:val="14"/>
                <w:b w:val="1"/>
                <w:bCs w:val="1"/>
                <w:color w:val="auto"/>
                <w:w w:val="91"/>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2012</w:t>
            </w:r>
          </w:p>
        </w:tc>
      </w:tr>
      <w:tr>
        <w:trPr>
          <w:trHeight w:val="196"/>
        </w:trPr>
        <w:tc>
          <w:tcPr>
            <w:tcW w:w="7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7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Net earnings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519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411</w:t>
            </w:r>
          </w:p>
        </w:tc>
        <w:tc>
          <w:tcPr>
            <w:tcW w:w="10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612</w:t>
            </w: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 to reconcile net earnings to net cash provided by operating activities: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64"/>
        </w:trPr>
        <w:tc>
          <w:tcPr>
            <w:tcW w:w="7780" w:type="dxa"/>
            <w:vAlign w:val="bottom"/>
          </w:tcPr>
          <w:p>
            <w:pPr>
              <w:ind w:left="380"/>
              <w:spacing w:after="0"/>
              <w:rPr>
                <w:sz w:val="20"/>
                <w:szCs w:val="20"/>
                <w:color w:val="auto"/>
              </w:rPr>
            </w:pPr>
            <w:r>
              <w:rPr>
                <w:rFonts w:ascii="Arial" w:cs="Arial" w:eastAsia="Arial" w:hAnsi="Arial"/>
                <w:sz w:val="14"/>
                <w:szCs w:val="14"/>
                <w:color w:val="auto"/>
              </w:rPr>
              <w:t>Depreciation and amortization</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476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132</w:t>
            </w:r>
          </w:p>
        </w:tc>
      </w:tr>
      <w:tr>
        <w:trPr>
          <w:trHeight w:val="276"/>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Equity in losses (earnings) of unconsolidated affiliates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264"/>
        </w:trPr>
        <w:tc>
          <w:tcPr>
            <w:tcW w:w="7780" w:type="dxa"/>
            <w:vAlign w:val="bottom"/>
          </w:tcPr>
          <w:p>
            <w:pPr>
              <w:ind w:left="380"/>
              <w:spacing w:after="0"/>
              <w:rPr>
                <w:sz w:val="20"/>
                <w:szCs w:val="20"/>
                <w:color w:val="auto"/>
              </w:rPr>
            </w:pPr>
            <w:r>
              <w:rPr>
                <w:rFonts w:ascii="Arial" w:cs="Arial" w:eastAsia="Arial" w:hAnsi="Arial"/>
                <w:sz w:val="14"/>
                <w:szCs w:val="14"/>
                <w:color w:val="auto"/>
              </w:rPr>
              <w:t>Net loss (gain) on sales of investments and other assets, net</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w:t>
            </w:r>
          </w:p>
        </w:tc>
      </w:tr>
      <w:tr>
        <w:trPr>
          <w:trHeight w:val="276"/>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Gain on consolidation of O'Charley's, Inc. and American Blue Ribbon Holdings, LLC</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r>
      <w:tr>
        <w:trPr>
          <w:trHeight w:val="264"/>
        </w:trPr>
        <w:tc>
          <w:tcPr>
            <w:tcW w:w="7780" w:type="dxa"/>
            <w:vAlign w:val="bottom"/>
          </w:tcPr>
          <w:p>
            <w:pPr>
              <w:ind w:left="380"/>
              <w:spacing w:after="0"/>
              <w:rPr>
                <w:sz w:val="20"/>
                <w:szCs w:val="20"/>
                <w:color w:val="auto"/>
              </w:rPr>
            </w:pPr>
            <w:r>
              <w:rPr>
                <w:rFonts w:ascii="Arial" w:cs="Arial" w:eastAsia="Arial" w:hAnsi="Arial"/>
                <w:sz w:val="14"/>
                <w:szCs w:val="14"/>
                <w:color w:val="auto"/>
              </w:rPr>
              <w:t>Bargain purchase gain on O'Charley's, Inc.</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(48)</w:t>
            </w:r>
          </w:p>
        </w:tc>
      </w:tr>
      <w:tr>
        <w:trPr>
          <w:trHeight w:val="276"/>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Gain on consolidation of Remy International, Inc.</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r>
      <w:tr>
        <w:trPr>
          <w:trHeight w:val="264"/>
        </w:trPr>
        <w:tc>
          <w:tcPr>
            <w:tcW w:w="7780" w:type="dxa"/>
            <w:vAlign w:val="bottom"/>
          </w:tcPr>
          <w:p>
            <w:pPr>
              <w:ind w:left="380"/>
              <w:spacing w:after="0"/>
              <w:rPr>
                <w:sz w:val="20"/>
                <w:szCs w:val="20"/>
                <w:color w:val="auto"/>
              </w:rPr>
            </w:pPr>
            <w:r>
              <w:rPr>
                <w:rFonts w:ascii="Arial" w:cs="Arial" w:eastAsia="Arial" w:hAnsi="Arial"/>
                <w:sz w:val="14"/>
                <w:szCs w:val="14"/>
                <w:color w:val="auto"/>
              </w:rPr>
              <w:t>Stock-based compensation cost</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27</w:t>
            </w:r>
          </w:p>
        </w:tc>
      </w:tr>
      <w:tr>
        <w:trPr>
          <w:trHeight w:val="276"/>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Tax benefit associated with the exercise of stock-based compensation</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Changes in assets and liabilities, net of effects from acquisitions: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6"/>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decrease in pledged cash, pledged investments and secured trust deposits</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780" w:type="dxa"/>
            <w:vAlign w:val="bottom"/>
          </w:tcPr>
          <w:p>
            <w:pPr>
              <w:ind w:left="380"/>
              <w:spacing w:after="0"/>
              <w:rPr>
                <w:sz w:val="20"/>
                <w:szCs w:val="20"/>
                <w:color w:val="auto"/>
              </w:rPr>
            </w:pPr>
            <w:r>
              <w:rPr>
                <w:rFonts w:ascii="Arial" w:cs="Arial" w:eastAsia="Arial" w:hAnsi="Arial"/>
                <w:sz w:val="14"/>
                <w:szCs w:val="14"/>
                <w:color w:val="auto"/>
              </w:rPr>
              <w:t>Net increase in trade receivables</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76"/>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(increase) decrease in prepaid expenses and other assets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w:t>
            </w:r>
          </w:p>
        </w:tc>
      </w:tr>
      <w:tr>
        <w:trPr>
          <w:trHeight w:val="264"/>
        </w:trPr>
        <w:tc>
          <w:tcPr>
            <w:tcW w:w="7780" w:type="dxa"/>
            <w:vAlign w:val="bottom"/>
          </w:tcPr>
          <w:p>
            <w:pPr>
              <w:ind w:left="380"/>
              <w:spacing w:after="0"/>
              <w:rPr>
                <w:sz w:val="20"/>
                <w:szCs w:val="20"/>
                <w:color w:val="auto"/>
              </w:rPr>
            </w:pPr>
            <w:r>
              <w:rPr>
                <w:rFonts w:ascii="Arial" w:cs="Arial" w:eastAsia="Arial" w:hAnsi="Arial"/>
                <w:sz w:val="14"/>
                <w:szCs w:val="14"/>
                <w:color w:val="auto"/>
              </w:rPr>
              <w:t>Net (decrease) increase in accounts payable, accrued liabilities, deferred revenue and other</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63</w:t>
            </w:r>
          </w:p>
        </w:tc>
      </w:tr>
      <w:tr>
        <w:trPr>
          <w:trHeight w:val="276"/>
        </w:trPr>
        <w:tc>
          <w:tcPr>
            <w:tcW w:w="77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decrease in reserve for title claim losses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r>
      <w:tr>
        <w:trPr>
          <w:trHeight w:val="264"/>
        </w:trPr>
        <w:tc>
          <w:tcPr>
            <w:tcW w:w="778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change in income taxes</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146</w:t>
            </w:r>
          </w:p>
        </w:tc>
      </w:tr>
      <w:tr>
        <w:trPr>
          <w:trHeight w:val="25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2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567</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484</w:t>
            </w:r>
          </w:p>
        </w:tc>
        <w:tc>
          <w:tcPr>
            <w:tcW w:w="10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620</w:t>
            </w:r>
          </w:p>
        </w:tc>
      </w:tr>
      <w:tr>
        <w:trPr>
          <w:trHeight w:val="244"/>
        </w:trPr>
        <w:tc>
          <w:tcPr>
            <w:tcW w:w="7780" w:type="dxa"/>
            <w:vAlign w:val="bottom"/>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sales of investment securities available for sale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594</w:t>
            </w: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Proceeds from calls and maturities of investment securities available for sale</w:t>
            </w:r>
          </w:p>
        </w:tc>
        <w:tc>
          <w:tcPr>
            <w:tcW w:w="260" w:type="dxa"/>
            <w:vAlign w:val="bottom"/>
          </w:tcPr>
          <w:p>
            <w:pPr>
              <w:spacing w:after="0"/>
              <w:rPr>
                <w:sz w:val="22"/>
                <w:szCs w:val="22"/>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458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306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419</w:t>
            </w: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sales of other assets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Additions to property and equipment and capitalized software</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(210)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(79)</w:t>
            </w: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investment securities available for sale</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(1,146)</w:t>
            </w: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Purchases of other long-term investments</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(purchases of) proceeds from short-term investment activities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Net contributions to investments in unconsolidated affiliates</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from unconsolidated affiliates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Net other investing activities</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w:t>
            </w: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the sale of flood insurance business</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w:t>
            </w: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Acquisition of Lender Processing Services, Inc., net of cash acquired</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(2,253)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 of USA Industries, Inc., net of cash acquired</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Acquisition of O'Charley's, Inc. and American Blue Ribbon Holdings, LLC, net of cash acquired</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(122)</w:t>
            </w: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Acquisition of J. Alexander's Corporation, net of cash acquired</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Acquisition of Remy International, Inc., net of cash acquired</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64</w:t>
            </w: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sale of at-risk insurance business</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w:t>
            </w:r>
          </w:p>
        </w:tc>
      </w:tr>
      <w:tr>
        <w:trPr>
          <w:trHeight w:val="264"/>
        </w:trPr>
        <w:tc>
          <w:tcPr>
            <w:tcW w:w="7780" w:type="dxa"/>
            <w:vAlign w:val="bottom"/>
          </w:tcPr>
          <w:p>
            <w:pPr>
              <w:ind w:left="140"/>
              <w:spacing w:after="0"/>
              <w:rPr>
                <w:sz w:val="20"/>
                <w:szCs w:val="20"/>
                <w:color w:val="auto"/>
              </w:rPr>
            </w:pPr>
            <w:r>
              <w:rPr>
                <w:rFonts w:ascii="Arial" w:cs="Arial" w:eastAsia="Arial" w:hAnsi="Arial"/>
                <w:sz w:val="14"/>
                <w:szCs w:val="14"/>
                <w:color w:val="auto"/>
              </w:rPr>
              <w:t>Acquisition of Digital Insurance, Inc. net of cash acquired</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(98)</w:t>
            </w:r>
          </w:p>
        </w:tc>
      </w:tr>
      <w:tr>
        <w:trPr>
          <w:trHeight w:val="270"/>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acquisitions/disposals of businesses, net of cash acquired</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r>
      <w:tr>
        <w:trPr>
          <w:trHeight w:val="250"/>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used in investing activities</w:t>
            </w: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(2,720)</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w:t>
            </w:r>
          </w:p>
        </w:tc>
      </w:tr>
      <w:tr>
        <w:trPr>
          <w:trHeight w:val="25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Equity offering</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511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Borrowings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1,764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679</w:t>
            </w: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Debt service payments</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(1,073)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(359)</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(557)</w:t>
            </w: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Additional investment in non-controlling interest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Proceeds from sale of 4% ownership interest of Digital Insurance</w:t>
            </w:r>
          </w:p>
        </w:tc>
        <w:tc>
          <w:tcPr>
            <w:tcW w:w="260" w:type="dxa"/>
            <w:vAlign w:val="bottom"/>
          </w:tcPr>
          <w:p>
            <w:pPr>
              <w:spacing w:after="0"/>
              <w:rPr>
                <w:sz w:val="22"/>
                <w:szCs w:val="2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Make-whole call penalty on early extinguishment of debt</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Debt &amp; equity issuance costs</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sale of 35% of Black Knight Financial Services, LLC and ServiceLink, LLC to minority interest holder</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Cash transferred in Remy spin-off</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paid</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r>
      <w:tr>
        <w:trPr>
          <w:trHeight w:val="264"/>
        </w:trPr>
        <w:tc>
          <w:tcPr>
            <w:tcW w:w="7780" w:type="dxa"/>
            <w:vAlign w:val="bottom"/>
          </w:tcPr>
          <w:p>
            <w:pPr>
              <w:ind w:left="180"/>
              <w:spacing w:after="0"/>
              <w:rPr>
                <w:sz w:val="20"/>
                <w:szCs w:val="20"/>
                <w:color w:val="auto"/>
              </w:rPr>
            </w:pPr>
            <w:r>
              <w:rPr>
                <w:rFonts w:ascii="Arial" w:cs="Arial" w:eastAsia="Arial" w:hAnsi="Arial"/>
                <w:sz w:val="14"/>
                <w:szCs w:val="14"/>
                <w:color w:val="auto"/>
              </w:rPr>
              <w:t>Subsidiary dividends paid to noncontrolling interest shareholders</w:t>
            </w:r>
          </w:p>
        </w:tc>
        <w:tc>
          <w:tcPr>
            <w:tcW w:w="260" w:type="dxa"/>
            <w:vAlign w:val="bottom"/>
          </w:tcPr>
          <w:p>
            <w:pPr>
              <w:spacing w:after="0"/>
              <w:rPr>
                <w:sz w:val="22"/>
                <w:szCs w:val="22"/>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276"/>
        </w:trPr>
        <w:tc>
          <w:tcPr>
            <w:tcW w:w="7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 of stock options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w:t>
            </w:r>
          </w:p>
        </w:tc>
      </w:tr>
      <w:tr>
        <w:trPr>
          <w:trHeight w:val="280"/>
        </w:trPr>
        <w:tc>
          <w:tcPr>
            <w:tcW w:w="778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Tax benefit associated with the exercise of stock-based compensation</w:t>
            </w:r>
          </w:p>
        </w:tc>
        <w:tc>
          <w:tcPr>
            <w:tcW w:w="26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jc w:val="right"/>
              <w:ind w:right="28"/>
              <w:spacing w:after="0"/>
              <w:rPr>
                <w:sz w:val="20"/>
                <w:szCs w:val="20"/>
                <w:color w:val="auto"/>
              </w:rPr>
            </w:pPr>
            <w:r>
              <w:rPr>
                <w:rFonts w:ascii="Arial" w:cs="Arial" w:eastAsia="Arial" w:hAnsi="Arial"/>
                <w:sz w:val="14"/>
                <w:szCs w:val="14"/>
                <w:color w:val="auto"/>
              </w:rPr>
              <w:t>31</w:t>
            </w:r>
          </w:p>
        </w:tc>
      </w:tr>
    </w:tbl>
    <w:p>
      <w:pPr>
        <w:sectPr>
          <w:pgSz w:w="11900" w:h="16900" w:orient="portrait"/>
          <w:cols w:equalWidth="0" w:num="1">
            <w:col w:w="11420"/>
          </w:cols>
          <w:pgMar w:left="240" w:top="125" w:right="239" w:bottom="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Purchases of treasury stock</w:t>
            </w:r>
          </w:p>
        </w:tc>
        <w:tc>
          <w:tcPr>
            <w:tcW w:w="3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w:t>
            </w:r>
          </w:p>
        </w:tc>
      </w:tr>
      <w:tr>
        <w:trPr>
          <w:trHeight w:val="24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financing activities</w:t>
            </w:r>
          </w:p>
        </w:tc>
        <w:tc>
          <w:tcPr>
            <w:tcW w:w="38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1,087</w:t>
            </w:r>
          </w:p>
        </w:tc>
        <w:tc>
          <w:tcPr>
            <w:tcW w:w="120" w:type="dxa"/>
            <w:vAlign w:val="bottom"/>
            <w:tcBorders>
              <w:bottom w:val="single" w:sz="8" w:color="CCEEFF"/>
            </w:tcBorders>
          </w:tcPr>
          <w:p>
            <w:pPr>
              <w:spacing w:after="0"/>
              <w:rPr>
                <w:sz w:val="21"/>
                <w:szCs w:val="21"/>
                <w:color w:val="auto"/>
              </w:rPr>
            </w:pPr>
          </w:p>
        </w:tc>
        <w:tc>
          <w:tcPr>
            <w:tcW w:w="40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340</w:t>
            </w:r>
          </w:p>
        </w:tc>
        <w:tc>
          <w:tcPr>
            <w:tcW w:w="10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52</w:t>
            </w:r>
          </w:p>
        </w:tc>
      </w:tr>
      <w:tr>
        <w:trPr>
          <w:trHeight w:val="256"/>
        </w:trPr>
        <w:tc>
          <w:tcPr>
            <w:tcW w:w="7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(decrease) increase in cash and cash equivalents, excluding pledged cash related to secured trust deposits</w:t>
            </w:r>
          </w:p>
        </w:tc>
        <w:tc>
          <w:tcPr>
            <w:tcW w:w="38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(1,066)</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764</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362</w:t>
            </w: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excluding pledged cash related to secured trust deposits, at beginning of year</w:t>
            </w:r>
          </w:p>
        </w:tc>
        <w:tc>
          <w:tcPr>
            <w:tcW w:w="3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1,630</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866</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504</w:t>
            </w:r>
          </w:p>
        </w:tc>
      </w:tr>
      <w:tr>
        <w:trPr>
          <w:trHeight w:val="243"/>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excluding pledged cash related to secured trust deposits, at end of year</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1,630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866</w:t>
            </w:r>
          </w:p>
        </w:tc>
      </w:tr>
      <w:tr>
        <w:trPr>
          <w:trHeight w:val="20"/>
        </w:trPr>
        <w:tc>
          <w:tcPr>
            <w:tcW w:w="7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140"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A.</w:t>
      </w:r>
      <w:r>
        <w:rPr>
          <w:sz w:val="20"/>
          <w:szCs w:val="20"/>
          <w:color w:val="auto"/>
        </w:rPr>
        <w:tab/>
      </w:r>
      <w:r>
        <w:rPr>
          <w:rFonts w:ascii="Arial" w:cs="Arial" w:eastAsia="Arial" w:hAnsi="Arial"/>
          <w:sz w:val="16"/>
          <w:szCs w:val="16"/>
          <w:b w:val="1"/>
          <w:bCs w:val="1"/>
          <w:color w:val="auto"/>
        </w:rPr>
        <w:t>Summary of Significant Accounting Policies</w:t>
      </w:r>
    </w:p>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describes the significant accounting policies of Fidelity National Financial, Inc. and its subsidiaries (collectively, “we,” “us,” “our,” or “FNF”) which have been followed in preparing the accompanying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have organized our business into two groups, FNF Core Operations and FNF Ventures, known as "FNFV." Through our Core operations, FNF is a leading provider of title insurance, technology and transaction services to the real estate and mortgage industries. FNF is the nation’s largest title insurance company through its title insurance underwriters - Fidelity National Title, Chicago Title, Commonwealth Land Title, Alamo Title and National Title of New York Inc. - that collectively issue more title insurance policies than any other title company in the United States. FNF also provides industry-leading mortgage technology solutions and transaction services, including MSP®, the leading residential mortgage servicing technology platform in the U.S., through its majority-owned subsidiaries, Black Knight Financial Services, LLC ("BKFS") and ServiceLink Holdings, LLC ("ServiceLink"). In addition, in our FNFV group, we own majority and minority equity investment stakes in a number of entities, including American Blue Ribbon Holdings, LLC ("ABRH"), J. Alexander’s, LLC ("J. Alexander's"), Ceridian HCM, Inc. and Fleetcor Technologies Inc. (collectively "Ceridian") and Digital Insurance, Inc. ("Digital Insurance").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2014, we had the following reporting segments: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FNF Core Operations</w:t>
      </w:r>
    </w:p>
    <w:p>
      <w:pPr>
        <w:spacing w:after="0" w:line="171" w:lineRule="exact"/>
        <w:rPr>
          <w:sz w:val="20"/>
          <w:szCs w:val="20"/>
          <w:color w:val="auto"/>
        </w:rPr>
      </w:pPr>
    </w:p>
    <w:p>
      <w:pPr>
        <w:jc w:val="both"/>
        <w:ind w:left="660" w:hanging="409"/>
        <w:spacing w:after="0" w:line="25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Title. </w:t>
      </w:r>
      <w:r>
        <w:rPr>
          <w:rFonts w:ascii="Arial" w:cs="Arial" w:eastAsia="Arial" w:hAnsi="Arial"/>
          <w:sz w:val="18"/>
          <w:szCs w:val="18"/>
          <w:color w:val="auto"/>
        </w:rPr>
        <w:t>This segment consists of the operations of our title insurance underwriters and related businesses. This segment provides core title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escrow and other title related services including collection and trust activities, trustee sales guarantees, recordings and reconveyances, and home warranty insurance. This segment also includes the transaction services business acquired from Lender Processing Services ("LPS"), now combined with our ServiceLink business. Transaction services include other title related services used in production and management of mortgage loans, including mortgage loans that go into default.</w:t>
      </w:r>
    </w:p>
    <w:p>
      <w:pPr>
        <w:spacing w:after="0" w:line="134" w:lineRule="exact"/>
        <w:rPr>
          <w:rFonts w:ascii="Arial" w:cs="Arial" w:eastAsia="Arial" w:hAnsi="Arial"/>
          <w:sz w:val="18"/>
          <w:szCs w:val="18"/>
          <w:color w:val="auto"/>
        </w:rPr>
      </w:pPr>
    </w:p>
    <w:p>
      <w:pPr>
        <w:ind w:left="660" w:hanging="409"/>
        <w:spacing w:after="0" w:line="342" w:lineRule="auto"/>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BKFS. </w:t>
      </w:r>
      <w:r>
        <w:rPr>
          <w:rFonts w:ascii="Arial" w:cs="Arial" w:eastAsia="Arial" w:hAnsi="Arial"/>
          <w:sz w:val="16"/>
          <w:szCs w:val="16"/>
          <w:color w:val="auto"/>
        </w:rPr>
        <w:t>This segment consists of the operations of BKFS. This segment provides core technology and data and analytics services through leading</w:t>
      </w:r>
      <w:r>
        <w:rPr>
          <w:rFonts w:ascii="Arial" w:cs="Arial" w:eastAsia="Arial" w:hAnsi="Arial"/>
          <w:sz w:val="16"/>
          <w:szCs w:val="16"/>
          <w:i w:val="1"/>
          <w:iCs w:val="1"/>
          <w:color w:val="auto"/>
        </w:rPr>
        <w:t xml:space="preserve"> </w:t>
      </w:r>
      <w:r>
        <w:rPr>
          <w:rFonts w:ascii="Arial" w:cs="Arial" w:eastAsia="Arial" w:hAnsi="Arial"/>
          <w:sz w:val="16"/>
          <w:szCs w:val="16"/>
          <w:color w:val="auto"/>
        </w:rPr>
        <w:t>software systems and information solutions that facilitate and automate many of the business processes across the life cycle of a mortgage.</w:t>
      </w:r>
    </w:p>
    <w:p>
      <w:pPr>
        <w:spacing w:after="0" w:line="69" w:lineRule="exact"/>
        <w:rPr>
          <w:rFonts w:ascii="Arial" w:cs="Arial" w:eastAsia="Arial" w:hAnsi="Arial"/>
          <w:sz w:val="16"/>
          <w:szCs w:val="16"/>
          <w:color w:val="auto"/>
        </w:rPr>
      </w:pPr>
    </w:p>
    <w:p>
      <w:pPr>
        <w:ind w:left="660" w:hanging="409"/>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FNF Core Corporate and Other. </w:t>
      </w:r>
      <w:r>
        <w:rPr>
          <w:rFonts w:ascii="Arial" w:cs="Arial" w:eastAsia="Arial" w:hAnsi="Arial"/>
          <w:sz w:val="18"/>
          <w:szCs w:val="18"/>
          <w:color w:val="auto"/>
        </w:rPr>
        <w:t>This segment consists of the operations of the parent holding company, certain other unallocated corporate overhead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and other smaller real estate and insurance related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FNFV</w:t>
      </w:r>
    </w:p>
    <w:p>
      <w:pPr>
        <w:spacing w:after="0" w:line="171" w:lineRule="exact"/>
        <w:rPr>
          <w:sz w:val="20"/>
          <w:szCs w:val="20"/>
          <w:color w:val="auto"/>
        </w:rPr>
      </w:pPr>
    </w:p>
    <w:p>
      <w:pPr>
        <w:jc w:val="both"/>
        <w:ind w:left="660" w:hanging="409"/>
        <w:spacing w:after="0" w:line="264" w:lineRule="auto"/>
        <w:tabs>
          <w:tab w:leader="none" w:pos="660"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Restaurant Group. </w:t>
      </w:r>
      <w:r>
        <w:rPr>
          <w:rFonts w:ascii="Arial" w:cs="Arial" w:eastAsia="Arial" w:hAnsi="Arial"/>
          <w:sz w:val="18"/>
          <w:szCs w:val="18"/>
          <w:color w:val="auto"/>
        </w:rPr>
        <w:t>This segment consists of the operations of ABRH, in which we have a 55% ownership interest. ABRH is the owner and operator</w:t>
      </w:r>
      <w:r>
        <w:rPr>
          <w:rFonts w:ascii="Arial" w:cs="Arial" w:eastAsia="Arial" w:hAnsi="Arial"/>
          <w:sz w:val="18"/>
          <w:szCs w:val="18"/>
          <w:i w:val="1"/>
          <w:iCs w:val="1"/>
          <w:color w:val="auto"/>
        </w:rPr>
        <w:t xml:space="preserve"> </w:t>
      </w:r>
      <w:r>
        <w:rPr>
          <w:rFonts w:ascii="Arial" w:cs="Arial" w:eastAsia="Arial" w:hAnsi="Arial"/>
          <w:sz w:val="18"/>
          <w:szCs w:val="18"/>
          <w:color w:val="auto"/>
        </w:rPr>
        <w:t>of the O'Charley's, Ninety Nine Restaurants, Max &amp; Erma's, Village Inn and Bakers Square concepts. This segment also includes J. Alexander's, which includes the Stoney River Steakhouse and Grill concepts.</w:t>
      </w:r>
    </w:p>
    <w:p>
      <w:pPr>
        <w:spacing w:after="0" w:line="127" w:lineRule="exact"/>
        <w:rPr>
          <w:rFonts w:ascii="Arial" w:cs="Arial" w:eastAsia="Arial" w:hAnsi="Arial"/>
          <w:sz w:val="18"/>
          <w:szCs w:val="18"/>
          <w:i w:val="1"/>
          <w:iCs w:val="1"/>
          <w:color w:val="auto"/>
        </w:rPr>
      </w:pPr>
    </w:p>
    <w:p>
      <w:pPr>
        <w:ind w:left="660" w:right="20" w:hanging="409"/>
        <w:spacing w:after="0" w:line="277" w:lineRule="auto"/>
        <w:tabs>
          <w:tab w:leader="none" w:pos="660" w:val="left"/>
        </w:tabs>
        <w:numPr>
          <w:ilvl w:val="0"/>
          <w:numId w:val="4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FNFV Corporate and Other. </w:t>
      </w:r>
      <w:r>
        <w:rPr>
          <w:rFonts w:ascii="Arial" w:cs="Arial" w:eastAsia="Arial" w:hAnsi="Arial"/>
          <w:sz w:val="18"/>
          <w:szCs w:val="18"/>
          <w:color w:val="auto"/>
        </w:rPr>
        <w:t>This segment primarily consists of our share in the operations of certain equity investments, including Ceridian, as well</w:t>
      </w:r>
      <w:r>
        <w:rPr>
          <w:rFonts w:ascii="Arial" w:cs="Arial" w:eastAsia="Arial" w:hAnsi="Arial"/>
          <w:sz w:val="18"/>
          <w:szCs w:val="18"/>
          <w:i w:val="1"/>
          <w:iCs w:val="1"/>
          <w:color w:val="auto"/>
        </w:rPr>
        <w:t xml:space="preserve"> </w:t>
      </w:r>
      <w:r>
        <w:rPr>
          <w:rFonts w:ascii="Arial" w:cs="Arial" w:eastAsia="Arial" w:hAnsi="Arial"/>
          <w:sz w:val="18"/>
          <w:szCs w:val="18"/>
          <w:color w:val="auto"/>
        </w:rPr>
        <w:t>as Digital Insurance in which we own 96% and other smaller operations which are not title related.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 and Basis of Presentation</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accompanying Consolidated Financial Statements are prepared in accordance with generally accepted accounting principles in the United States ("GAAP") and include our accounts as well as our wholly-owned and majority-owned subsidiaries. All intercompany profits, transactions and balances have been eliminated. Our investments in non-majority-owned partnerships and affiliates are accounted for using the equity method until such time that they become wholly or majority-owned. Earnings attributable to noncontrolling interests are recorded on the Consolidated Statements of Earnings relating to majority-owned subsidiaries with the appropriate noncontrolling interest that represents the portion of equity not related to our ownership interest recorded on the Consolidated Balance Sheets in each period.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to the below Recent Developments, we have made several acquisitions which are discussed in more detail on Note B.</w:t>
      </w:r>
    </w:p>
    <w:p>
      <w:pPr>
        <w:spacing w:after="0" w:line="9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On February 23, 2015, we announced a tender offer to purchase up to $185 million of shares of our FNFV Group Common stock at a purchase price of no greater than $15.40 per share, nor less than $14.30 per share in cash. We are conducting this Offer through a procedure commonly called a “modified Dutch auction.” This procedure allows shareholders to select the price within a price range specified by us at which the shareholders are willing to sell their shares. The offer is set to expire at 12:00 Midnight, New York City time, at the end of Friday, March 20, 2015, unless we extend the offer.</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February 19, 2015, we announced our intention to pursue a tax-free spin-off of J. Alexander's to FNFV shareholders.</w:t>
      </w:r>
    </w:p>
    <w:p>
      <w:pPr>
        <w:spacing w:after="0" w:line="11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On January 16, 2015, we closed the sale of Cascade Timberlands, LLC, which grows and sells timber and in which we owned a 70.2% interest, for $85 million less a replanting allowance of $1 million and an indemnity holdback of $1 million. We received cash of $63 million upon the closing.</w:t>
      </w:r>
    </w:p>
    <w:p>
      <w:pPr>
        <w:spacing w:after="0" w:line="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December 31, 2014, we closed the previously announced distribution (the "Spin-off") of all of the outstanding shares of common stock of New Remy Corp. ("New Remy") to FNFV shareholders. As part of the Spin-off, FNFV combined all of the 16,342,508 shares of Remy common stock that FNFV owned and a small company called Fidelity National Technology Imaging, LLC ("Imaging") into New Remy. Immediately following the Spin-off, New Remy and Remy International, Inc. ("Old Remy") engaged in a series of stock-for-stock transactions ending with a new publicly-traded holding company, New Remy Holdco Corp. ("New Remy Holdco"). In the Spin-off, FNFV shareholders ultimately received a total of approximately 16.6 million shares of New Remy Holdco common stock, or approximately 0.17879 shares of New Remy Holdco common stock for each share of FNFV that they owned. This spin-off is expected to be tax free to FNFV shareholders.</w:t>
      </w:r>
    </w:p>
    <w:p>
      <w:pPr>
        <w:spacing w:after="0" w:line="5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December 23, 2014, we filed a registration statement with the Securities and Exchange Commission (“SEC”) relating to a proposed initial public offering of Black Knight Financial Services, Inc. ("BKFSI") common stock. BKFSI is currently presented as the BKFS segment.</w:t>
      </w:r>
    </w:p>
    <w:p>
      <w:pPr>
        <w:sectPr>
          <w:pgSz w:w="11900" w:h="16838" w:orient="portrait"/>
          <w:cols w:equalWidth="0" w:num="1">
            <w:col w:w="11420"/>
          </w:cols>
          <w:pgMar w:left="240" w:top="125" w:right="239" w:bottom="4" w:gutter="0" w:footer="0" w:header="0"/>
        </w:sectPr>
      </w:pPr>
    </w:p>
    <w:bookmarkStart w:id="73" w:name="page74"/>
    <w:bookmarkEnd w:id="73"/>
    <w:p>
      <w:pPr>
        <w:jc w:val="both"/>
        <w:ind w:firstLine="324"/>
        <w:spacing w:after="0" w:line="290" w:lineRule="auto"/>
        <w:rPr>
          <w:sz w:val="20"/>
          <w:szCs w:val="20"/>
          <w:color w:val="auto"/>
        </w:rPr>
      </w:pPr>
      <w:r>
        <w:rPr>
          <w:rFonts w:ascii="Arial" w:cs="Arial" w:eastAsia="Arial" w:hAnsi="Arial"/>
          <w:sz w:val="16"/>
          <w:szCs w:val="16"/>
          <w:color w:val="auto"/>
        </w:rPr>
        <w:t>On November 17, 2014, Ceridian completed the exchange of its subsidiary Comdata Inc. ("Comdata") with FleetCor Technologies Inc. ("FleetCor") in a transaction valued at approximately $3.5 billion. FNFV owns approximately 32% of Ceridian and through this ownership has indirectly received approximately 2.4 million shares of Fleetcor common stock. Based on FleetCor's closing stock price of $147.66 on November 13, 2014, the 2.4 million FleetCor shares are currently valued at approximately $356 million. As previously disclosed, the shares of FleetCor's common stock that FNFV indirectly owns are subject to a six-month lockup from the November 14, 2014 closing date and approximately 25% of these shares have been contributed to an escrow account to meet potential indemnification claims, if any, for up to three years from closing. The stock-for-stock transaction is tax-free for Ceridian LLC and its shareholders. As of December 31, 2014, FNFV indirectly owns approximately 3% of the outstanding shares of FleetCor. We recognized $495 million in equity in earnings of unconsolidated affiliates in the twelve months ending December 31, 2014 as a result of the transaction.</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October 28, 2014, our Board of Directors approved a three-year stock purchase program, effective November 6, 2014, under which we can repurchase up to 10 million shares of our FNFV Group common stock through November 30, 2017. We may make repurchases from time to time in the open market, in block purchases or in privately negotiated transactions, depending on market conditions and other factors.</w:t>
      </w:r>
    </w:p>
    <w:p>
      <w:pPr>
        <w:spacing w:after="0" w:line="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August 25, 2014, we acquired a 70% ownership interest in LandCastle Title ("LandCastle"), in exchange for our agreement to fund any escrow shortfalls in LandCastle's escrow accounts. At the time of the acquisition, LandCastle was a large third-party agent of FNF, operating primarily in the State of Georgia. To date, FNF's total cash contribution to LandCastle is approximately $22 million and based on our current understanding of the business could increase by approximately $0 - $10 million. On January 31, 2015, we acquired an additional 5% ownership interest in LandCastle and we now have a 75% ownership interest in LandCastle.</w:t>
      </w:r>
    </w:p>
    <w:p>
      <w:pPr>
        <w:spacing w:after="0" w:line="8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August 19, 2014, ABRH completed a recapitalization whereby they entered into a new credit agreement for $210 million. As part of the recapitalization, ABRH's parent paid a special dividend to its members, totaling $75 million. Of this special dividend, FNFV received $41 million. ABRH's parent also distributed its 28% ownership interest in J. Alexander's to FNFV, resulting in FNFV now directly owning 87% of J. Alexander's. See Note J for further discussion of the new credit agreement.</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June 30, 2014, we completed the recapitalization of FNF common stock into two tracking stocks, FNF Group common stock and FNFV Group common stock. Each share of the previously outstanding FNF Class A common stock ("Old FNF common stock") was converted into one share of FNF Group common stock, which now trades on the New York Stock Exchange under the current trading symbol "FNF," and 0.3333 of a share of FNFV Group common stock, which now trades on the New York Stock Exchange under the trading symbol "FNFV." Both FNF and FNFV began regular trading on July 1, 2014.</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25" w:right="239" w:bottom="1440" w:gutter="0" w:footer="0" w:header="0"/>
        </w:sectPr>
      </w:pPr>
    </w:p>
    <w:bookmarkStart w:id="74" w:name="page75"/>
    <w:bookmarkEnd w:id="74"/>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Remy</w:t>
      </w:r>
    </w:p>
    <w:p>
      <w:pPr>
        <w:spacing w:after="0" w:line="198"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December 31, 2014, we closed the previously announced distribution (the "Spin-off") of all of the outstanding shares of common stock of New Remy Corp. ("New Remy") to FNFV shareholders. As part of the Spin-off, FNFV combined all of the 16,342,508 shares of Remy common stock that FNFV owned and a small company called Fidelity National Technology Imaging, LLC ("Imaging") into New Remy. Immediately following the Spin-off, New Remy and Remy International, Inc. ("Old Remy") engaged in a series of stock-for-stock transactions ending with a new publicly-traded holding company, New Remy Holdco Corp. ("New Remy Holdco"). In the Spin-off, FNFV shareholders ultimately received a total of approximately 16.6 million shares of New Remy Holdco common stock, or approximately 0.17879 shares of New Remy Holdco common stock for each share of FNFV that they owned. This spin-off is expected to be tax free to FNFV shareholders. Our title segment continues to utilize Imaging's services in its operations. We continue to hold $29 million in Remy bonds, which is included in Fixed maturities available for sale on the Consolidated Balance Sheet. Prior to the Spin-off these investments were eliminated in consolidation.</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a result of the Spin-off discussed above, the results from Remy are reflected in the Consolidated Statements of Earnings as discontinued operations. Total revenues included in discontinued operations were $1,173 million, $1,125 million and $497 million for the years ended December 31, 2014, 2013 and 2012, respectively. Pre-tax earnings included in discontinued operations were $6 million, $22 million, and $89 million for the years ended December 31, 2014, 2013 and 2012, respectively.</w:t>
      </w:r>
    </w:p>
    <w:p>
      <w:pPr>
        <w:spacing w:after="0" w:line="16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the operations of Remy to the Statement of Earnings is shown below:</w:t>
      </w:r>
    </w:p>
    <w:p>
      <w:pPr>
        <w:spacing w:after="0" w:line="200" w:lineRule="exact"/>
        <w:rPr>
          <w:sz w:val="20"/>
          <w:szCs w:val="20"/>
          <w:color w:val="auto"/>
        </w:rPr>
      </w:pPr>
    </w:p>
    <w:p>
      <w:pPr>
        <w:spacing w:after="0" w:line="219"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7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6"/>
          </w:tcPr>
          <w:p>
            <w:pPr>
              <w:jc w:val="center"/>
              <w:ind w:left="492"/>
              <w:spacing w:after="0"/>
              <w:rPr>
                <w:sz w:val="20"/>
                <w:szCs w:val="20"/>
                <w:color w:val="auto"/>
              </w:rPr>
            </w:pPr>
            <w:r>
              <w:rPr>
                <w:rFonts w:ascii="Arial" w:cs="Arial" w:eastAsia="Arial" w:hAnsi="Arial"/>
                <w:sz w:val="14"/>
                <w:szCs w:val="14"/>
                <w:b w:val="1"/>
                <w:bCs w:val="1"/>
                <w:color w:val="auto"/>
                <w:w w:val="93"/>
              </w:rPr>
              <w:t>Year Ended December 31,</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7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(In millions)</w:t>
            </w: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460" w:type="dxa"/>
            <w:vAlign w:val="bottom"/>
          </w:tcPr>
          <w:p>
            <w:pPr>
              <w:ind w:left="140"/>
              <w:spacing w:after="0"/>
              <w:rPr>
                <w:sz w:val="20"/>
                <w:szCs w:val="20"/>
                <w:color w:val="auto"/>
              </w:rPr>
            </w:pPr>
            <w:r>
              <w:rPr>
                <w:rFonts w:ascii="Arial" w:cs="Arial" w:eastAsia="Arial" w:hAnsi="Arial"/>
                <w:sz w:val="18"/>
                <w:szCs w:val="18"/>
                <w:color w:val="auto"/>
              </w:rPr>
              <w:t>Auto parts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1,172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revenues</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7"/>
        </w:trPr>
        <w:tc>
          <w:tcPr>
            <w:tcW w:w="7460" w:type="dxa"/>
            <w:vAlign w:val="bottom"/>
          </w:tcPr>
          <w:p>
            <w:pPr>
              <w:ind w:left="28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1,173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7"/>
        </w:trPr>
        <w:tc>
          <w:tcPr>
            <w:tcW w:w="7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74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Expenses:</w:t>
            </w: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Personnel costs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7460" w:type="dxa"/>
            <w:vAlign w:val="bottom"/>
          </w:tcPr>
          <w:p>
            <w:pPr>
              <w:ind w:left="160"/>
              <w:spacing w:after="0"/>
              <w:rPr>
                <w:sz w:val="20"/>
                <w:szCs w:val="20"/>
                <w:color w:val="auto"/>
              </w:rPr>
            </w:pPr>
            <w:r>
              <w:rPr>
                <w:rFonts w:ascii="Arial" w:cs="Arial" w:eastAsia="Arial" w:hAnsi="Arial"/>
                <w:sz w:val="18"/>
                <w:szCs w:val="18"/>
                <w:color w:val="auto"/>
              </w:rPr>
              <w:t>Other operating expenses</w:t>
            </w:r>
          </w:p>
        </w:tc>
        <w:tc>
          <w:tcPr>
            <w:tcW w:w="2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Cost of auto parts revenues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43"/>
        </w:trPr>
        <w:tc>
          <w:tcPr>
            <w:tcW w:w="7460" w:type="dxa"/>
            <w:vAlign w:val="bottom"/>
          </w:tcPr>
          <w:p>
            <w:pPr>
              <w:ind w:left="160"/>
              <w:spacing w:after="0"/>
              <w:rPr>
                <w:sz w:val="20"/>
                <w:szCs w:val="20"/>
                <w:color w:val="auto"/>
              </w:rPr>
            </w:pPr>
            <w:r>
              <w:rPr>
                <w:rFonts w:ascii="Arial" w:cs="Arial" w:eastAsia="Arial" w:hAnsi="Arial"/>
                <w:sz w:val="18"/>
                <w:szCs w:val="18"/>
                <w:color w:val="auto"/>
              </w:rPr>
              <w:t>Depreciation &amp; amortization</w:t>
            </w:r>
          </w:p>
        </w:tc>
        <w:tc>
          <w:tcPr>
            <w:tcW w:w="2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7460" w:type="dxa"/>
            <w:vAlign w:val="bottom"/>
          </w:tcPr>
          <w:p>
            <w:pPr>
              <w:ind w:left="280"/>
              <w:spacing w:after="0"/>
              <w:rPr>
                <w:sz w:val="20"/>
                <w:szCs w:val="20"/>
                <w:color w:val="auto"/>
              </w:rPr>
            </w:pPr>
            <w:r>
              <w:rPr>
                <w:rFonts w:ascii="Arial" w:cs="Arial" w:eastAsia="Arial" w:hAnsi="Arial"/>
                <w:sz w:val="18"/>
                <w:szCs w:val="18"/>
                <w:color w:val="auto"/>
              </w:rPr>
              <w:t>Total expenses</w:t>
            </w: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1,167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7"/>
        </w:trPr>
        <w:tc>
          <w:tcPr>
            <w:tcW w:w="7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74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Earnings from discontinued operations before income taxes</w:t>
            </w:r>
          </w:p>
        </w:tc>
        <w:tc>
          <w:tcPr>
            <w:tcW w:w="2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(benefit) expense</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7460" w:type="dxa"/>
            <w:vAlign w:val="bottom"/>
          </w:tcPr>
          <w:p>
            <w:pPr>
              <w:ind w:left="20"/>
              <w:spacing w:after="0"/>
              <w:rPr>
                <w:sz w:val="20"/>
                <w:szCs w:val="20"/>
                <w:color w:val="auto"/>
              </w:rPr>
            </w:pPr>
            <w:r>
              <w:rPr>
                <w:rFonts w:ascii="Arial" w:cs="Arial" w:eastAsia="Arial" w:hAnsi="Arial"/>
                <w:sz w:val="18"/>
                <w:szCs w:val="18"/>
                <w:color w:val="auto"/>
              </w:rPr>
              <w:t>Net earnings from discontinued operations</w:t>
            </w: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Net earnings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7460" w:type="dxa"/>
            <w:vAlign w:val="bottom"/>
          </w:tcPr>
          <w:p>
            <w:pPr>
              <w:ind w:left="280"/>
              <w:spacing w:after="0"/>
              <w:rPr>
                <w:sz w:val="20"/>
                <w:szCs w:val="20"/>
                <w:color w:val="auto"/>
              </w:rPr>
            </w:pPr>
            <w:r>
              <w:rPr>
                <w:rFonts w:ascii="Arial" w:cs="Arial" w:eastAsia="Arial" w:hAnsi="Arial"/>
                <w:sz w:val="18"/>
                <w:szCs w:val="18"/>
                <w:color w:val="auto"/>
                <w:w w:val="92"/>
              </w:rPr>
              <w:t>Net earnings from discontinued operations attributable to Fidelity National Financial, Inc. common</w:t>
            </w:r>
          </w:p>
        </w:tc>
        <w:tc>
          <w:tcPr>
            <w:tcW w:w="26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30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7"/>
        </w:trPr>
        <w:tc>
          <w:tcPr>
            <w:tcW w:w="7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shareholders</w:t>
            </w:r>
          </w:p>
        </w:tc>
        <w:tc>
          <w:tcPr>
            <w:tcW w:w="260" w:type="dxa"/>
            <w:vAlign w:val="bottom"/>
            <w:tcBorders>
              <w:bottom w:val="single" w:sz="8" w:color="auto"/>
            </w:tcBorders>
            <w:vMerge w:val="continue"/>
          </w:tcPr>
          <w:p>
            <w:pPr>
              <w:spacing w:after="0"/>
              <w:rPr>
                <w:sz w:val="24"/>
                <w:szCs w:val="24"/>
                <w:color w:val="auto"/>
              </w:rPr>
            </w:pPr>
          </w:p>
        </w:tc>
        <w:tc>
          <w:tcPr>
            <w:tcW w:w="84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vMerge w:val="continue"/>
          </w:tcPr>
          <w:p>
            <w:pPr>
              <w:spacing w:after="0"/>
              <w:rPr>
                <w:sz w:val="24"/>
                <w:szCs w:val="24"/>
                <w:color w:val="auto"/>
              </w:rPr>
            </w:pPr>
          </w:p>
        </w:tc>
        <w:tc>
          <w:tcPr>
            <w:tcW w:w="9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vMerge w:val="continue"/>
          </w:tcPr>
          <w:p>
            <w:pPr>
              <w:spacing w:after="0"/>
              <w:rPr>
                <w:sz w:val="24"/>
                <w:szCs w:val="24"/>
                <w:color w:val="auto"/>
              </w:rPr>
            </w:pPr>
          </w:p>
        </w:tc>
        <w:tc>
          <w:tcPr>
            <w:tcW w:w="82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 from discontinued operations data:</w:t>
            </w: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460" w:type="dxa"/>
            <w:vAlign w:val="bottom"/>
          </w:tcPr>
          <w:p>
            <w:pPr>
              <w:ind w:left="20"/>
              <w:spacing w:after="0"/>
              <w:rPr>
                <w:sz w:val="20"/>
                <w:szCs w:val="20"/>
                <w:color w:val="auto"/>
              </w:rPr>
            </w:pPr>
            <w:r>
              <w:rPr>
                <w:rFonts w:ascii="Arial" w:cs="Arial" w:eastAsia="Arial" w:hAnsi="Arial"/>
                <w:sz w:val="18"/>
                <w:szCs w:val="18"/>
                <w:color w:val="auto"/>
              </w:rPr>
              <w:t>Net cash provided by operations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74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Discontinued Operations</w:t>
      </w:r>
    </w:p>
    <w:p>
      <w:pPr>
        <w:spacing w:after="0" w:line="1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results from a small software company, which we acquired with LPS and which was sold during the second quarter of 2014, are included in the Consolidated Statements of Earnings as discontinued operations for all periods presented through the date of sale. Total revenues included in discontinued operations were $2 million for the year ended December 31, 2014. Pre-tax earnings included in discontinued operations are $1 million for the year ended December 31, 2014.</w:t>
      </w:r>
    </w:p>
    <w:p>
      <w:pPr>
        <w:sectPr>
          <w:pgSz w:w="11900" w:h="16838" w:orient="portrait"/>
          <w:cols w:equalWidth="0" w:num="1">
            <w:col w:w="11420"/>
          </w:cols>
          <w:pgMar w:left="240" w:top="121"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121" w:right="239" w:bottom="1440" w:gutter="0" w:footer="0" w:header="0"/>
          <w:type w:val="continuous"/>
        </w:sectPr>
      </w:pPr>
    </w:p>
    <w:bookmarkStart w:id="75" w:name="page76"/>
    <w:bookmarkEnd w:id="75"/>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results from two J. Alexander's locations closed in the second quarter of 2013 are reflected in the Consolidated Statements of Earnings as discontinued operations for all periods presented. Total net revenue included in discontinued operations was $3 million for the year ended December 31, 2013. Pre-tax loss included in discontinued operations was $3 million for the year ended December 31, 2013.</w:t>
      </w:r>
    </w:p>
    <w:p>
      <w:pPr>
        <w:spacing w:after="0" w:line="15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results from a settlement services company closed in the second quarter of 2013 are reflected in the Consolidated Statements of Earnings as discontinued operations for all periods presented. Total revenues included in discontinued operations were $9 million and $36 million for the years ended December 31, 2013 and 2012, respectively. Pre-tax earnings included in discontinued operations were $2 million and $9 million for the year ended December 31, 2013 and 2012, respectively.</w:t>
      </w:r>
    </w:p>
    <w:p>
      <w:pPr>
        <w:spacing w:after="0" w:line="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May 1, 2012, we completed the sale of an 85% interest in our remaining subsidiaries that write personal lines insurance to WT Holdings, Inc. for $120 million. Accordingly, the results of this business through the date of sale (which we refer to as our "at-risk" insurance business) for all periods presented are reflected in the Consolidated Statements of Earnings as discontinued operations. Total revenues from the at-risk insurance business included in discontinued operations are $124 million, for the year ended December 31, 2012. Pre-tax earnings from the at-risk insurance business included in discontinued operations are $10 million for the year ended December 31, 2012.</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Fixed maturity securities are purchased to support our investment strategies, which are developed based on factors including rate of return, maturity, credit risk, duration, tax considerations and regulatory requirements. Fixed maturity securities which may be sold prior to maturity to support our investment strategies are carried at fair value and are classified as available for sale as of the balance sheet dates. Fair values for fixed maturity securities are principally a function of current market conditions and are valued based on quoted prices in markets that are not active or model inputs that are observable either directly or indirectly. Discount or premium is recorded for the difference between the purchase price and the principal amount. The discount or premium is amortized or accrued using the interest method and is recorded as an adjustment to interest and investment income. The interest method results in the recognition of a constant rate of return on the investment equal to the prevailing rate at the time of purchase or at the time of subsequent adjustments of book value. Changes in prepayment assumptions are accounted for retrospectively.</w:t>
      </w:r>
    </w:p>
    <w:p>
      <w:pPr>
        <w:spacing w:after="0" w:line="4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Equity securities and preferred stocks held are considered to be available for sale and carried at fair value as of the balance sheet dates. Our equity securities and certain preferred stocks are Level 1 financial assets and fair values are based on quoted prices in active markets. Other preferred stock holdings are Level 2 financial assets and are valued based on quoted prices in markets that are not active or model inputs that are observable either directly or indirectly.</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Investments in unconsolidated affiliates are recorded using the equity method of accounting.</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Other long-term investments consist of various cost-method investments and in 2013 included structured notes. The structured notes were carried at fair value as of the balance sheet date. The structured notes matured during the third quarter of 2014 (see Note C for further discussion). The cost-method investments are carried at historical cost.</w:t>
      </w:r>
    </w:p>
    <w:p>
      <w:pPr>
        <w:spacing w:after="0" w:line="4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Short-term investments, which consist primarily of commercial paper and money market instruments, which have an original maturity of one year or less, are carried at amortized cost, which approximates fair value.</w:t>
      </w:r>
    </w:p>
    <w:p>
      <w:pPr>
        <w:spacing w:after="0" w:line="3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Realized gains and losses on the sale of investments are determined on the basis of the cost of the specific investments sold and are credited or charged to income on a trade date basis. Unrealized gains or losses on securities which are classified as available for sale, net of applicable deferred income tax expenses (benefits), are excluded from earnings and credited or charged directly to a separate component of equity. If any unrealized losses on available for sale securities are determined to be other-than-temporary, such unrealized losses are recognized as realized losses. Unrealized losses are considered other-than-temporary if factors exist that cause us to believe that the value will not increase to a level sufficient to recover our cost basis. Some factors considered in evaluating whether or not a decline in fair value is other-than-temporary include: (i) our need and intent to sell the investment prior to a period of time sufficient to allow for a recovery in value; (ii) the duration and extent to which the fair value has been less than cost; and (iii) the financial condition and prospects of the issuer. Such reviews are inherently uncertain and the value of the investment may not fully recover or may decline in future periods resulting in a realized loss.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Highly liquid instruments purchased as part of cash management with original maturities of three months or less are considered cash equivalents. The carrying amounts reported in the Consolidated Balance Sheets for these instruments approximate their fair value.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fair values of financial instruments presented in the Consolidated Financial Statements are estimates of the fair values at a specific point in time using available market information and appropriate valuation methodologies. These estimates are subjective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21" w:right="239" w:bottom="1440" w:gutter="0" w:footer="0" w:header="0"/>
        </w:sectPr>
      </w:pPr>
    </w:p>
    <w:bookmarkStart w:id="76" w:name="page77"/>
    <w:bookmarkEnd w:id="76"/>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nature and involve uncertainties and significant judgment in the interpretation of current market data. We do not necessarily intend to dispose of or liquidate such instruments prior to maturity.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and Notes Receivables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values reported in the Consolidated Balance Sheets for trade and notes receivables approximate their fair value.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Goodwill represents the excess of cost over fair value of identifiable net assets acquired and assumed in a business combination. Goodwill and other intangible assets with indefinite useful lives are reviewed for impairment annually or more frequently if circumstances indicate potential impairment, through a comparison of fair value to the carrying amount. In evaluating the recoverability of goodwill, we perform an annual goodwill impairment analysis based on a review of qualitative factors to determine if events and circumstances exist which will lead to a determination that the fair value of a reporting unit is greater than its carrying amount, prior to performing a full fair-value assessment.</w:t>
      </w:r>
    </w:p>
    <w:p>
      <w:pPr>
        <w:spacing w:after="0" w:line="5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completed annual goodwill impairment analyses in the fourth quarter of each respective year using a September 30 measurement date and as a result no goodwill impairments have been recorded. For the years ended December 31, 2014 and 2013, we determined there were no events or circumstances which indicated that the carrying value exceeded the fair value.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9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have other intangible assets, not including goodwill, which consist primarily of customer relationships and contracts and trademarks which are generally recorded in connection with acquisitions at their fair value, and debt issuance costs relating to the issuance of our long-term notes payable. Intangible assets with estimable lives are amortized over their respective estimated useful lives to their estimated residual values and reviewed for impairment whenever events or changes in circumstances indicate that the carrying amount may not be recoverable. In general, customer relationships are amortized over their estimated useful lives using an accelerated method which takes into consideration expected customer attrition rates. Contractual relationships are generally amortized over their contractual life. Trademarks are generally considered intangible assets with indefinite lives and are reviewed for impairment at least annually. Debt issuance costs are amortized on a straight line basis over the contractual life of the related debt instrument.</w:t>
      </w:r>
    </w:p>
    <w:p>
      <w:pPr>
        <w:spacing w:after="0" w:line="3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recorded an $11 million impairment expense to Tradenames in our Restaurant Group segment during the year ended December 31, 2014. We recorded no impairment expense related to other intangible assets in the years ended December 31, 2013, or 2012.</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Title Plants</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Title plants are recorded at the cost incurred to construct or obtain and organize historical title information to the point it can be used to perform title searches. Costs incurred to maintain, update and operate title plants are expensed as incurred. Title plants are not amortized as they are considered to have an indefinite life if maintained. Sales of title plants are reported at the amount received net of the adjusted costs of the title plant sold. Sales of title plant copies are reported at the amount received. No cost is allocated to the sale of copies of title plants unless the carrying value of the title plant is diminished or impaired. Title plants are reviewed for impairment whenever events or circumstances indicate that the carrying amounts may not be recoverable. We reviewed title plants for impairment in the years ended December 31, 2014, 2013 and 2012 and identified and recorded impairment expense of $1 million, $4 million and $13 million, respectively.</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9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Property and equipment are recorded at cost, less accumulated depreciation. Depreciation is computed primarily using the straight-line method based on the estimated useful lives of the related assets: twenty to thirty years for buildings and three to twenty-five years for furniture, fixtures and equipment. Leasehold improvements are amortized on a straight-line basis over the lesser of the term of the applicable lease or the estimated useful lives of such assets. Equipment under capitalized leases is amortized on a straight-line basis to its expected residual value at the end of the lease term. Property and equipment are reviewed for impairment whenever events or circumstances indicate that the carrying amounts may not be recoverable.</w:t>
      </w:r>
    </w:p>
    <w:p>
      <w:pPr>
        <w:spacing w:after="0" w:line="11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our Restaurant Group, all direct external costs associated with obtaining the land, building and equipment for each new restaurant, as well as construction period interest are capitalized. Direct external costs associated with obtaining the dining room and kitchen equipment, signage and other assets and equipment are also capitalized. In addition, for each new restaurant and re-branded restaurant, a portion of the internal direct costs of its real estate and construction department are also capitalized.</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 for Title Claim Losses</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reserve for title claim losses includes known claims as well as losses we expect to incur, net of recoupments. Each known claim is reserved based on our review as to the estimated amount of the claim and the costs required to settle the claim. Reserves for claims which are incurred but not reported are established at the time premium revenue is recognized based on historical loss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121" w:right="239" w:bottom="1440" w:gutter="0" w:footer="0" w:header="0"/>
        </w:sectPr>
      </w:pPr>
    </w:p>
    <w:bookmarkStart w:id="77" w:name="page78"/>
    <w:bookmarkEnd w:id="77"/>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experience and also take into consideration other factors, including industry trends, claim loss history, current legal environment, geographic considerations and the type of policy written.</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reserve for title claim losses also includes reserves for losses arising from closing and disbursement functions due to fraud or operational error.</w:t>
      </w:r>
    </w:p>
    <w:p>
      <w:pPr>
        <w:spacing w:after="0" w:line="102" w:lineRule="exact"/>
        <w:rPr>
          <w:sz w:val="20"/>
          <w:szCs w:val="20"/>
          <w:color w:val="auto"/>
        </w:rPr>
      </w:pPr>
    </w:p>
    <w:p>
      <w:pPr>
        <w:jc w:val="both"/>
        <w:ind w:firstLine="324"/>
        <w:spacing w:after="0" w:line="334" w:lineRule="auto"/>
        <w:rPr>
          <w:sz w:val="20"/>
          <w:szCs w:val="20"/>
          <w:color w:val="auto"/>
        </w:rPr>
      </w:pPr>
      <w:r>
        <w:rPr>
          <w:rFonts w:ascii="Arial" w:cs="Arial" w:eastAsia="Arial" w:hAnsi="Arial"/>
          <w:sz w:val="16"/>
          <w:szCs w:val="16"/>
          <w:color w:val="auto"/>
        </w:rPr>
        <w:t>If a loss is related to a policy issued by an independent agent, we may proceed against the independent agent pursuant to the terms of the agency agreement. In any event, we may proceed against third parties who are responsible for any loss under the title insurance policy under rights of subrogation.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Secured Trust Deposits</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state of Illinois, a trust company is permitted to commingle and invest customers’ assets with its own assets, pending completion of real estate transactions. Accordingly, our Consolidated Balance Sheets reflect a secured trust deposit liability of $622 million and $588 million at December 31, 2014 and 2013, respectively, representing customers’ assets held by us and corresponding assets including cash and investments pledged as security for those trust balances.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recognize deferred tax assets and liabilities for temporary differences between the financial reporting basis and the tax basis of our assets and liabilities and expected benefits of utilizing net operating loss and credit carryforwards. Deferred tax assets and liabilities are measured using enacted tax rates expected to apply to taxable income in the years in which those temporary differences are expected to be recovered or settled. The impact on deferred taxes of changes in tax rates and laws, if any, is applied to the years during which temporary differences are expected to be settled and reflected in the financial statements in the period enacted.</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Reinsurance</w:t>
      </w:r>
    </w:p>
    <w:p>
      <w:pPr>
        <w:spacing w:after="0" w:line="9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a limited number of situations, we limit our maximum loss exposure by reinsuring certain risks with other insurers. We also earn a small amount of additional income, which is reflected in our direct premiums, by assuming reinsurance for certain risks of other insurers. We cede a portion of certain policy and other liabilities under agent fidelity, excess of loss and case-by-case reinsurance agreements. Reinsurance agreements provide that in the event of a loss (including costs, attorneys’ fees and expenses) exceeding the retained amounts, the reinsurer is liable for the excess amount assumed. However, the ceding company remains primarily liable in the event the reinsurer does not meet its contractual obligations.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i w:val="1"/>
          <w:iCs w:val="1"/>
          <w:color w:val="auto"/>
        </w:rPr>
        <w:t xml:space="preserve">Title. </w:t>
      </w:r>
      <w:r>
        <w:rPr>
          <w:rFonts w:ascii="Arial" w:cs="Arial" w:eastAsia="Arial" w:hAnsi="Arial"/>
          <w:sz w:val="16"/>
          <w:szCs w:val="16"/>
          <w:color w:val="auto"/>
        </w:rPr>
        <w:t>Our direct title insurance premiums and escrow, title-related and other fees are recognized as revenue at the time of closing of the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transaction as the earnings process is then considered complete, whereas premium revenues from agency operations and agency commissions include an accrual based on estimates using historical information of the volume of transactions that have closed in a particular period for which premiums have not yet been reported to us. The accrual for agency premiums is necessary because of the lag between the closing of these transactions and the reporting of these policies to us by the agent. Historically, the time lag between the closing of these transactions by our agents and the reporting of these policies, or premiums, to us has been up to 15 months, with 70 - 80% reported within three months following closing, an additional 10 - 20% reported within the next three months and the remainder within seven to fifteen months. In addition to accruing these earned but unreported agency premiums, we also accrue agent commission expense, which was 75.7%, of agent premiums earned in 2014, 76.1% of agent premiums earned in 2013 and 76.2% of agent premiums earned in 2012. We also record a provision for claim losses at our average provision rate at the time we record the accrual for the premiums, which was 6.2% for 2014 and 7.0% for 2013 and 2012, and accruals for premium taxes and other expenses relating to our premium accrual. The resulting impact to pretax earnings in any period is approximately 10% of the accrued premium amount. The impact of the change in the accrual for agency premiums and related expenses on our pretax earnings was a decrease of $9 million for the year ended December 31, 2014, $7 million for the year ended 2013 and less than $1 million for the year ended 2012. The amount due from our agents relating to this accrual, i.e., the agent premium less their contractual retained commission, was approximately $55 million and $74 million at December 31, 2014 and 2013, respectively, which represents agency premiums of approximately $276 million and $364 million at December 31, 2014 and 2013, respectively, and agent commissions of $221 million and $290 million at December 31, 2014 and 2013, respectively.</w:t>
      </w:r>
    </w:p>
    <w:p>
      <w:pPr>
        <w:spacing w:after="0" w:line="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Revenues from home warranty insurance policies are recognized over the life of the policy, which is one year. The unrecognized portion is recorded as deferred revenue in Accounts payable and other accrued liabilities in the Consolidated Balance Sheets.</w:t>
      </w:r>
    </w:p>
    <w:p>
      <w:pPr>
        <w:spacing w:after="0" w:line="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BKFS . </w:t>
      </w:r>
      <w:r>
        <w:rPr>
          <w:rFonts w:ascii="Arial" w:cs="Arial" w:eastAsia="Arial" w:hAnsi="Arial"/>
          <w:sz w:val="18"/>
          <w:szCs w:val="18"/>
          <w:color w:val="auto"/>
        </w:rPr>
        <w:t>Within our BKFS segment, our primary types of revenues and our revenue recognition policies as they pertain to the types of contractual</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we enter into with our customers to provide services, software licenses, and software-related services either individually or as part of an integrated offering of multiple services. These arrangements occasionally include offerings from more than one segment to the same customer. We recognize revenues relating to mortgage processing, outsourced business processing services, data and analytics services, along with software licensing and software-related services. In some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1" w:right="239" w:bottom="1440" w:gutter="0" w:footer="0" w:header="0"/>
        </w:sectPr>
      </w:pPr>
    </w:p>
    <w:bookmarkStart w:id="78" w:name="page79"/>
    <w:bookmarkEnd w:id="78"/>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cases, these services are offered in combination with one another, and in other cases we offer them individually. Revenues from processing services are typically volume-based depending on factors such as the number of accounts processed, transactions processed and computer resources utilized.</w:t>
      </w:r>
    </w:p>
    <w:p>
      <w:pPr>
        <w:spacing w:after="0" w:line="1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majority of our revenues are from outsourced data processing and application hosting, data, analytic and valuation related services, and outsourced business processing services. Revenue is realized or realizable and earned when all of the following criteria are met: (1) persuasive evidence of an arrangement exists; (2) delivery has occurred or services have been rendered; (3) the seller’s price to the buyer is fixed or determinable; and (4) collectibility is reasonably assured. For hosting arrangements, revenues and costs related to implementation, conversion and programming services are deferred and subsequently recognized using the straight-line method over the term of the related services agreement. We evaluate these deferred contract costs for impairment in the event any indications of impairment exist.</w:t>
      </w:r>
    </w:p>
    <w:p>
      <w:pPr>
        <w:spacing w:after="0" w:line="5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the event that our arrangements with our customers include more than one element, we determine whether the individual revenue elements can be recognized separately. In arrangements with multiple deliverables, the delivered items are considered separate units of accounting if (1) they have value on a standalone basis and (2) performance of the undelivered items is considered probable and within our control. Arrangement consideration is then allocated to the separate units of accounting based on relative selling price. If it exists, vendor-specific objective evidence is used to determine relative selling price, otherwise third-party evidence of selling price is used. If neither exists, the best estimate of selling price is used for the deliverable.</w:t>
      </w:r>
    </w:p>
    <w:p>
      <w:pPr>
        <w:spacing w:after="0" w:line="3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For multiple element software arrangements, we determine the appropriate units of accounting and how the arrangement consideration should be measured and allocated to the separate units. Initial license fees are recognized when a contract exists, the fee is fixed or determinable, software delivery has occurred and collection of the receivable is deemed probable, provided that vendor-specific objective evidence (“VSOE”) has been established for each element or for any undelivered elements. We determine the fair value of each element or the undelivered elements in multi-element software arrangements based on VSOE. VSOE for each element is based on the price charged when the same element is sold separately, or in the case of post-contract customer support, when a stated renewal rate is provided to the customer. If evidence of fair value of all undelivered elements exists but evidence does not exist for one or more delivered elements, then revenue is recognized using the residual method. Under the residual method, the fair value of the undelivered elements is deferred and the remaining portion of the arrangement fee is recognized as revenue. If evidence of fair value does not exist for one or more undelivered elements of a contract, then all revenue is deferred until all elements are delivered or fair value is determined for all remaining undelivered elements. Revenue from post-contract customer support is recognized ratably over the term of the agreement. We record deferred revenue for all billings invoiced prior to revenue recognition.</w:t>
      </w:r>
    </w:p>
    <w:p>
      <w:pPr>
        <w:spacing w:after="0" w:line="4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Restaurant Group. </w:t>
      </w:r>
      <w:r>
        <w:rPr>
          <w:rFonts w:ascii="Arial" w:cs="Arial" w:eastAsia="Arial" w:hAnsi="Arial"/>
          <w:sz w:val="17"/>
          <w:szCs w:val="17"/>
          <w:color w:val="auto"/>
        </w:rPr>
        <w:t>Restaurant revenue on the Consolidated Statements of Earnings consists of restaurant sales and, to a lesser extent, franchise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revenue. Restaurant sales include food and beverage sales and are net of applicable state and local sales taxes and discounts.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Capitalized Software</w:t>
      </w:r>
    </w:p>
    <w:p>
      <w:pPr>
        <w:spacing w:after="0" w:line="11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Capitalized software includes the fair value of software acquired in business combinations, purchased software and capitalized software development costs. Purchased software is recorded at cost and amortized using the straight-line method over its estimated useful life. Software acquired in business combinations is recorded at its fair value and amortized using straight-line or accelerated methods over its estimated useful life, ranging from 5 to 10 years. In our BKFS segment we have significant internally developed software. These costs are amortized using the straight-line method or accelerated over the estimated useful life. Useful lives of computer software range from 3 to 10 years. For software products to be sold, leased, or otherwise marketed (ASC 985-20 software), all costs incurred to establish the technological feasibility are research and development costs, and are expensed as they are incurred. Costs incurred subsequent to establishing technological feasibility, such as programmers' salaries and related payroll costs and costs of independent contractors, are capitalized and amortized on a product by product basis commencing on the date of general release to customers. We do not capitalize any costs once the product is available for general release to customers. For internal-use computer software products, internal and external costs incurred during the preliminary project stage are expensed as they are incurred. Internal and external costs incurred during the application development stage are capitalized and amortized on a product by product basis commencing on the date the software is ready for its intended use. We do not capitalize any costs once the software is ready for its intended use.</w:t>
      </w:r>
    </w:p>
    <w:p>
      <w:pPr>
        <w:spacing w:after="0" w:line="7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also assess the recorded value of computer software for impairment on a regular basis by comparing the carrying value to the estimated future cash flows to be generated by the underlying software asset. There is an inherent uncertainty in determining the expected useful life of or cash flows to be generated from computer software. We recorded impairment charges of $5 million in the year ended December 31, 2014, for an abandoned software development project.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Earnings (Loss)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1" w:right="239" w:bottom="1440" w:gutter="0" w:footer="0" w:header="0"/>
        </w:sectPr>
      </w:pPr>
    </w:p>
    <w:bookmarkStart w:id="79" w:name="page80"/>
    <w:bookmarkEnd w:id="79"/>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report Comprehensive earnings (loss) in accordance with GAAP on the Consolidated Statements of Comprehensive Earnings. Total comprehensive earnings are defined as all changes in shareholders' equity during a period, other than those resulting from investments by and distributions to shareholders. While total comprehensive earnings is the activity in a period and is largely driven by net earnings in that period, accumulated other comprehensive earnings or loss represents the cumulative balance of other comprehensive earnings, net of tax, as of the balance sheet date. Amounts reclassified to net earnings relate to the realized gains (losses) on our investments and other financial instruments, excluding investments in unconsolidated affiliates, and are included in Realized gains and losses, net on the Consolidated Statements of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balance of Other comprehensive earnings by component are as follows:</w:t>
      </w:r>
    </w:p>
    <w:p>
      <w:pPr>
        <w:spacing w:after="0" w:line="172" w:lineRule="exact"/>
        <w:rPr>
          <w:sz w:val="20"/>
          <w:szCs w:val="20"/>
          <w:color w:val="auto"/>
        </w:rPr>
      </w:pPr>
    </w:p>
    <w:tbl>
      <w:tblPr>
        <w:tblLayout w:type="fixed"/>
        <w:tblInd w:w="1300" w:type="dxa"/>
        <w:tblCellMar>
          <w:top w:w="0" w:type="dxa"/>
          <w:left w:w="0" w:type="dxa"/>
          <w:bottom w:w="0" w:type="dxa"/>
          <w:right w:w="0" w:type="dxa"/>
        </w:tblCellMar>
      </w:tblPr>
      <w:tr>
        <w:trPr>
          <w:trHeight w:val="203"/>
        </w:trPr>
        <w:tc>
          <w:tcPr>
            <w:tcW w:w="2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Unrealized gain (loss) on</w:t>
            </w:r>
          </w:p>
        </w:tc>
        <w:tc>
          <w:tcPr>
            <w:tcW w:w="13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Unrealized (loss)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Unrealized (loss)</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investments and other</w:t>
            </w:r>
          </w:p>
        </w:tc>
        <w:tc>
          <w:tcPr>
            <w:tcW w:w="120" w:type="dxa"/>
            <w:vAlign w:val="bottom"/>
          </w:tcPr>
          <w:p>
            <w:pPr>
              <w:spacing w:after="0"/>
              <w:rPr>
                <w:sz w:val="17"/>
                <w:szCs w:val="17"/>
                <w:color w:val="auto"/>
              </w:rPr>
            </w:pPr>
          </w:p>
        </w:tc>
        <w:tc>
          <w:tcPr>
            <w:tcW w:w="1200" w:type="dxa"/>
            <w:vAlign w:val="bottom"/>
          </w:tcPr>
          <w:p>
            <w:pPr>
              <w:jc w:val="center"/>
              <w:ind w:right="33"/>
              <w:spacing w:after="0"/>
              <w:rPr>
                <w:sz w:val="20"/>
                <w:szCs w:val="20"/>
                <w:color w:val="auto"/>
              </w:rPr>
            </w:pPr>
            <w:r>
              <w:rPr>
                <w:rFonts w:ascii="Arial" w:cs="Arial" w:eastAsia="Arial" w:hAnsi="Arial"/>
                <w:sz w:val="16"/>
                <w:szCs w:val="16"/>
                <w:b w:val="1"/>
                <w:bCs w:val="1"/>
                <w:color w:val="auto"/>
                <w:w w:val="90"/>
              </w:rPr>
              <w:t>gain relating to</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gain on foreign</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8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1"/>
              </w:rPr>
              <w:t>financial instruments, net</w:t>
            </w:r>
          </w:p>
        </w:tc>
        <w:tc>
          <w:tcPr>
            <w:tcW w:w="120" w:type="dxa"/>
            <w:vAlign w:val="bottom"/>
          </w:tcPr>
          <w:p>
            <w:pPr>
              <w:spacing w:after="0"/>
              <w:rPr>
                <w:sz w:val="14"/>
                <w:szCs w:val="14"/>
                <w:color w:val="auto"/>
              </w:rPr>
            </w:pPr>
          </w:p>
        </w:tc>
        <w:tc>
          <w:tcPr>
            <w:tcW w:w="1200" w:type="dxa"/>
            <w:vAlign w:val="bottom"/>
          </w:tcPr>
          <w:p>
            <w:pPr>
              <w:jc w:val="center"/>
              <w:ind w:right="33"/>
              <w:spacing w:after="0" w:line="162" w:lineRule="exact"/>
              <w:rPr>
                <w:sz w:val="20"/>
                <w:szCs w:val="20"/>
                <w:color w:val="auto"/>
              </w:rPr>
            </w:pPr>
            <w:r>
              <w:rPr>
                <w:rFonts w:ascii="Arial" w:cs="Arial" w:eastAsia="Arial" w:hAnsi="Arial"/>
                <w:sz w:val="16"/>
                <w:szCs w:val="16"/>
                <w:b w:val="1"/>
                <w:bCs w:val="1"/>
                <w:color w:val="auto"/>
                <w:w w:val="89"/>
              </w:rPr>
              <w:t>investments in</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1"/>
              </w:rPr>
              <w:t>currency</w:t>
            </w:r>
          </w:p>
        </w:tc>
        <w:tc>
          <w:tcPr>
            <w:tcW w:w="160" w:type="dxa"/>
            <w:vAlign w:val="bottom"/>
          </w:tcPr>
          <w:p>
            <w:pPr>
              <w:spacing w:after="0"/>
              <w:rPr>
                <w:sz w:val="14"/>
                <w:szCs w:val="14"/>
                <w:color w:val="auto"/>
              </w:rPr>
            </w:pPr>
          </w:p>
        </w:tc>
        <w:tc>
          <w:tcPr>
            <w:tcW w:w="116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6"/>
              </w:rPr>
              <w:t>Minimum</w:t>
            </w: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Total Accumulated</w:t>
            </w:r>
          </w:p>
        </w:tc>
        <w:tc>
          <w:tcPr>
            <w:tcW w:w="0" w:type="dxa"/>
            <w:vAlign w:val="bottom"/>
          </w:tcPr>
          <w:p>
            <w:pPr>
              <w:spacing w:after="0"/>
              <w:rPr>
                <w:sz w:val="1"/>
                <w:szCs w:val="1"/>
                <w:color w:val="auto"/>
              </w:rPr>
            </w:pPr>
          </w:p>
        </w:tc>
      </w:tr>
      <w:tr>
        <w:trPr>
          <w:trHeight w:val="139"/>
        </w:trPr>
        <w:tc>
          <w:tcPr>
            <w:tcW w:w="2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9"/>
              </w:rPr>
              <w:t>(excluding investments in</w:t>
            </w:r>
          </w:p>
        </w:tc>
        <w:tc>
          <w:tcPr>
            <w:tcW w:w="120" w:type="dxa"/>
            <w:vAlign w:val="bottom"/>
          </w:tcPr>
          <w:p>
            <w:pPr>
              <w:spacing w:after="0"/>
              <w:rPr>
                <w:sz w:val="12"/>
                <w:szCs w:val="12"/>
                <w:color w:val="auto"/>
              </w:rPr>
            </w:pPr>
          </w:p>
        </w:tc>
        <w:tc>
          <w:tcPr>
            <w:tcW w:w="1200" w:type="dxa"/>
            <w:vAlign w:val="bottom"/>
            <w:vMerge w:val="restart"/>
          </w:tcPr>
          <w:p>
            <w:pPr>
              <w:jc w:val="center"/>
              <w:ind w:right="33"/>
              <w:spacing w:after="0"/>
              <w:rPr>
                <w:sz w:val="20"/>
                <w:szCs w:val="20"/>
                <w:color w:val="auto"/>
              </w:rPr>
            </w:pPr>
            <w:r>
              <w:rPr>
                <w:rFonts w:ascii="Arial" w:cs="Arial" w:eastAsia="Arial" w:hAnsi="Arial"/>
                <w:sz w:val="16"/>
                <w:szCs w:val="16"/>
                <w:b w:val="1"/>
                <w:bCs w:val="1"/>
                <w:color w:val="auto"/>
                <w:w w:val="87"/>
              </w:rPr>
              <w:t>unconsolidated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2"/>
              </w:rPr>
              <w:t>translation and</w:t>
            </w:r>
          </w:p>
        </w:tc>
        <w:tc>
          <w:tcPr>
            <w:tcW w:w="132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2"/>
              </w:rPr>
              <w:t>pension liability</w:t>
            </w:r>
          </w:p>
        </w:tc>
        <w:tc>
          <w:tcPr>
            <w:tcW w:w="140" w:type="dxa"/>
            <w:vAlign w:val="bottom"/>
          </w:tcPr>
          <w:p>
            <w:pPr>
              <w:spacing w:after="0"/>
              <w:rPr>
                <w:sz w:val="12"/>
                <w:szCs w:val="12"/>
                <w:color w:val="auto"/>
              </w:rPr>
            </w:pPr>
          </w:p>
        </w:tc>
        <w:tc>
          <w:tcPr>
            <w:tcW w:w="1180" w:type="dxa"/>
            <w:vAlign w:val="bottom"/>
          </w:tcPr>
          <w:p>
            <w:pPr>
              <w:jc w:val="center"/>
              <w:ind w:right="55"/>
              <w:spacing w:after="0" w:line="13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03"/>
        </w:trPr>
        <w:tc>
          <w:tcPr>
            <w:tcW w:w="2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132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vMerge w:val="restart"/>
          </w:tcPr>
          <w:p>
            <w:pPr>
              <w:jc w:val="center"/>
              <w:ind w:right="55"/>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45"/>
        </w:trPr>
        <w:tc>
          <w:tcPr>
            <w:tcW w:w="2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8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0"/>
              </w:rPr>
              <w:t>unconsolidated affiliates)</w:t>
            </w:r>
          </w:p>
        </w:tc>
        <w:tc>
          <w:tcPr>
            <w:tcW w:w="120" w:type="dxa"/>
            <w:vAlign w:val="bottom"/>
          </w:tcPr>
          <w:p>
            <w:pPr>
              <w:spacing w:after="0"/>
              <w:rPr>
                <w:sz w:val="3"/>
                <w:szCs w:val="3"/>
                <w:color w:val="auto"/>
              </w:rPr>
            </w:pPr>
          </w:p>
        </w:tc>
        <w:tc>
          <w:tcPr>
            <w:tcW w:w="1200" w:type="dxa"/>
            <w:vAlign w:val="bottom"/>
            <w:vMerge w:val="restart"/>
          </w:tcPr>
          <w:p>
            <w:pPr>
              <w:jc w:val="center"/>
              <w:ind w:right="33"/>
              <w:spacing w:after="0"/>
              <w:rPr>
                <w:sz w:val="20"/>
                <w:szCs w:val="20"/>
                <w:color w:val="auto"/>
              </w:rPr>
            </w:pPr>
            <w:r>
              <w:rPr>
                <w:rFonts w:ascii="Arial" w:cs="Arial" w:eastAsia="Arial" w:hAnsi="Arial"/>
                <w:sz w:val="16"/>
                <w:szCs w:val="16"/>
                <w:b w:val="1"/>
                <w:bCs w:val="1"/>
                <w:color w:val="auto"/>
                <w:w w:val="92"/>
              </w:rPr>
              <w:t>affiliates</w:t>
            </w:r>
          </w:p>
        </w:tc>
        <w:tc>
          <w:tcPr>
            <w:tcW w:w="100" w:type="dxa"/>
            <w:vAlign w:val="bottom"/>
          </w:tcPr>
          <w:p>
            <w:pPr>
              <w:spacing w:after="0"/>
              <w:rPr>
                <w:sz w:val="3"/>
                <w:szCs w:val="3"/>
                <w:color w:val="auto"/>
              </w:rPr>
            </w:pPr>
          </w:p>
        </w:tc>
        <w:tc>
          <w:tcPr>
            <w:tcW w:w="154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88"/>
              </w:rPr>
              <w:t>cash flow hedging</w:t>
            </w:r>
          </w:p>
        </w:tc>
        <w:tc>
          <w:tcPr>
            <w:tcW w:w="160" w:type="dxa"/>
            <w:vAlign w:val="bottom"/>
          </w:tcPr>
          <w:p>
            <w:pPr>
              <w:spacing w:after="0"/>
              <w:rPr>
                <w:sz w:val="3"/>
                <w:szCs w:val="3"/>
                <w:color w:val="auto"/>
              </w:rPr>
            </w:pPr>
          </w:p>
        </w:tc>
        <w:tc>
          <w:tcPr>
            <w:tcW w:w="116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3"/>
              </w:rPr>
              <w:t>adjustment</w:t>
            </w:r>
          </w:p>
        </w:tc>
        <w:tc>
          <w:tcPr>
            <w:tcW w:w="14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2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190"/>
        </w:trPr>
        <w:tc>
          <w:tcPr>
            <w:tcW w:w="2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40" w:type="dxa"/>
            <w:vAlign w:val="bottom"/>
            <w:gridSpan w:val="4"/>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5"/>
        </w:trPr>
        <w:tc>
          <w:tcPr>
            <w:tcW w:w="2300" w:type="dxa"/>
            <w:vAlign w:val="bottom"/>
          </w:tcPr>
          <w:p>
            <w:pPr>
              <w:ind w:left="40"/>
              <w:spacing w:after="0"/>
              <w:rPr>
                <w:sz w:val="20"/>
                <w:szCs w:val="20"/>
                <w:color w:val="auto"/>
              </w:rPr>
            </w:pPr>
            <w:r>
              <w:rPr>
                <w:rFonts w:ascii="Arial" w:cs="Arial" w:eastAsia="Arial" w:hAnsi="Arial"/>
                <w:sz w:val="18"/>
                <w:szCs w:val="18"/>
                <w:color w:val="auto"/>
                <w:w w:val="98"/>
              </w:rPr>
              <w:t>Balance December 31, 2012</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comprehensive</w:t>
            </w: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(losses) earnings</w:t>
            </w:r>
          </w:p>
        </w:tc>
        <w:tc>
          <w:tcPr>
            <w:tcW w:w="14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2300" w:type="dxa"/>
            <w:vAlign w:val="bottom"/>
          </w:tcPr>
          <w:p>
            <w:pPr>
              <w:ind w:left="280"/>
              <w:spacing w:after="0"/>
              <w:rPr>
                <w:sz w:val="20"/>
                <w:szCs w:val="20"/>
                <w:color w:val="auto"/>
              </w:rPr>
            </w:pPr>
            <w:r>
              <w:rPr>
                <w:rFonts w:ascii="Arial" w:cs="Arial" w:eastAsia="Arial" w:hAnsi="Arial"/>
                <w:sz w:val="18"/>
                <w:szCs w:val="18"/>
                <w:color w:val="auto"/>
              </w:rPr>
              <w:t>Reclassification</w:t>
            </w:r>
          </w:p>
        </w:tc>
        <w:tc>
          <w:tcPr>
            <w:tcW w:w="1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280"/>
              <w:spacing w:after="0"/>
              <w:rPr>
                <w:sz w:val="20"/>
                <w:szCs w:val="20"/>
                <w:color w:val="auto"/>
              </w:rPr>
            </w:pPr>
            <w:r>
              <w:rPr>
                <w:rFonts w:ascii="Arial" w:cs="Arial" w:eastAsia="Arial" w:hAnsi="Arial"/>
                <w:sz w:val="18"/>
                <w:szCs w:val="18"/>
                <w:color w:val="auto"/>
                <w:w w:val="97"/>
              </w:rPr>
              <w:t>adjustments for change in</w:t>
            </w: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280"/>
              <w:spacing w:after="0"/>
              <w:rPr>
                <w:sz w:val="20"/>
                <w:szCs w:val="20"/>
                <w:color w:val="auto"/>
              </w:rPr>
            </w:pPr>
            <w:r>
              <w:rPr>
                <w:rFonts w:ascii="Arial" w:cs="Arial" w:eastAsia="Arial" w:hAnsi="Arial"/>
                <w:sz w:val="18"/>
                <w:szCs w:val="18"/>
                <w:color w:val="auto"/>
                <w:w w:val="90"/>
              </w:rPr>
              <w:t>unrealized gains and losses</w:t>
            </w:r>
          </w:p>
        </w:tc>
        <w:tc>
          <w:tcPr>
            <w:tcW w:w="1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280"/>
              <w:spacing w:after="0"/>
              <w:rPr>
                <w:sz w:val="20"/>
                <w:szCs w:val="20"/>
                <w:color w:val="auto"/>
              </w:rPr>
            </w:pPr>
            <w:r>
              <w:rPr>
                <w:rFonts w:ascii="Arial" w:cs="Arial" w:eastAsia="Arial" w:hAnsi="Arial"/>
                <w:sz w:val="18"/>
                <w:szCs w:val="18"/>
                <w:color w:val="auto"/>
              </w:rPr>
              <w:t>included in net earnings</w:t>
            </w:r>
          </w:p>
        </w:tc>
        <w:tc>
          <w:tcPr>
            <w:tcW w:w="14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Balance December 31, 2013</w:t>
            </w:r>
          </w:p>
        </w:tc>
        <w:tc>
          <w:tcPr>
            <w:tcW w:w="1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2300" w:type="dxa"/>
            <w:vAlign w:val="bottom"/>
          </w:tcPr>
          <w:p>
            <w:pPr>
              <w:ind w:left="280"/>
              <w:spacing w:after="0"/>
              <w:rPr>
                <w:sz w:val="20"/>
                <w:szCs w:val="20"/>
                <w:color w:val="auto"/>
              </w:rPr>
            </w:pPr>
            <w:r>
              <w:rPr>
                <w:rFonts w:ascii="Arial" w:cs="Arial" w:eastAsia="Arial" w:hAnsi="Arial"/>
                <w:sz w:val="18"/>
                <w:szCs w:val="18"/>
                <w:color w:val="auto"/>
              </w:rPr>
              <w:t>Other comprehensive</w:t>
            </w:r>
          </w:p>
        </w:tc>
        <w:tc>
          <w:tcPr>
            <w:tcW w:w="1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280"/>
              <w:spacing w:after="0"/>
              <w:rPr>
                <w:sz w:val="20"/>
                <w:szCs w:val="20"/>
                <w:color w:val="auto"/>
              </w:rPr>
            </w:pPr>
            <w:r>
              <w:rPr>
                <w:rFonts w:ascii="Arial" w:cs="Arial" w:eastAsia="Arial" w:hAnsi="Arial"/>
                <w:sz w:val="18"/>
                <w:szCs w:val="18"/>
                <w:color w:val="auto"/>
              </w:rPr>
              <w:t>(losses) earnings</w:t>
            </w:r>
          </w:p>
        </w:tc>
        <w:tc>
          <w:tcPr>
            <w:tcW w:w="14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Distribution of Remy to</w:t>
            </w:r>
          </w:p>
        </w:tc>
        <w:tc>
          <w:tcPr>
            <w:tcW w:w="14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3"/>
              </w:rPr>
              <w:t>FNFV Group Shareholders</w:t>
            </w:r>
          </w:p>
        </w:tc>
        <w:tc>
          <w:tcPr>
            <w:tcW w:w="140" w:type="dxa"/>
            <w:vAlign w:val="bottom"/>
            <w:tcBorders>
              <w:bottom w:val="single" w:sz="8" w:color="CCEEFF"/>
            </w:tcBorders>
            <w:shd w:val="clear" w:color="auto" w:fill="CCEEFF"/>
          </w:tcPr>
          <w:p>
            <w:pPr>
              <w:spacing w:after="0"/>
              <w:rPr>
                <w:sz w:val="22"/>
                <w:szCs w:val="22"/>
                <w:color w:val="auto"/>
              </w:rPr>
            </w:pPr>
          </w:p>
        </w:tc>
        <w:tc>
          <w:tcPr>
            <w:tcW w:w="2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2300" w:type="dxa"/>
            <w:vAlign w:val="bottom"/>
          </w:tcPr>
          <w:p>
            <w:pPr>
              <w:ind w:left="40"/>
              <w:spacing w:after="0"/>
              <w:rPr>
                <w:sz w:val="20"/>
                <w:szCs w:val="20"/>
                <w:color w:val="auto"/>
              </w:rPr>
            </w:pPr>
            <w:r>
              <w:rPr>
                <w:rFonts w:ascii="Arial" w:cs="Arial" w:eastAsia="Arial" w:hAnsi="Arial"/>
                <w:sz w:val="18"/>
                <w:szCs w:val="18"/>
                <w:color w:val="auto"/>
                <w:w w:val="98"/>
              </w:rPr>
              <w:t>Balance December 31, 2014</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Non-controlling Interest</w:t>
      </w:r>
    </w:p>
    <w:p>
      <w:pPr>
        <w:spacing w:after="0" w:line="11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Subsequent to the acquisition of LPS we issued 35% ownership interests in each of BKFS and ServiceLink to funds affiliated with Thomas H. Lee Partners ("THL" or "the minority interest holder"). THL has an option to put its ownership interests of either or both of BKFS and ServiceLink to us if no public offering of the corresponding business has been consummated after four years from the date of FNF's purchase of LPS. The units owned by THL ("redeemable noncontrolling interests") may be settled in cash or common stock of FNF or a combination of both at our election. The redeemable noncontrolling interests will be settled at the current fair value at the time we receive notice of THL's put election as determined by the parties or by a third party appraisal under the terms of the Unit Purchase Agreement. As of December 31, 2014, we do not believe the exercise of this put right to be probable.</w:t>
      </w:r>
    </w:p>
    <w:p>
      <w:pPr>
        <w:spacing w:after="0" w:line="5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these redeemable noncontrolling interests provide for redemption features not solely within our control, we classify the redeemable noncontrolling interests outside of permanent equity. Redeemable noncontrolling interests held by third parties in subsidiaries owned or controlled by FNF is reported on the Consolidated Balance Sheet outside permanent of equity; and the Consolidated Statement of Earnings reflects the respective redeemable noncontrolling interests in Net earnings (loss) attributable to non-controlling interests, the effect of which is removed from the net earnings attributable to Fidelity National Financial, Inc. common shareholders.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Basic earnings per share, as presented on the Condensed Consolidated Statement of Earnings, is computed by dividing net earnings available to common shareholders by the weighted average number of common shares outstanding during the period. In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1" w:right="239" w:bottom="1440" w:gutter="0" w:footer="0" w:header="0"/>
        </w:sectPr>
      </w:pPr>
    </w:p>
    <w:bookmarkStart w:id="80" w:name="page81"/>
    <w:bookmarkEnd w:id="80"/>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earnings per share is equal to basic earnings per share as the impact of assumed conversions of potentially dilutive securities is considered to be antidilutive. We have granted certain stock options, shares of restricted stock, convertible debt instruments and certain other convertible share based payments, known as profits interests, which have been treated as common share equivalents for purposes of calculating diluted earnings per share for periods in which positive earnings have been reported.</w:t>
      </w:r>
    </w:p>
    <w:p>
      <w:pPr>
        <w:spacing w:after="0" w:line="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Options or other instruments which provide the ability to purchase shares of our common stock that are antidilutive are excluded from the computation of diluted earnings per share. For the years ended December 31, 2014, 2013, and 2012, options to purchase 2 million shares, 1 million shares and 4 million shares, respectively, of our common stock were excluded from the computation of diluted earnings per share.</w:t>
      </w:r>
    </w:p>
    <w:p>
      <w:pPr>
        <w:spacing w:after="0" w:line="15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the close of business on June 30, 2014, we completed the recapitalization of Old FNF common stock into two tracking stocks, FNF Group common stock and FNFV Group common stock. As a result of the recapitalization, the weighted average shares outstanding presented on the Consolidated Statements of Earnings includes shares of Old FNF common stock, FNF Group common stock and FNFV Group common stock. Earnings per share for all periods presented is attributed to the related class of common stock.</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Related Parties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we no longer have any officers in common with Fidelity National Information Services, Inc. ("FIS"), effective January 1, 2014, we no longer consider FIS a related party. We have described below transactions with FIS through December 31, 2013.</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Agreements with FIS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agreements that were in effect with FIS through December 31, 2013 is as follows:</w:t>
      </w:r>
    </w:p>
    <w:p>
      <w:pPr>
        <w:spacing w:after="0" w:line="279" w:lineRule="exact"/>
        <w:rPr>
          <w:sz w:val="20"/>
          <w:szCs w:val="20"/>
          <w:color w:val="auto"/>
        </w:rPr>
      </w:pPr>
    </w:p>
    <w:p>
      <w:pPr>
        <w:jc w:val="both"/>
        <w:ind w:left="660" w:right="20" w:hanging="328"/>
        <w:spacing w:after="0" w:line="26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Information Technology (“IT”) and data processing services from FIS. This agreement governs IT support services provided to us by FIS, primarily consisting of infrastructure support and data center management. Certain subsidiaries of FIS also provided technology consulting services to FNF during 2013.</w:t>
      </w:r>
    </w:p>
    <w:p>
      <w:pPr>
        <w:spacing w:after="0" w:line="73"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Administrative aviation corporate support and cost-sharing services to FIS.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detail of net revenues and expenses between us and FIS that were included in our results of operations for the periods presented is as follows: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Pr>
          <w:p>
            <w:pPr>
              <w:spacing w:after="0"/>
              <w:rPr>
                <w:sz w:val="16"/>
                <w:szCs w:val="16"/>
                <w:color w:val="auto"/>
              </w:rPr>
            </w:pPr>
          </w:p>
        </w:tc>
        <w:tc>
          <w:tcPr>
            <w:tcW w:w="20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Borders>
              <w:bottom w:val="single" w:sz="8" w:color="auto"/>
            </w:tcBorders>
          </w:tcPr>
          <w:p>
            <w:pPr>
              <w:spacing w:after="0"/>
              <w:rPr>
                <w:sz w:val="16"/>
                <w:szCs w:val="16"/>
                <w:color w:val="auto"/>
              </w:rPr>
            </w:pPr>
          </w:p>
        </w:tc>
      </w:tr>
      <w:tr>
        <w:trPr>
          <w:trHeight w:val="264"/>
        </w:trPr>
        <w:tc>
          <w:tcPr>
            <w:tcW w:w="9020" w:type="dxa"/>
            <w:vAlign w:val="bottom"/>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auto"/>
            </w:tcBorders>
          </w:tcPr>
          <w:p>
            <w:pPr>
              <w:spacing w:after="0"/>
              <w:rPr>
                <w:sz w:val="22"/>
                <w:szCs w:val="22"/>
                <w:color w:val="auto"/>
              </w:rPr>
            </w:pPr>
          </w:p>
        </w:tc>
      </w:tr>
      <w:tr>
        <w:trPr>
          <w:trHeight w:val="196"/>
        </w:trPr>
        <w:tc>
          <w:tcPr>
            <w:tcW w:w="9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80" w:type="dxa"/>
            <w:vAlign w:val="bottom"/>
            <w:gridSpan w:val="3"/>
          </w:tcPr>
          <w:p>
            <w:pPr>
              <w:jc w:val="right"/>
              <w:ind w:right="356"/>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7"/>
                <w:szCs w:val="17"/>
                <w:color w:val="auto"/>
              </w:rPr>
            </w:pPr>
          </w:p>
        </w:tc>
      </w:tr>
      <w:tr>
        <w:trPr>
          <w:trHeight w:val="256"/>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services and cost-sharing revenue</w:t>
            </w:r>
          </w:p>
        </w:tc>
        <w:tc>
          <w:tcPr>
            <w:tcW w:w="760" w:type="dxa"/>
            <w:vAlign w:val="bottom"/>
            <w:tcBorders>
              <w:bottom w:val="single" w:sz="8" w:color="CCEEFF"/>
            </w:tcBorders>
            <w:shd w:val="clear" w:color="auto" w:fill="CCEEFF"/>
          </w:tcPr>
          <w:p>
            <w:pPr>
              <w:jc w:val="right"/>
              <w:ind w:right="55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Data processing expense</w:t>
            </w:r>
          </w:p>
        </w:tc>
        <w:tc>
          <w:tcPr>
            <w:tcW w:w="76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9"/>
              </w:rPr>
              <w:t>(34)</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(32)</w:t>
            </w:r>
          </w:p>
        </w:tc>
      </w:tr>
      <w:tr>
        <w:trPr>
          <w:trHeight w:val="27"/>
        </w:trPr>
        <w:tc>
          <w:tcPr>
            <w:tcW w:w="90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expense</w:t>
            </w:r>
          </w:p>
        </w:tc>
        <w:tc>
          <w:tcPr>
            <w:tcW w:w="76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(27)</w:t>
            </w:r>
          </w:p>
        </w:tc>
        <w:tc>
          <w:tcPr>
            <w:tcW w:w="1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57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w:t>
            </w:r>
          </w:p>
        </w:tc>
      </w:tr>
      <w:tr>
        <w:trPr>
          <w:trHeight w:val="20"/>
        </w:trPr>
        <w:tc>
          <w:tcPr>
            <w:tcW w:w="90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the amounts we earned or were charged under each of the foregoing arrangements are fair and reasonable. The information technology infrastructure support and data center management services provided to us are priced within the range of prices that FIS offers to its unaffiliated third party customers for the same types of services. However, the amounts FNF earned or was charged under these arrangements were not negotiated at arm’s-length, and may not represent the terms that we might have obtained from an unrelated third party. The net amounts due to FIS as a result of these agreements were $3 million as of December 31, 2013.</w:t>
      </w:r>
    </w:p>
    <w:p>
      <w:pPr>
        <w:spacing w:after="0" w:line="5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Included in equity securities available for sale at December 31, 2013, were 1,303,860 shares of FIS common stock, which were purchased pursuant to an investment agreement between us and FIS dated March 31, 2009. During the fourth quarter of 2013, we sold 300,000 shares for a realized gain of $11 million. The fair value of this investment was $70 million as of December 31, 2013, and is recorded in Equity securities available for sale.</w:t>
      </w:r>
    </w:p>
    <w:p>
      <w:pPr>
        <w:spacing w:after="0" w:line="1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Also included in fixed maturities available for sale are FIS bonds with a fair value of $42 million as of December 31, 2013.</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21" w:right="239" w:bottom="1440" w:gutter="0" w:footer="0" w:header="0"/>
        </w:sectPr>
      </w:pPr>
    </w:p>
    <w:bookmarkStart w:id="81" w:name="page82"/>
    <w:bookmarkEnd w:id="81"/>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Plans</w:t>
      </w:r>
    </w:p>
    <w:p>
      <w:pPr>
        <w:spacing w:after="0" w:line="90"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account for stock-based compensation plans using the fair value method. Using the fair value method of accounting, compensation cost is measured based on the fair value of the award at the grant date, using the Black-Scholes Model, and recognized over the service period.</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Estimates</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preparation of these Consolidated Financial Statements in conformity with GAAP requires us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Reclassifications</w:t>
      </w:r>
    </w:p>
    <w:p>
      <w:pPr>
        <w:spacing w:after="0" w:line="9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Certain reclassifications have been made in the 2013 and 2012 Consolidated Financial Statements to conform to classifications used in 2014. In addition, we have corrected an immaterial prior period error to accrued personnel cost which affected the Balance Sheet, the Statement of Earnings and the Statement of Equity. We reviewed the impact of this error on the prior period financial statements and determined that the error was not material to the financial statements. A summary of the effects of the immaterial correction on our Consolidated Financial Statements for the year ended December 31, 2013 is as follows: Balance Sheet: Income taxes payable decreased by $4 million, Accounts payable and accrued expenses increased by $12 million and Retained earnings decreased by $8 million; Income Statement: Personnel costs increased by $12 million, Income tax expense decreased by $4 million, Pre-tax earnings decreased by $12 million and Net earnings decreased by $8 million impacting Basic earnings per share by $(0.04) and Diluted earnings per share by $(0.03). There was no impact on our other Condensed Consolidated Financial Statements presented.</w:t>
      </w:r>
    </w:p>
    <w:p>
      <w:pPr>
        <w:spacing w:after="0" w:line="4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Note B.</w:t>
      </w:r>
      <w:r>
        <w:rPr>
          <w:sz w:val="20"/>
          <w:szCs w:val="20"/>
          <w:color w:val="auto"/>
        </w:rPr>
        <w:tab/>
      </w:r>
      <w:r>
        <w:rPr>
          <w:rFonts w:ascii="Arial" w:cs="Arial" w:eastAsia="Arial" w:hAnsi="Arial"/>
          <w:sz w:val="15"/>
          <w:szCs w:val="15"/>
          <w:b w:val="1"/>
          <w:bCs w:val="1"/>
          <w:color w:val="auto"/>
        </w:rPr>
        <w:t>Acquisitions</w:t>
      </w:r>
    </w:p>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of operations and financial position of the entities acquired during any year are included in the Consolidated Financial Statements from and after the date of acquisition.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and Merger with Lender Processing Services</w:t>
      </w:r>
    </w:p>
    <w:p>
      <w:pPr>
        <w:spacing w:after="0" w:line="11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January 2, 2014, we completed the purchase of LPS. The purchase consideration paid was $37.14 per share of LPS common stock, of which $28.10 per share was paid in cash and the remaining $9.04 was paid in Old FNF common shares. The purchase consideration represented an exchange ratio of 0.28742 of Old FNF common shares per share of LPS common stock. Total consideration paid for LPS was $3.4 billion, which consisted of $2,535 million in cash and $839 million in Old FNF common stock. In order to pay the stock component of the consideration, we issued 25,920,078 Old FNF shares to the former LPS shareholders. Goodwill has been recorded based on the amount that the purchase price exceeded the fair value of the net assets acquired.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80" w:type="dxa"/>
            <w:vAlign w:val="bottom"/>
          </w:tcPr>
          <w:p>
            <w:pPr>
              <w:ind w:left="340"/>
              <w:spacing w:after="0"/>
              <w:rPr>
                <w:sz w:val="20"/>
                <w:szCs w:val="20"/>
                <w:color w:val="auto"/>
              </w:rPr>
            </w:pPr>
            <w:r>
              <w:rPr>
                <w:rFonts w:ascii="Arial" w:cs="Arial" w:eastAsia="Arial" w:hAnsi="Arial"/>
                <w:sz w:val="18"/>
                <w:szCs w:val="18"/>
                <w:color w:val="auto"/>
              </w:rPr>
              <w:t>The purchase price was as follows (in millions):</w:t>
            </w: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135"/>
        </w:trPr>
        <w:tc>
          <w:tcPr>
            <w:tcW w:w="10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LPS outstanding shares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2,535</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Less: cash acquired from LPS</w:t>
            </w: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(282)</w:t>
            </w:r>
          </w:p>
        </w:tc>
      </w:tr>
      <w:tr>
        <w:trPr>
          <w:trHeight w:val="27"/>
        </w:trPr>
        <w:tc>
          <w:tcPr>
            <w:tcW w:w="10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paid for LPS</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2,253</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FNF common stock issued (25,920,078 shares)</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839</w:t>
            </w:r>
          </w:p>
        </w:tc>
      </w:tr>
      <w:tr>
        <w:trPr>
          <w:trHeight w:val="27"/>
        </w:trPr>
        <w:tc>
          <w:tcPr>
            <w:tcW w:w="10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net consideration paid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3,092</w:t>
            </w:r>
          </w:p>
        </w:tc>
      </w:tr>
      <w:tr>
        <w:trPr>
          <w:trHeight w:val="20"/>
        </w:trPr>
        <w:tc>
          <w:tcPr>
            <w:tcW w:w="10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purchase price has been allocated to the LPS assets acquired and liabilities assumed based on our best estimates of their fair values as of the acquisition date.</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21" w:right="2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4"/>
        </w:trPr>
        <w:tc>
          <w:tcPr>
            <w:tcW w:w="10280" w:type="dxa"/>
            <w:vAlign w:val="bottom"/>
          </w:tcPr>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378"/>
        </w:trPr>
        <w:tc>
          <w:tcPr>
            <w:tcW w:w="10280" w:type="dxa"/>
            <w:vAlign w:val="bottom"/>
          </w:tcPr>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459"/>
        </w:trPr>
        <w:tc>
          <w:tcPr>
            <w:tcW w:w="10280" w:type="dxa"/>
            <w:vAlign w:val="bottom"/>
          </w:tcPr>
          <w:p>
            <w:pPr>
              <w:ind w:left="340"/>
              <w:spacing w:after="0"/>
              <w:rPr>
                <w:sz w:val="20"/>
                <w:szCs w:val="20"/>
                <w:color w:val="auto"/>
              </w:rPr>
            </w:pPr>
            <w:r>
              <w:rPr>
                <w:rFonts w:ascii="Arial" w:cs="Arial" w:eastAsia="Arial" w:hAnsi="Arial"/>
                <w:sz w:val="18"/>
                <w:szCs w:val="18"/>
                <w:color w:val="auto"/>
              </w:rPr>
              <w:t>The purchase price allocation was completed in 2014. The purchase price allocation is as follows (in millions):</w:t>
            </w: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43"/>
        </w:trPr>
        <w:tc>
          <w:tcPr>
            <w:tcW w:w="102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and notes receivable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77</w:t>
            </w:r>
          </w:p>
        </w:tc>
      </w:tr>
      <w:tr>
        <w:trPr>
          <w:trHeight w:val="27"/>
        </w:trPr>
        <w:tc>
          <w:tcPr>
            <w:tcW w:w="10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assets</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149</w:t>
            </w:r>
          </w:p>
        </w:tc>
      </w:tr>
      <w:tr>
        <w:trPr>
          <w:trHeight w:val="27"/>
        </w:trPr>
        <w:tc>
          <w:tcPr>
            <w:tcW w:w="10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Capitalized software</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536</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Intangible assets including title plants</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1,010</w:t>
            </w:r>
          </w:p>
        </w:tc>
      </w:tr>
      <w:tr>
        <w:trPr>
          <w:trHeight w:val="27"/>
        </w:trPr>
        <w:tc>
          <w:tcPr>
            <w:tcW w:w="10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receivable</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3,011</w:t>
            </w:r>
          </w:p>
        </w:tc>
      </w:tr>
      <w:tr>
        <w:trPr>
          <w:trHeight w:val="27"/>
        </w:trPr>
        <w:tc>
          <w:tcPr>
            <w:tcW w:w="10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5,085</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Notes payable</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1,093</w:t>
            </w:r>
          </w:p>
        </w:tc>
      </w:tr>
      <w:tr>
        <w:trPr>
          <w:trHeight w:val="27"/>
        </w:trPr>
        <w:tc>
          <w:tcPr>
            <w:tcW w:w="10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for title claims</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405</w:t>
            </w:r>
          </w:p>
        </w:tc>
      </w:tr>
      <w:tr>
        <w:trPr>
          <w:trHeight w:val="27"/>
        </w:trPr>
        <w:tc>
          <w:tcPr>
            <w:tcW w:w="10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 assumed</w:t>
            </w: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r>
      <w:tr>
        <w:trPr>
          <w:trHeight w:val="237"/>
        </w:trPr>
        <w:tc>
          <w:tcPr>
            <w:tcW w:w="1028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1,993</w:t>
            </w:r>
          </w:p>
        </w:tc>
      </w:tr>
      <w:tr>
        <w:trPr>
          <w:trHeight w:val="27"/>
        </w:trPr>
        <w:tc>
          <w:tcPr>
            <w:tcW w:w="10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3,092</w:t>
            </w:r>
          </w:p>
        </w:tc>
      </w:tr>
      <w:tr>
        <w:trPr>
          <w:trHeight w:val="20"/>
        </w:trPr>
        <w:tc>
          <w:tcPr>
            <w:tcW w:w="10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intangible assets acquired (in millions, except for useful life):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Fair Value as of</w:t>
            </w:r>
          </w:p>
        </w:tc>
        <w:tc>
          <w:tcPr>
            <w:tcW w:w="100" w:type="dxa"/>
            <w:vAlign w:val="bottom"/>
          </w:tcPr>
          <w:p>
            <w:pPr>
              <w:spacing w:after="0"/>
              <w:rPr>
                <w:sz w:val="14"/>
                <w:szCs w:val="14"/>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Weighted Average Useful</w:t>
            </w:r>
          </w:p>
        </w:tc>
        <w:tc>
          <w:tcPr>
            <w:tcW w:w="180" w:type="dxa"/>
            <w:vAlign w:val="bottom"/>
          </w:tcPr>
          <w:p>
            <w:pPr>
              <w:spacing w:after="0"/>
              <w:rPr>
                <w:sz w:val="14"/>
                <w:szCs w:val="14"/>
                <w:color w:val="auto"/>
              </w:rPr>
            </w:pPr>
          </w:p>
        </w:tc>
        <w:tc>
          <w:tcPr>
            <w:tcW w:w="152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w w:val="92"/>
              </w:rPr>
              <w:t>Residual Value as of</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Life in Years as of</w:t>
            </w:r>
          </w:p>
        </w:tc>
        <w:tc>
          <w:tcPr>
            <w:tcW w:w="18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0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Acquisition</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Consolidation</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8"/>
              </w:rPr>
              <w:t>December 31, 2014</w:t>
            </w: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Amortizing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Developed technology</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514</w:t>
            </w:r>
          </w:p>
        </w:tc>
        <w:tc>
          <w:tcPr>
            <w:tcW w:w="1820" w:type="dxa"/>
            <w:vAlign w:val="bottom"/>
            <w:gridSpan w:val="2"/>
          </w:tcPr>
          <w:p>
            <w:pPr>
              <w:jc w:val="right"/>
              <w:ind w:right="48"/>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Purchased technology</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18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Trade names</w:t>
            </w:r>
          </w:p>
        </w:tc>
        <w:tc>
          <w:tcPr>
            <w:tcW w:w="22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13</w:t>
            </w:r>
          </w:p>
        </w:tc>
        <w:tc>
          <w:tcPr>
            <w:tcW w:w="1820" w:type="dxa"/>
            <w:vAlign w:val="bottom"/>
            <w:gridSpan w:val="2"/>
          </w:tcPr>
          <w:p>
            <w:pPr>
              <w:jc w:val="right"/>
              <w:ind w:right="48"/>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918</w:t>
            </w:r>
          </w:p>
        </w:tc>
        <w:tc>
          <w:tcPr>
            <w:tcW w:w="18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Non-compete agreements</w:t>
            </w:r>
          </w:p>
        </w:tc>
        <w:tc>
          <w:tcPr>
            <w:tcW w:w="22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4</w:t>
            </w:r>
          </w:p>
        </w:tc>
        <w:tc>
          <w:tcPr>
            <w:tcW w:w="1820" w:type="dxa"/>
            <w:vAlign w:val="bottom"/>
            <w:gridSpan w:val="2"/>
          </w:tcPr>
          <w:p>
            <w:pPr>
              <w:jc w:val="right"/>
              <w:ind w:right="48"/>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intangibles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182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24"/>
        </w:trPr>
        <w:tc>
          <w:tcPr>
            <w:tcW w:w="6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Non-amortizing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Developed technology</w:t>
            </w:r>
          </w:p>
        </w:tc>
        <w:tc>
          <w:tcPr>
            <w:tcW w:w="22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3"/>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Title plants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57"/>
        </w:trPr>
        <w:tc>
          <w:tcPr>
            <w:tcW w:w="6180" w:type="dxa"/>
            <w:vAlign w:val="bottom"/>
            <w:gridSpan w:val="2"/>
          </w:tcPr>
          <w:p>
            <w:pPr>
              <w:ind w:left="40"/>
              <w:spacing w:after="0"/>
              <w:rPr>
                <w:sz w:val="20"/>
                <w:szCs w:val="20"/>
                <w:color w:val="auto"/>
              </w:rPr>
            </w:pPr>
            <w:r>
              <w:rPr>
                <w:rFonts w:ascii="Arial" w:cs="Arial" w:eastAsia="Arial" w:hAnsi="Arial"/>
                <w:sz w:val="18"/>
                <w:szCs w:val="18"/>
                <w:color w:val="auto"/>
              </w:rPr>
              <w:t>Total intangible assets and capitalized software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1,546</w:t>
            </w:r>
          </w:p>
        </w:tc>
        <w:tc>
          <w:tcPr>
            <w:tcW w:w="1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1,308</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Pro-forma Financial Results</w:t>
      </w:r>
    </w:p>
    <w:p>
      <w:pPr>
        <w:spacing w:after="0" w:line="11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For comparative purposes, selected unaudited pro-forma consolidated results of operations of FNF for the years ended December 31, 2014, 2013 and 2012 are presented below. Pro-forma results presented assume the consolidation of LPS occurred as of the beginning of the 2012 period.</w:t>
      </w:r>
    </w:p>
    <w:p>
      <w:pPr>
        <w:spacing w:after="0" w:line="3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Amounts reflect our 65% ownership interest in BKFS and our 65% ownership interest in ServiceLink and were adjusted to exclude costs directly attributable to the acquisition of LPS including transaction costs, severance costs and costs related to our synergy bonus program associated with the acquisition (in millions).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6"/>
                <w:szCs w:val="16"/>
                <w:color w:val="auto"/>
              </w:rPr>
            </w:pPr>
          </w:p>
        </w:tc>
      </w:tr>
      <w:tr>
        <w:trPr>
          <w:trHeight w:val="243"/>
        </w:trPr>
        <w:tc>
          <w:tcPr>
            <w:tcW w:w="8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254"/>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250"/>
              <w:spacing w:after="0"/>
              <w:rPr>
                <w:sz w:val="20"/>
                <w:szCs w:val="20"/>
                <w:color w:val="auto"/>
              </w:rPr>
            </w:pPr>
            <w:r>
              <w:rPr>
                <w:rFonts w:ascii="Arial" w:cs="Arial" w:eastAsia="Arial" w:hAnsi="Arial"/>
                <w:sz w:val="18"/>
                <w:szCs w:val="18"/>
                <w:b w:val="1"/>
                <w:bCs w:val="1"/>
                <w:color w:val="auto"/>
                <w:w w:val="99"/>
              </w:rPr>
              <w:t>2012</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8,666</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earnings attributable to Fidelity National Financial, Inc. common shareholders</w:t>
            </w:r>
          </w:p>
        </w:tc>
        <w:tc>
          <w:tcPr>
            <w:tcW w:w="22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677</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121" w:right="239" w:bottom="1440" w:gutter="0" w:footer="0" w:header="0"/>
          <w:type w:val="continuous"/>
        </w:sectPr>
      </w:pPr>
    </w:p>
    <w:bookmarkStart w:id="83" w:name="page84"/>
    <w:bookmarkEnd w:id="83"/>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connection with the LPS acquisition, we formed a wholly-owned subsidiary, Black Knight Financial Services, Inc. (now known as Black Knight Holdings, Inc., "Black Knight"). Black Knight has two operating businesses, ServiceLink Holdings, LLC ("ServiceLink") and Black Knight Financial Services, LLC ("BKFS"). After acquiring LPS, we retained a 65% ownership interest in each of the subsidiaries and the subsidiaries each issued 35% minority ownership interest to THL and certain related entities on January 3, 2014. BKFS and ServiceLink now own and operate the former LPS businesses and our legacy ServiceLink business.</w:t>
      </w:r>
    </w:p>
    <w:p>
      <w:pPr>
        <w:spacing w:after="0" w:line="5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Effective June 1, 2014, we completed an internal reorganization to contribute our subsidiary Property Insight, a company which provides information used by title insurance underwriters, title agents and closing attorneys to underwrite title insurance policies for real property sales and transfer, from our Title segment to BKFS. As a result of this transfer, our ownership percentage in BKFS increased to 67%. Our results for periods since June 1, 2014, reflect our now 67% ownership interest in BKFS.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Remy International, Inc.</w:t>
      </w:r>
    </w:p>
    <w:p>
      <w:pPr>
        <w:spacing w:after="0" w:line="9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During the third quarter of 2012, we acquired 1.5 million additional shares of Remy International, Inc. ("Remy"), increasing our ownership interest to 16.3 million shares or 51% of Remy's total outstanding common shares. As a result of this acquisition we began to consolidate the results of Remy effective August 14, 2012. We previously held a 47% ownership interest in Remy. Total consideration paid for the additional 1.5 million shares was $31 million and cash acquired upon consolidation of Remy was $95 million. Goodwill was recorded based on the amount that the purchase price exceeded the fair value of the net assets acquired. Our 47% equity method investment prior to consolidation of $179 million was included in Investments in unconsolidated affiliates on the Consolidated Balance Sheets. A realized gain of $79 million was recognized in 2012 for the difference between our basis in our equity method investment of Remy prior to consolidation and the fair value of our investment in Remy at August 14, 2012, the date we acquired control and began to consolidate its operations. On December 31, 2014, we closed the previously announced distribution of all of the outstanding shares of common stock of New Remy Corp. to FNFV shareholders. See Note A for further discussion.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O'Charley's Inc. and Merger with ABRH</w:t>
      </w:r>
    </w:p>
    <w:p>
      <w:pPr>
        <w:spacing w:after="0" w:line="9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April 9, 2012, we successfully closed a tender offer for the outstanding common stock of O'Charley's Inc. ("O'Charley's"). We have consolidated the results of O'Charley's as of April 9, 2012. On May 11, 2012, we merged O'Charley's with our investment in ABRH in exchange for an increase in our ownership position in ABRH from 45% to 55%. As of December 31, 2014, there were 311 company-owned restaurants in the O'Charley's group of companies and 216 company-owned restaurants in the ABRH group of companies. Total consideration paid was $122 million in cash, net of cash acquired of $35 million. Our investment in ABRH, prior to the merger, was $37 million and was included in Investments in unconsolidated affiliates on the Consolidated Balance Sheet. Our investment in O'Charley's prior to the tender offer of $14 million was included in Equity securities available for sale on the Consolidated Balance Sheet. We have consolidated the operations of ABRH with the O'Charley's group of companies, beginning on May 11, 2012.</w:t>
      </w:r>
    </w:p>
    <w:p>
      <w:pPr>
        <w:spacing w:after="0" w:line="3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 realized gain of $66 million, which is included in Realized gains and losses on the Consolidated Statement of Earnings, was recognized in 2012 for the difference between our basis in our equity method investment of ABRH prior to consolidation and the fair value of our investment in ABRH at the date of consolidation. The fair value of our investment in ABRH was estimated using relative market based comparable information. In regards to O'Charley's, we recognized a $48 million bargain purchase gain discussed further below, and a gain of $7 million for the difference in the basis of our holdings in O'Charley's common stock prior to consolidation and the fair value of O'Charley's common stock at the date of consolidation. As a result of the final valuation, we recognized and measured the identifiable assets acquired and liabilities assumed from the O'Charley's purchase at fair value. Upon completion of the fair value process, the net assets of O'Charley's received by FNF exceeded the purchase price resulting in a bargain purchase gain of $48 million, which is included in Realized gains and losses on the Consolidated Statement of Earnings for 2012. The bargain purchase gain was due to the release of a valuation allowance on O'Charley's net deferred tax assets. O'Charley's previously had recorded a valuation allowance on the deferred tax assets, due to its history of net losses and the low probability of being able to utilize these assets. We also recorded a $11 million increase to our Additional paid-in capital during 2012, related to the fair value of the non-controlling interest portion of our ownership in O'Charley's.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Acquisitions</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February 12, 2015, we announced the closing of the purchase of BPG Holdings, LLC ("BPG"), a recognized leader in home warranty, home inspection services and commercial inspections for $46 million.</w:t>
      </w:r>
    </w:p>
    <w:p>
      <w:pPr>
        <w:spacing w:after="0" w:line="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August 25, 2014, we acquired a 70% ownership interest in LandCastle Title ("LandCastle"), in exchange for our agreement to fund any escrow shortfalls in LandCastle's escrow accounts. At the time of the acquisition, LandCastle was a large third-party agent of FNF, operating primarily in the State of Georgia. To date, FNF's total cash contribution to LandCastle is approximately $22 million and based on our current understanding of the business could increase by approximately $0 - $10 million. On January 31, 2015, we acquired an additional 5% ownership interest in LandCastle and we now have a 75% ownership interest in LandCastle.</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121" w:right="239" w:bottom="1440" w:gutter="0" w:footer="0" w:header="0"/>
        </w:sectPr>
      </w:pPr>
    </w:p>
    <w:bookmarkStart w:id="84" w:name="page85"/>
    <w:bookmarkEnd w:id="84"/>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January 13, 2014, Remy announced that it acquired substantially all of the assets of United Starters and Alternators Industries, Inc. ("USA Industries") pursuant to the terms and conditions of the Asset Purchase Agreement, effective as of January 13, 2014. USA Industries is a leading worldwide distributor of premium quality re-manufactured and new alternators, starters, constant velocity axles and disc brake calipers for the light-duty aftermarket. Total consideration paid was $41 million.</w:t>
      </w:r>
    </w:p>
    <w:p>
      <w:pPr>
        <w:spacing w:after="0" w:line="16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December 31, 2012, we acquired Digital Insurance. Total consideration paid was $98 million in cash, net of cash acquired of $3 million. We consolidated the operations of Digital Insurance as of December 31, 2012. Digital Insurance is the nation's leading employee benefits platform specializing in health insurance distribution and benefits management for small and mid-sized businesses.</w:t>
      </w:r>
    </w:p>
    <w:p>
      <w:pPr>
        <w:spacing w:after="0" w:line="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September 2012, we successfully completed a tender offer for the outstanding common stock of J. Alexander's Corporation, which later became J. Alexander's LLC, for $14.50 per share. Total consideration paid was $72 million in cash, net of cash acquired of $7 million. We have consolidated the operations of J. Alexander's beginning September 26, 2012. J. Alexander's operates 30 J. Alexander's restaurants in 12 states. On February 25, 2013, we merged Stoney River Steakhouse and Grill into J. Alexander's.</w:t>
      </w:r>
    </w:p>
    <w:p>
      <w:pPr>
        <w:spacing w:after="0" w:line="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C.</w:t>
      </w:r>
      <w:r>
        <w:rPr>
          <w:sz w:val="20"/>
          <w:szCs w:val="20"/>
          <w:color w:val="auto"/>
        </w:rPr>
        <w:tab/>
      </w:r>
      <w:r>
        <w:rPr>
          <w:rFonts w:ascii="Arial" w:cs="Arial" w:eastAsia="Arial" w:hAnsi="Arial"/>
          <w:sz w:val="16"/>
          <w:szCs w:val="16"/>
          <w:b w:val="1"/>
          <w:bCs w:val="1"/>
          <w:color w:val="auto"/>
        </w:rPr>
        <w:t>Fair Value Measurements</w:t>
      </w:r>
    </w:p>
    <w:p>
      <w:pPr>
        <w:spacing w:after="0" w:line="9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fair value hierarchy established by the accounting standards on fair value measurements includes three levels which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 Financial assets and liabilities that are recorded in the Consolidated Balance Sheets are categorized based on the inputs to the valuation techniques as follows:</w:t>
      </w:r>
    </w:p>
    <w:p>
      <w:pPr>
        <w:spacing w:after="0" w:line="3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Financial assets and liabilities whose values are based on unadjusted quoted prices for identical assets or liabilities in an active market that</w:t>
      </w:r>
      <w:r>
        <w:rPr>
          <w:rFonts w:ascii="Arial" w:cs="Arial" w:eastAsia="Arial" w:hAnsi="Arial"/>
          <w:sz w:val="18"/>
          <w:szCs w:val="18"/>
          <w:i w:val="1"/>
          <w:iCs w:val="1"/>
          <w:color w:val="auto"/>
        </w:rPr>
        <w:t xml:space="preserve"> </w:t>
      </w:r>
      <w:r>
        <w:rPr>
          <w:rFonts w:ascii="Arial" w:cs="Arial" w:eastAsia="Arial" w:hAnsi="Arial"/>
          <w:sz w:val="18"/>
          <w:szCs w:val="18"/>
          <w:color w:val="auto"/>
        </w:rPr>
        <w:t>we have the ability to access.</w:t>
      </w:r>
    </w:p>
    <w:p>
      <w:pPr>
        <w:spacing w:after="0" w:line="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Financial assets and liabilities whose values are based on quoted prices in markets that are not active or model inputs that are 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either directly or indirectly for substantially the full term of the asset or liability.</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Financial assets and liabilities whose values are based on model inputs that are unobservable.</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our fair value hierarchy for those assets measured at fair value on a recurring basis as of December 31, 2014 and 2013, respectively:</w:t>
      </w:r>
    </w:p>
    <w:p>
      <w:pPr>
        <w:spacing w:after="0" w:line="108"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23495</wp:posOffset>
            </wp:positionV>
            <wp:extent cx="28213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4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5"/>
          </w:tcPr>
          <w:p>
            <w:pPr>
              <w:ind w:left="5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5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Fixed-maturity securities available for sale:</w:t>
            </w:r>
          </w:p>
        </w:tc>
        <w:tc>
          <w:tcPr>
            <w:tcW w:w="2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U.S. government and agencies</w:t>
            </w:r>
          </w:p>
        </w:tc>
        <w:tc>
          <w:tcPr>
            <w:tcW w:w="2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43"/>
        </w:trPr>
        <w:tc>
          <w:tcPr>
            <w:tcW w:w="4440" w:type="dxa"/>
            <w:vAlign w:val="bottom"/>
          </w:tcPr>
          <w:p>
            <w:pPr>
              <w:ind w:left="280"/>
              <w:spacing w:after="0"/>
              <w:rPr>
                <w:sz w:val="20"/>
                <w:szCs w:val="20"/>
                <w:color w:val="auto"/>
              </w:rPr>
            </w:pPr>
            <w:r>
              <w:rPr>
                <w:rFonts w:ascii="Arial" w:cs="Arial" w:eastAsia="Arial" w:hAnsi="Arial"/>
                <w:sz w:val="18"/>
                <w:szCs w:val="18"/>
                <w:color w:val="auto"/>
              </w:rPr>
              <w:t>State and political subdivisions</w:t>
            </w:r>
          </w:p>
        </w:tc>
        <w:tc>
          <w:tcPr>
            <w:tcW w:w="2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948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Corporate debt securities</w:t>
            </w:r>
          </w:p>
        </w:tc>
        <w:tc>
          <w:tcPr>
            <w:tcW w:w="2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1,820</w:t>
            </w:r>
          </w:p>
        </w:tc>
        <w:tc>
          <w:tcPr>
            <w:tcW w:w="0" w:type="dxa"/>
            <w:vAlign w:val="bottom"/>
          </w:tcPr>
          <w:p>
            <w:pPr>
              <w:spacing w:after="0"/>
              <w:rPr>
                <w:sz w:val="1"/>
                <w:szCs w:val="1"/>
                <w:color w:val="auto"/>
              </w:rPr>
            </w:pPr>
          </w:p>
        </w:tc>
      </w:tr>
      <w:tr>
        <w:trPr>
          <w:trHeight w:val="243"/>
        </w:trPr>
        <w:tc>
          <w:tcPr>
            <w:tcW w:w="4440" w:type="dxa"/>
            <w:vAlign w:val="bottom"/>
          </w:tcPr>
          <w:p>
            <w:pPr>
              <w:ind w:left="280"/>
              <w:spacing w:after="0"/>
              <w:rPr>
                <w:sz w:val="20"/>
                <w:szCs w:val="20"/>
                <w:color w:val="auto"/>
              </w:rPr>
            </w:pPr>
            <w:r>
              <w:rPr>
                <w:rFonts w:ascii="Arial" w:cs="Arial" w:eastAsia="Arial" w:hAnsi="Arial"/>
                <w:sz w:val="18"/>
                <w:szCs w:val="18"/>
                <w:color w:val="auto"/>
              </w:rPr>
              <w:t>Foreign government bonds</w:t>
            </w:r>
          </w:p>
        </w:tc>
        <w:tc>
          <w:tcPr>
            <w:tcW w:w="2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Mortgage-backed/asset-backed securities</w:t>
            </w:r>
          </w:p>
        </w:tc>
        <w:tc>
          <w:tcPr>
            <w:tcW w:w="25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2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2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25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57"/>
        </w:trPr>
        <w:tc>
          <w:tcPr>
            <w:tcW w:w="4440" w:type="dxa"/>
            <w:vAlign w:val="bottom"/>
          </w:tcPr>
          <w:p>
            <w:pPr>
              <w:ind w:left="260"/>
              <w:spacing w:after="0"/>
              <w:rPr>
                <w:sz w:val="20"/>
                <w:szCs w:val="20"/>
                <w:color w:val="auto"/>
              </w:rPr>
            </w:pPr>
            <w:r>
              <w:rPr>
                <w:rFonts w:ascii="Arial" w:cs="Arial" w:eastAsia="Arial" w:hAnsi="Arial"/>
                <w:sz w:val="18"/>
                <w:szCs w:val="18"/>
                <w:color w:val="auto"/>
              </w:rPr>
              <w:t>Total</w:t>
            </w:r>
          </w:p>
        </w:tc>
        <w:tc>
          <w:tcPr>
            <w:tcW w:w="25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3,198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3,393</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2540" w:type="dxa"/>
            <w:vAlign w:val="bottom"/>
            <w:vMerge w:val="restart"/>
          </w:tcPr>
          <w:p>
            <w:pPr>
              <w:jc w:val="right"/>
              <w:ind w:right="1090"/>
              <w:spacing w:after="0"/>
              <w:rPr>
                <w:sz w:val="20"/>
                <w:szCs w:val="20"/>
                <w:color w:val="auto"/>
              </w:rPr>
            </w:pPr>
            <w:r>
              <w:rPr>
                <w:rFonts w:ascii="Arial" w:cs="Arial" w:eastAsia="Arial" w:hAnsi="Arial"/>
                <w:sz w:val="18"/>
                <w:szCs w:val="18"/>
                <w:color w:val="auto"/>
              </w:rPr>
              <w:t>81</w:t>
            </w: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44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5" w:name="page86"/>
    <w:bookmarkEnd w:id="85"/>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0" w:lineRule="exact"/>
        <w:rPr>
          <w:sz w:val="20"/>
          <w:szCs w:val="20"/>
          <w:color w:val="auto"/>
        </w:rPr>
      </w:pPr>
    </w:p>
    <w:p>
      <w:pPr>
        <w:ind w:left="8640"/>
        <w:spacing w:after="0"/>
        <w:rPr>
          <w:sz w:val="20"/>
          <w:szCs w:val="20"/>
          <w:color w:val="auto"/>
        </w:rPr>
      </w:pPr>
      <w:r>
        <w:rPr>
          <w:rFonts w:ascii="Arial" w:cs="Arial" w:eastAsia="Arial" w:hAnsi="Arial"/>
          <w:sz w:val="14"/>
          <w:szCs w:val="14"/>
          <w:b w:val="1"/>
          <w:bCs w:val="1"/>
          <w:color w:val="auto"/>
        </w:rPr>
        <w:t>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23495</wp:posOffset>
            </wp:positionV>
            <wp:extent cx="28213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1</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Total</w:t>
            </w:r>
          </w:p>
        </w:tc>
      </w:tr>
      <w:tr>
        <w:trPr>
          <w:trHeight w:val="196"/>
        </w:trPr>
        <w:tc>
          <w:tcPr>
            <w:tcW w:w="6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80" w:type="dxa"/>
            <w:vAlign w:val="bottom"/>
            <w:gridSpan w:val="5"/>
          </w:tcPr>
          <w:p>
            <w:pPr>
              <w:ind w:left="5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Fixed-maturity securities available for sale:</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126</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and political subdivisions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1,075</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1,606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1,606</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government bonds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w:t>
            </w:r>
          </w:p>
        </w:tc>
      </w:tr>
      <w:tr>
        <w:trPr>
          <w:trHeight w:val="243"/>
        </w:trPr>
        <w:tc>
          <w:tcPr>
            <w:tcW w:w="6980" w:type="dxa"/>
            <w:vAlign w:val="bottom"/>
          </w:tcPr>
          <w:p>
            <w:pPr>
              <w:ind w:left="280"/>
              <w:spacing w:after="0"/>
              <w:rPr>
                <w:sz w:val="20"/>
                <w:szCs w:val="20"/>
                <w:color w:val="auto"/>
              </w:rPr>
            </w:pPr>
            <w:r>
              <w:rPr>
                <w:rFonts w:ascii="Arial" w:cs="Arial" w:eastAsia="Arial" w:hAnsi="Arial"/>
                <w:sz w:val="18"/>
                <w:szCs w:val="18"/>
                <w:color w:val="auto"/>
              </w:rPr>
              <w:t>Mortgage-backed/asset-backed securities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109</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151</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200" w:type="dxa"/>
            <w:vAlign w:val="bottom"/>
          </w:tcPr>
          <w:p>
            <w:pPr>
              <w:spacing w:after="0"/>
              <w:rPr>
                <w:sz w:val="21"/>
                <w:szCs w:val="21"/>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136</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Foreign exchange contracts</w:t>
            </w:r>
          </w:p>
        </w:tc>
        <w:tc>
          <w:tcPr>
            <w:tcW w:w="20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Commodity contracts</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37"/>
        </w:trPr>
        <w:tc>
          <w:tcPr>
            <w:tcW w:w="6980" w:type="dxa"/>
            <w:vAlign w:val="bottom"/>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3,043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ind w:left="54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3,290</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372"/>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w:t>
            </w:r>
          </w:p>
        </w:tc>
        <w:tc>
          <w:tcPr>
            <w:tcW w:w="2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Commodity contracts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w:t>
            </w:r>
          </w:p>
        </w:tc>
      </w:tr>
      <w:tr>
        <w:trPr>
          <w:trHeight w:val="27"/>
        </w:trPr>
        <w:tc>
          <w:tcPr>
            <w:tcW w:w="6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57"/>
        </w:trPr>
        <w:tc>
          <w:tcPr>
            <w:tcW w:w="6980" w:type="dxa"/>
            <w:vAlign w:val="bottom"/>
          </w:tcPr>
          <w:p>
            <w:pPr>
              <w:ind w:left="26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w:t>
            </w:r>
          </w:p>
        </w:tc>
      </w:tr>
      <w:tr>
        <w:trPr>
          <w:trHeight w:val="20"/>
        </w:trPr>
        <w:tc>
          <w:tcPr>
            <w:tcW w:w="6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Level 2 fair value measures for fixed-maturities available for sale are provided by third-party pricing services. We utilize one firm for our taxable bond and preferred stock portfolios and another for our tax-exempt bond portfolios. These pricing services are leading global providers of financial market data, analytics and related services to financial institutions. We rely on one price for each instrument to determine the carrying amount of the assets on our balance sheet. The inputs utilized in these pricing methodologies include observable measures such as benchmark yields, reported trades, broker dealer quotes, issuer spreads, two sided markets, benchmark securities, bids, offers and reference data including market research publications. We review the pricing methodologies for all of our Level 2 securities by obtaining an understanding of the valuation models and assumptions used by the third-party as well as independently comparing the resulting prices to other publicly available measures of fair value and internally developed models. The pricing methodologies used by the relevant third party pricing services are:</w:t>
      </w:r>
    </w:p>
    <w:p>
      <w:pPr>
        <w:spacing w:after="0" w:line="44" w:lineRule="exact"/>
        <w:rPr>
          <w:sz w:val="20"/>
          <w:szCs w:val="20"/>
          <w:color w:val="auto"/>
        </w:rPr>
      </w:pPr>
    </w:p>
    <w:p>
      <w:pPr>
        <w:ind w:left="660" w:right="20" w:hanging="328"/>
        <w:spacing w:after="0" w:line="258"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U.S. government and agencies: These securities are valued based on data obtained for similar securities in active markets and from inter-dealer brokers.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State and political subdivisions: These securities are valued based on data obtained for similar securities in active markets and from inter-dealer brokers. Factors considered include relevant trade information, dealer quotes and other relevant market data.</w:t>
      </w:r>
    </w:p>
    <w:p>
      <w:pPr>
        <w:jc w:val="both"/>
        <w:ind w:left="660" w:hanging="328"/>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Corporate debt securities: These securities are valued based on dealer quotes and related market trading activity. Factors considered include the bond's yield, its terms and conditions, or any other feature which may influence its risk and thus marketability, as well as relative credit information and relevant sector news.</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Foreign government bonds: These securities are valued based on a discounted cash flow model incorporating observable market inputs such as available broker quotes and yields of comparable securities.</w:t>
      </w:r>
    </w:p>
    <w:p>
      <w:pPr>
        <w:jc w:val="both"/>
        <w:ind w:left="660" w:hanging="328"/>
        <w:spacing w:after="0" w:line="250"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Mortgage-backed/asset-backed securities: These securities are comprised of commercial mortgage-backed securities, agency mortgage-backed securities, collaterized mortgage obligations, and asset-backed securities. They are valued based on available trade information, dealer quotes, cash flows, relevant indices and market data for similar assets in active markets.</w:t>
      </w:r>
    </w:p>
    <w:p>
      <w:pPr>
        <w:spacing w:after="0" w:line="1"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Preferred stock: Preferred stocks are valued by calculating the appropriate spread over a comparable US Treasury security. Inputs include benchmark quotes and other relevant market data.</w:t>
      </w:r>
    </w:p>
    <w:p>
      <w:pPr>
        <w:spacing w:after="0" w:line="4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Level 2 fair value measures for our interest rate swap, foreign exchange contracts, and commodity contracts are valued using the income approach. This approach uses techniques to convert future amounts to a single present value amount based upon market expectations (including present value techniques, option-pricing and excess earnings models).</w:t>
      </w:r>
    </w:p>
    <w:p>
      <w:pPr>
        <w:spacing w:after="0" w:line="4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Level 3 investments consist of structured notes that were purchased in 2009. During the third quarter of 2014, all of our outstanding structured notes matured and we received $39 million in cash upon maturity, resulting in a net realized gain of $1 million for the year ended December 31, 2014. We held no structured notes at December 31, 2014. The structured notes had a par</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1" w:right="239" w:bottom="1440" w:gutter="0" w:footer="0" w:header="0"/>
        </w:sectPr>
      </w:pPr>
    </w:p>
    <w:bookmarkStart w:id="86" w:name="page87"/>
    <w:bookmarkEnd w:id="86"/>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value and a fair value of $38 million at December 31, 2013. The structured notes were classified as other long-term investments and were measured in their entirety at fair value with changes in fair value recognized in earnings. The fair value of these instruments represented exit prices obtained from a broker-dealer. These exit prices were the product of a proprietary valuation model utilized by the trading desk of the broker-dealer and contain assumptions relating to volatility, the level of interest rates, and the value of the underlying commodity indices. We reviewed the pricing methodologies for our Level 3 investments to ensure that they are reasonable and we believe they represented an exit price for the securities at December 31, 2013.</w:t>
      </w:r>
    </w:p>
    <w:p>
      <w:pPr>
        <w:spacing w:after="0" w:line="3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changes in our investments that are classified as Level 3 for the years ended December 31, 2014 and 2013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December 31, 2012</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Realized gain (loss)</w:t>
            </w:r>
          </w:p>
        </w:tc>
        <w:tc>
          <w:tcPr>
            <w:tcW w:w="5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100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2013</w:t>
            </w: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Realized gain</w:t>
            </w:r>
          </w:p>
        </w:tc>
        <w:tc>
          <w:tcPr>
            <w:tcW w:w="5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10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received upon maturity</w:t>
            </w:r>
          </w:p>
        </w:tc>
        <w:tc>
          <w:tcPr>
            <w:tcW w:w="5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57"/>
        </w:trPr>
        <w:tc>
          <w:tcPr>
            <w:tcW w:w="10060" w:type="dxa"/>
            <w:vAlign w:val="bottom"/>
          </w:tcPr>
          <w:p>
            <w:pPr>
              <w:ind w:left="40"/>
              <w:spacing w:after="0"/>
              <w:rPr>
                <w:sz w:val="20"/>
                <w:szCs w:val="20"/>
                <w:color w:val="auto"/>
              </w:rPr>
            </w:pPr>
            <w:r>
              <w:rPr>
                <w:rFonts w:ascii="Arial" w:cs="Arial" w:eastAsia="Arial" w:hAnsi="Arial"/>
                <w:sz w:val="18"/>
                <w:szCs w:val="18"/>
                <w:color w:val="auto"/>
              </w:rPr>
              <w:t>Balance, December 31, 2014</w:t>
            </w: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100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carrying amounts of short-term investments, accounts receivable and notes receivable approximate fair value due to their short-term nature. The fair value of our notes payable is included in Note J.</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information regarding the fair value of our investment portfolio is included in Note D.</w:t>
      </w:r>
    </w:p>
    <w:p>
      <w:pPr>
        <w:spacing w:after="0" w:line="8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D.</w:t>
      </w:r>
      <w:r>
        <w:rPr>
          <w:sz w:val="20"/>
          <w:szCs w:val="20"/>
          <w:color w:val="auto"/>
        </w:rPr>
        <w:tab/>
      </w:r>
      <w:r>
        <w:rPr>
          <w:rFonts w:ascii="Arial" w:cs="Arial" w:eastAsia="Arial" w:hAnsi="Arial"/>
          <w:sz w:val="16"/>
          <w:szCs w:val="16"/>
          <w:b w:val="1"/>
          <w:bCs w:val="1"/>
          <w:color w:val="auto"/>
        </w:rPr>
        <w:t>Investments</w:t>
      </w:r>
    </w:p>
    <w:p>
      <w:pPr>
        <w:spacing w:after="0" w:line="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carrying amounts and fair values of our available for sale securities at December 31, 2014 and 2013 are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2014</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4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3"/>
                <w:szCs w:val="13"/>
                <w:color w:val="auto"/>
              </w:rPr>
            </w:pP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1"/>
              </w:rPr>
              <w:t>Cost Basis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3"/>
                <w:szCs w:val="13"/>
                <w:color w:val="auto"/>
              </w:rPr>
            </w:pPr>
          </w:p>
        </w:tc>
        <w:tc>
          <w:tcPr>
            <w:tcW w:w="800" w:type="dxa"/>
            <w:vAlign w:val="bottom"/>
          </w:tcPr>
          <w:p>
            <w:pPr>
              <w:jc w:val="center"/>
              <w:ind w:right="134"/>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44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4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investments available for sale:</w:t>
            </w:r>
          </w:p>
        </w:tc>
        <w:tc>
          <w:tcPr>
            <w:tcW w:w="13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112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States and political subdivisions</w:t>
            </w:r>
          </w:p>
        </w:tc>
        <w:tc>
          <w:tcPr>
            <w:tcW w:w="1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43"/>
        </w:trPr>
        <w:tc>
          <w:tcPr>
            <w:tcW w:w="448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1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1,820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1,793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1,820</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government bonds</w:t>
            </w:r>
          </w:p>
        </w:tc>
        <w:tc>
          <w:tcPr>
            <w:tcW w:w="1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43"/>
        </w:trPr>
        <w:tc>
          <w:tcPr>
            <w:tcW w:w="4480" w:type="dxa"/>
            <w:vAlign w:val="bottom"/>
          </w:tcPr>
          <w:p>
            <w:pPr>
              <w:ind w:left="280"/>
              <w:spacing w:after="0"/>
              <w:rPr>
                <w:sz w:val="20"/>
                <w:szCs w:val="20"/>
                <w:color w:val="auto"/>
              </w:rPr>
            </w:pPr>
            <w:r>
              <w:rPr>
                <w:rFonts w:ascii="Arial" w:cs="Arial" w:eastAsia="Arial" w:hAnsi="Arial"/>
                <w:sz w:val="18"/>
                <w:szCs w:val="18"/>
                <w:color w:val="auto"/>
              </w:rPr>
              <w:t>Mortgage-backed/asset-backed securities</w:t>
            </w:r>
          </w:p>
        </w:tc>
        <w:tc>
          <w:tcPr>
            <w:tcW w:w="1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1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1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3,393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3,258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3,393</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4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December 31, 2013</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4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3"/>
                <w:szCs w:val="13"/>
                <w:color w:val="auto"/>
              </w:rPr>
            </w:pPr>
          </w:p>
        </w:tc>
        <w:tc>
          <w:tcPr>
            <w:tcW w:w="88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w w:val="91"/>
              </w:rPr>
              <w:t>Cost Basis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5"/>
              </w:rPr>
              <w:t>Unrealized</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3"/>
                <w:szCs w:val="13"/>
                <w:color w:val="auto"/>
              </w:rPr>
            </w:pPr>
          </w:p>
        </w:tc>
        <w:tc>
          <w:tcPr>
            <w:tcW w:w="800" w:type="dxa"/>
            <w:vAlign w:val="bottom"/>
          </w:tcPr>
          <w:p>
            <w:pPr>
              <w:jc w:val="center"/>
              <w:ind w:right="134"/>
              <w:spacing w:after="0" w:line="15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44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44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investments available for sale:</w:t>
            </w:r>
          </w:p>
        </w:tc>
        <w:tc>
          <w:tcPr>
            <w:tcW w:w="13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280"/>
              <w:spacing w:after="0"/>
              <w:rPr>
                <w:sz w:val="20"/>
                <w:szCs w:val="20"/>
                <w:color w:val="auto"/>
              </w:rPr>
            </w:pPr>
            <w:r>
              <w:rPr>
                <w:rFonts w:ascii="Arial" w:cs="Arial" w:eastAsia="Arial" w:hAnsi="Arial"/>
                <w:sz w:val="18"/>
                <w:szCs w:val="18"/>
                <w:color w:val="auto"/>
              </w:rPr>
              <w:t>U.S. government and agencies</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126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121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States and political subdivisions</w:t>
            </w:r>
          </w:p>
        </w:tc>
        <w:tc>
          <w:tcPr>
            <w:tcW w:w="1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1,075</w:t>
            </w:r>
          </w:p>
        </w:tc>
        <w:tc>
          <w:tcPr>
            <w:tcW w:w="0" w:type="dxa"/>
            <w:vAlign w:val="bottom"/>
          </w:tcPr>
          <w:p>
            <w:pPr>
              <w:spacing w:after="0"/>
              <w:rPr>
                <w:sz w:val="1"/>
                <w:szCs w:val="1"/>
                <w:color w:val="auto"/>
              </w:rPr>
            </w:pPr>
          </w:p>
        </w:tc>
      </w:tr>
      <w:tr>
        <w:trPr>
          <w:trHeight w:val="243"/>
        </w:trPr>
        <w:tc>
          <w:tcPr>
            <w:tcW w:w="4480" w:type="dxa"/>
            <w:vAlign w:val="bottom"/>
          </w:tcPr>
          <w:p>
            <w:pPr>
              <w:ind w:left="280"/>
              <w:spacing w:after="0"/>
              <w:rPr>
                <w:sz w:val="20"/>
                <w:szCs w:val="20"/>
                <w:color w:val="auto"/>
              </w:rPr>
            </w:pPr>
            <w:r>
              <w:rPr>
                <w:rFonts w:ascii="Arial" w:cs="Arial" w:eastAsia="Arial" w:hAnsi="Arial"/>
                <w:sz w:val="18"/>
                <w:szCs w:val="18"/>
                <w:color w:val="auto"/>
              </w:rPr>
              <w:t>Corporate debt securities</w:t>
            </w:r>
          </w:p>
        </w:tc>
        <w:tc>
          <w:tcPr>
            <w:tcW w:w="1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1,606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1,565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government bonds</w:t>
            </w:r>
          </w:p>
        </w:tc>
        <w:tc>
          <w:tcPr>
            <w:tcW w:w="1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4480" w:type="dxa"/>
            <w:vAlign w:val="bottom"/>
          </w:tcPr>
          <w:p>
            <w:pPr>
              <w:ind w:left="280"/>
              <w:spacing w:after="0"/>
              <w:rPr>
                <w:sz w:val="20"/>
                <w:szCs w:val="20"/>
                <w:color w:val="auto"/>
              </w:rPr>
            </w:pPr>
            <w:r>
              <w:rPr>
                <w:rFonts w:ascii="Arial" w:cs="Arial" w:eastAsia="Arial" w:hAnsi="Arial"/>
                <w:sz w:val="18"/>
                <w:szCs w:val="18"/>
                <w:color w:val="auto"/>
              </w:rPr>
              <w:t>Mortgage-backed/asset-backed securities</w:t>
            </w:r>
          </w:p>
        </w:tc>
        <w:tc>
          <w:tcPr>
            <w:tcW w:w="1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1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1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448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3,246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3,106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3,246</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83</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48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87" w:name="page88"/>
    <w:bookmarkEnd w:id="87"/>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cost basis of fixed maturity securities available for sale includes an adjustment for amortized premium or discount since the date of purchase. At December 31, 2014 all of our mortgage-backed and asset-backed securities are rated AAA by Moody's Investors Service which is the highest rating available by Moody's. The mortgage-backed and asset-backed securities are made up of $65 million of agency mortgage-backed securities, $25 million of collateralized mortgage obligations, and $15 million in asset-backed securities.</w:t>
      </w:r>
    </w:p>
    <w:p>
      <w:pPr>
        <w:spacing w:after="0" w:line="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change in net unrealized gains and (losses) on fixed maturities for the years ended December 31, 2014, 2013, and 2012 was $(20) million, $(58) million, and $33 million, respectively.</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certain information regarding contractual maturities of our fixed maturity securities at December 31, 2014: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December 31, 2014</w:t>
            </w: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6"/>
                <w:szCs w:val="16"/>
                <w:b w:val="1"/>
                <w:bCs w:val="1"/>
                <w:color w:val="auto"/>
                <w:w w:val="96"/>
              </w:rPr>
              <w:t>Maturity</w:t>
            </w:r>
          </w:p>
        </w:tc>
        <w:tc>
          <w:tcPr>
            <w:tcW w:w="6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tcPr>
          <w:p>
            <w:pPr>
              <w:ind w:left="400"/>
              <w:spacing w:after="0" w:line="153"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9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Fair</w:t>
            </w:r>
          </w:p>
        </w:tc>
        <w:tc>
          <w:tcPr>
            <w:tcW w:w="110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6200" w:type="dxa"/>
            <w:vAlign w:val="bottom"/>
          </w:tcPr>
          <w:p>
            <w:pPr>
              <w:spacing w:after="0"/>
              <w:rPr>
                <w:sz w:val="11"/>
                <w:szCs w:val="11"/>
                <w:color w:val="auto"/>
              </w:rPr>
            </w:pPr>
          </w:p>
        </w:tc>
        <w:tc>
          <w:tcPr>
            <w:tcW w:w="1120" w:type="dxa"/>
            <w:vAlign w:val="bottom"/>
            <w:gridSpan w:val="3"/>
          </w:tcPr>
          <w:p>
            <w:pPr>
              <w:ind w:left="20"/>
              <w:spacing w:after="0" w:line="125" w:lineRule="exact"/>
              <w:rPr>
                <w:sz w:val="20"/>
                <w:szCs w:val="20"/>
                <w:color w:val="auto"/>
              </w:rPr>
            </w:pPr>
            <w:r>
              <w:rPr>
                <w:rFonts w:ascii="Arial" w:cs="Arial" w:eastAsia="Arial" w:hAnsi="Arial"/>
                <w:sz w:val="14"/>
                <w:szCs w:val="14"/>
                <w:b w:val="1"/>
                <w:bCs w:val="1"/>
                <w:color w:val="auto"/>
              </w:rPr>
              <w:t>Amortized Cost</w:t>
            </w:r>
          </w:p>
        </w:tc>
        <w:tc>
          <w:tcPr>
            <w:tcW w:w="1220" w:type="dxa"/>
            <w:vAlign w:val="bottom"/>
            <w:gridSpan w:val="2"/>
          </w:tcPr>
          <w:p>
            <w:pPr>
              <w:ind w:left="400"/>
              <w:spacing w:after="0" w:line="125"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1"/>
                <w:szCs w:val="11"/>
                <w:color w:val="auto"/>
              </w:rPr>
            </w:pPr>
          </w:p>
        </w:tc>
        <w:tc>
          <w:tcPr>
            <w:tcW w:w="900" w:type="dxa"/>
            <w:vAlign w:val="bottom"/>
            <w:gridSpan w:val="2"/>
          </w:tcPr>
          <w:p>
            <w:pPr>
              <w:jc w:val="center"/>
              <w:ind w:right="320"/>
              <w:spacing w:after="0" w:line="125" w:lineRule="exact"/>
              <w:rPr>
                <w:sz w:val="20"/>
                <w:szCs w:val="20"/>
                <w:color w:val="auto"/>
              </w:rPr>
            </w:pPr>
            <w:r>
              <w:rPr>
                <w:rFonts w:ascii="Arial" w:cs="Arial" w:eastAsia="Arial" w:hAnsi="Arial"/>
                <w:sz w:val="14"/>
                <w:szCs w:val="14"/>
                <w:b w:val="1"/>
                <w:bCs w:val="1"/>
                <w:color w:val="auto"/>
                <w:w w:val="90"/>
              </w:rPr>
              <w:t>Value</w:t>
            </w:r>
          </w:p>
        </w:tc>
        <w:tc>
          <w:tcPr>
            <w:tcW w:w="1100" w:type="dxa"/>
            <w:vAlign w:val="bottom"/>
          </w:tcPr>
          <w:p>
            <w:pPr>
              <w:jc w:val="right"/>
              <w:ind w:right="294"/>
              <w:spacing w:after="0" w:line="12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340" w:type="dxa"/>
            <w:vAlign w:val="bottom"/>
            <w:tcBorders>
              <w:bottom w:val="single" w:sz="8" w:color="auto"/>
            </w:tcBorders>
            <w:gridSpan w:val="5"/>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(Dollars in millions)</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One year or less</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309</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6860" w:type="dxa"/>
            <w:vAlign w:val="bottom"/>
            <w:gridSpan w:val="3"/>
          </w:tcPr>
          <w:p>
            <w:pPr>
              <w:ind w:left="40"/>
              <w:spacing w:after="0"/>
              <w:rPr>
                <w:sz w:val="20"/>
                <w:szCs w:val="20"/>
                <w:color w:val="auto"/>
              </w:rPr>
            </w:pPr>
            <w:r>
              <w:rPr>
                <w:rFonts w:ascii="Arial" w:cs="Arial" w:eastAsia="Arial" w:hAnsi="Arial"/>
                <w:sz w:val="18"/>
                <w:szCs w:val="18"/>
                <w:color w:val="auto"/>
              </w:rPr>
              <w:t>After one year through five years</w:t>
            </w: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2,035</w:t>
            </w:r>
          </w:p>
        </w:tc>
        <w:tc>
          <w:tcPr>
            <w:tcW w:w="100" w:type="dxa"/>
            <w:vAlign w:val="bottom"/>
          </w:tcPr>
          <w:p>
            <w:pPr>
              <w:spacing w:after="0"/>
              <w:rPr>
                <w:sz w:val="21"/>
                <w:szCs w:val="21"/>
                <w:color w:val="auto"/>
              </w:rPr>
            </w:pPr>
          </w:p>
        </w:tc>
        <w:tc>
          <w:tcPr>
            <w:tcW w:w="1100" w:type="dxa"/>
            <w:vAlign w:val="bottom"/>
          </w:tcPr>
          <w:p>
            <w:pPr>
              <w:jc w:val="right"/>
              <w:ind w:right="97"/>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2,077</w:t>
            </w:r>
          </w:p>
        </w:tc>
        <w:tc>
          <w:tcPr>
            <w:tcW w:w="100" w:type="dxa"/>
            <w:vAlign w:val="bottom"/>
          </w:tcPr>
          <w:p>
            <w:pPr>
              <w:spacing w:after="0"/>
              <w:rPr>
                <w:sz w:val="21"/>
                <w:szCs w:val="21"/>
                <w:color w:val="auto"/>
              </w:rPr>
            </w:pP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After five years through ten years</w:t>
            </w: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43"/>
        </w:trPr>
        <w:tc>
          <w:tcPr>
            <w:tcW w:w="6860" w:type="dxa"/>
            <w:vAlign w:val="bottom"/>
            <w:gridSpan w:val="3"/>
          </w:tcPr>
          <w:p>
            <w:pPr>
              <w:ind w:left="40"/>
              <w:spacing w:after="0"/>
              <w:rPr>
                <w:sz w:val="20"/>
                <w:szCs w:val="20"/>
                <w:color w:val="auto"/>
              </w:rPr>
            </w:pPr>
            <w:r>
              <w:rPr>
                <w:rFonts w:ascii="Arial" w:cs="Arial" w:eastAsia="Arial" w:hAnsi="Arial"/>
                <w:sz w:val="18"/>
                <w:szCs w:val="18"/>
                <w:color w:val="auto"/>
              </w:rPr>
              <w:t>After ten years</w:t>
            </w:r>
          </w:p>
        </w:tc>
        <w:tc>
          <w:tcPr>
            <w:tcW w:w="3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100" w:type="dxa"/>
            <w:vAlign w:val="bottom"/>
          </w:tcPr>
          <w:p>
            <w:pPr>
              <w:jc w:val="right"/>
              <w:ind w:right="97"/>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100" w:type="dxa"/>
            <w:vAlign w:val="bottom"/>
          </w:tcPr>
          <w:p>
            <w:pPr>
              <w:jc w:val="right"/>
              <w:ind w:right="94"/>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Mortgage-backed/asset-backed securities</w:t>
            </w: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2,964</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3,025</w:t>
            </w:r>
          </w:p>
        </w:tc>
        <w:tc>
          <w:tcPr>
            <w:tcW w:w="100" w:type="dxa"/>
            <w:vAlign w:val="bottom"/>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620" w:type="dxa"/>
            <w:vAlign w:val="bottom"/>
            <w:tcBorders>
              <w:bottom w:val="single" w:sz="8" w:color="CCEEFF"/>
            </w:tcBorders>
          </w:tcPr>
          <w:p>
            <w:pPr>
              <w:spacing w:after="0"/>
              <w:rPr>
                <w:sz w:val="5"/>
                <w:szCs w:val="5"/>
                <w:color w:val="auto"/>
              </w:rPr>
            </w:pPr>
          </w:p>
        </w:tc>
        <w:tc>
          <w:tcPr>
            <w:tcW w:w="62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Subject to call</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1,772</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1,796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Expected maturities may differ from contractual maturities because certain borrowers have the right to call or prepay obligations with or without call or prepayment penalties. Included above in amounts subject to call are $1,450 million and $1,469 million in amortized cost and fair value, respectively, of fixed maturity securities with make-whole call provisions as of December 31, 2014.</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Fixed maturity securities valued at approximately $141 million and $129 million were on deposit with various governmental authorities at December 31, 2014 and 2013, respectively, as required by law.</w:t>
      </w:r>
    </w:p>
    <w:p>
      <w:pPr>
        <w:spacing w:after="0" w:line="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Equity securities are carried at fair value. The change in unrealized gains on equity securities for the years ended December 31, 2014, 2013 and 2012 was a net increase of $8 million, $30 million, and $12 million, respectively.</w:t>
      </w:r>
    </w:p>
    <w:p>
      <w:pPr>
        <w:spacing w:after="0" w:line="3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investments at December 31, 2014 and 2013 included investments in banks at a cost basis of $372 million and $378 million, respectively, and a fair value of $380 million and $381 million, respectively. Our investments at December 31, 2014 and 2013 included investments in insurance companies at a cost basis of $52 million and $49 million, respectively, and a fair value of $53 million and $52 million, respectively.</w:t>
      </w:r>
    </w:p>
    <w:p>
      <w:pPr>
        <w:spacing w:after="0" w:line="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unrealized losses on investment securities and the fair value of the related securities, aggregated by investment category and length of time that individual securities have been in a continuous unrealized loss position at December 31, 2014 and 2013 are as follows (in millions):</w:t>
      </w:r>
    </w:p>
    <w:p>
      <w:pPr>
        <w:spacing w:after="0" w:line="19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December 31, 2014</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335"/>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Total</w:t>
            </w:r>
          </w:p>
        </w:tc>
        <w:tc>
          <w:tcPr>
            <w:tcW w:w="880" w:type="dxa"/>
            <w:vAlign w:val="bottom"/>
            <w:tcBorders>
              <w:bottom w:val="single" w:sz="8" w:color="auto"/>
            </w:tcBorders>
          </w:tcPr>
          <w:p>
            <w:pPr>
              <w:spacing w:after="0"/>
              <w:rPr>
                <w:sz w:val="16"/>
                <w:szCs w:val="16"/>
                <w:color w:val="auto"/>
              </w:rPr>
            </w:pPr>
          </w:p>
        </w:tc>
      </w:tr>
      <w:tr>
        <w:trPr>
          <w:trHeight w:val="152"/>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Unrealized</w:t>
            </w:r>
          </w:p>
        </w:tc>
        <w:tc>
          <w:tcPr>
            <w:tcW w:w="220" w:type="dxa"/>
            <w:vAlign w:val="bottom"/>
          </w:tcPr>
          <w:p>
            <w:pPr>
              <w:spacing w:after="0"/>
              <w:rPr>
                <w:sz w:val="13"/>
                <w:szCs w:val="13"/>
                <w:color w:val="auto"/>
              </w:rPr>
            </w:pPr>
          </w:p>
        </w:tc>
        <w:tc>
          <w:tcPr>
            <w:tcW w:w="90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3"/>
                <w:szCs w:val="13"/>
                <w:color w:val="auto"/>
              </w:rPr>
            </w:pPr>
          </w:p>
        </w:tc>
        <w:tc>
          <w:tcPr>
            <w:tcW w:w="700" w:type="dxa"/>
            <w:vAlign w:val="bottom"/>
          </w:tcPr>
          <w:p>
            <w:pPr>
              <w:jc w:val="right"/>
              <w:ind w:right="195"/>
              <w:spacing w:after="0" w:line="15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95"/>
              <w:spacing w:after="0" w:line="153" w:lineRule="exact"/>
              <w:rPr>
                <w:sz w:val="20"/>
                <w:szCs w:val="20"/>
                <w:color w:val="auto"/>
              </w:rPr>
            </w:pPr>
            <w:r>
              <w:rPr>
                <w:rFonts w:ascii="Arial" w:cs="Arial" w:eastAsia="Arial" w:hAnsi="Arial"/>
                <w:sz w:val="14"/>
                <w:szCs w:val="14"/>
                <w:b w:val="1"/>
                <w:bCs w:val="1"/>
                <w:color w:val="auto"/>
                <w:w w:val="95"/>
              </w:rPr>
              <w:t>Unrealized</w:t>
            </w:r>
          </w:p>
        </w:tc>
      </w:tr>
      <w:tr>
        <w:trPr>
          <w:trHeight w:val="192"/>
        </w:trPr>
        <w:tc>
          <w:tcPr>
            <w:tcW w:w="4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6"/>
                <w:szCs w:val="16"/>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6"/>
                <w:szCs w:val="16"/>
                <w:color w:val="auto"/>
              </w:rPr>
            </w:pPr>
          </w:p>
        </w:tc>
        <w:tc>
          <w:tcPr>
            <w:tcW w:w="700" w:type="dxa"/>
            <w:vAlign w:val="bottom"/>
          </w:tcPr>
          <w:p>
            <w:pPr>
              <w:jc w:val="right"/>
              <w:ind w:right="155"/>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235"/>
              <w:spacing w:after="0"/>
              <w:rPr>
                <w:sz w:val="20"/>
                <w:szCs w:val="20"/>
                <w:color w:val="auto"/>
              </w:rPr>
            </w:pPr>
            <w:r>
              <w:rPr>
                <w:rFonts w:ascii="Arial" w:cs="Arial" w:eastAsia="Arial" w:hAnsi="Arial"/>
                <w:sz w:val="14"/>
                <w:szCs w:val="14"/>
                <w:b w:val="1"/>
                <w:bCs w:val="1"/>
                <w:color w:val="auto"/>
              </w:rPr>
              <w:t>Losses</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Corporate debt securities</w:t>
            </w:r>
          </w:p>
        </w:tc>
        <w:tc>
          <w:tcPr>
            <w:tcW w:w="2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682</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w:t>
            </w:r>
          </w:p>
        </w:tc>
        <w:tc>
          <w:tcPr>
            <w:tcW w:w="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government bonds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220" w:type="dxa"/>
            <w:vAlign w:val="bottom"/>
          </w:tcPr>
          <w:p>
            <w:pPr>
              <w:spacing w:after="0"/>
              <w:rPr>
                <w:sz w:val="21"/>
                <w:szCs w:val="21"/>
                <w:color w:val="auto"/>
              </w:rPr>
            </w:pP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37"/>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57"/>
        </w:trPr>
        <w:tc>
          <w:tcPr>
            <w:tcW w:w="4700" w:type="dxa"/>
            <w:vAlign w:val="bottom"/>
          </w:tcPr>
          <w:p>
            <w:pPr>
              <w:ind w:left="280"/>
              <w:spacing w:after="0"/>
              <w:rPr>
                <w:sz w:val="20"/>
                <w:szCs w:val="20"/>
                <w:color w:val="auto"/>
              </w:rPr>
            </w:pPr>
            <w:r>
              <w:rPr>
                <w:rFonts w:ascii="Arial" w:cs="Arial" w:eastAsia="Arial" w:hAnsi="Arial"/>
                <w:sz w:val="18"/>
                <w:szCs w:val="18"/>
                <w:color w:val="auto"/>
              </w:rPr>
              <w:t>Total temporarily impaired securities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770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662"/>
        </w:trPr>
        <w:tc>
          <w:tcPr>
            <w:tcW w:w="4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88" w:name="page89"/>
    <w:bookmarkEnd w:id="88"/>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December 31, 2013</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355"/>
              <w:spacing w:after="0"/>
              <w:rPr>
                <w:sz w:val="20"/>
                <w:szCs w:val="20"/>
                <w:color w:val="auto"/>
              </w:rPr>
            </w:pPr>
            <w:r>
              <w:rPr>
                <w:rFonts w:ascii="Arial" w:cs="Arial" w:eastAsia="Arial" w:hAnsi="Arial"/>
                <w:sz w:val="14"/>
                <w:szCs w:val="14"/>
                <w:b w:val="1"/>
                <w:bCs w:val="1"/>
                <w:color w:val="auto"/>
              </w:rPr>
              <w:t>Less than 12 Months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335"/>
              <w:spacing w:after="0"/>
              <w:rPr>
                <w:sz w:val="20"/>
                <w:szCs w:val="20"/>
                <w:color w:val="auto"/>
              </w:rPr>
            </w:pPr>
            <w:r>
              <w:rPr>
                <w:rFonts w:ascii="Arial" w:cs="Arial" w:eastAsia="Arial" w:hAnsi="Arial"/>
                <w:sz w:val="14"/>
                <w:szCs w:val="14"/>
                <w:b w:val="1"/>
                <w:bCs w:val="1"/>
                <w:color w:val="auto"/>
              </w:rPr>
              <w:t>12 Months or Longer</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5"/>
              </w:rPr>
              <w:t>Total</w:t>
            </w:r>
          </w:p>
        </w:tc>
        <w:tc>
          <w:tcPr>
            <w:tcW w:w="880" w:type="dxa"/>
            <w:vAlign w:val="bottom"/>
            <w:tcBorders>
              <w:bottom w:val="single" w:sz="8" w:color="auto"/>
            </w:tcBorders>
          </w:tcPr>
          <w:p>
            <w:pPr>
              <w:spacing w:after="0"/>
              <w:rPr>
                <w:sz w:val="16"/>
                <w:szCs w:val="16"/>
                <w:color w:val="auto"/>
              </w:rPr>
            </w:pPr>
          </w:p>
        </w:tc>
      </w:tr>
      <w:tr>
        <w:trPr>
          <w:trHeight w:val="152"/>
        </w:trPr>
        <w:tc>
          <w:tcPr>
            <w:tcW w:w="4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3"/>
                <w:szCs w:val="13"/>
                <w:color w:val="auto"/>
              </w:rPr>
            </w:pPr>
          </w:p>
        </w:tc>
        <w:tc>
          <w:tcPr>
            <w:tcW w:w="10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3"/>
                <w:szCs w:val="13"/>
                <w:color w:val="auto"/>
              </w:rPr>
            </w:pPr>
          </w:p>
        </w:tc>
        <w:tc>
          <w:tcPr>
            <w:tcW w:w="9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3"/>
                <w:szCs w:val="13"/>
                <w:color w:val="auto"/>
              </w:rPr>
            </w:pPr>
          </w:p>
        </w:tc>
        <w:tc>
          <w:tcPr>
            <w:tcW w:w="98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3"/>
                <w:szCs w:val="13"/>
                <w:color w:val="auto"/>
              </w:rPr>
            </w:pPr>
          </w:p>
        </w:tc>
        <w:tc>
          <w:tcPr>
            <w:tcW w:w="700" w:type="dxa"/>
            <w:vAlign w:val="bottom"/>
          </w:tcPr>
          <w:p>
            <w:pPr>
              <w:jc w:val="right"/>
              <w:ind w:right="195"/>
              <w:spacing w:after="0" w:line="15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95"/>
              <w:spacing w:after="0" w:line="153" w:lineRule="exact"/>
              <w:rPr>
                <w:sz w:val="20"/>
                <w:szCs w:val="20"/>
                <w:color w:val="auto"/>
              </w:rPr>
            </w:pPr>
            <w:r>
              <w:rPr>
                <w:rFonts w:ascii="Arial" w:cs="Arial" w:eastAsia="Arial" w:hAnsi="Arial"/>
                <w:sz w:val="14"/>
                <w:szCs w:val="14"/>
                <w:b w:val="1"/>
                <w:bCs w:val="1"/>
                <w:color w:val="auto"/>
                <w:w w:val="95"/>
              </w:rPr>
              <w:t>Unrealized</w:t>
            </w:r>
          </w:p>
        </w:tc>
      </w:tr>
      <w:tr>
        <w:trPr>
          <w:trHeight w:val="192"/>
        </w:trPr>
        <w:tc>
          <w:tcPr>
            <w:tcW w:w="4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Losses</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Losses</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States and political subdivisions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7"/>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123</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debt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220" w:type="dxa"/>
            <w:vAlign w:val="bottom"/>
          </w:tcPr>
          <w:p>
            <w:pPr>
              <w:spacing w:after="0"/>
              <w:rPr>
                <w:sz w:val="21"/>
                <w:szCs w:val="21"/>
                <w:color w:val="auto"/>
              </w:rPr>
            </w:pPr>
          </w:p>
        </w:tc>
        <w:tc>
          <w:tcPr>
            <w:tcW w:w="820" w:type="dxa"/>
            <w:vAlign w:val="bottom"/>
          </w:tcPr>
          <w:p>
            <w:pPr>
              <w:jc w:val="right"/>
              <w:ind w:right="17"/>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4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Foreign government bonds and other fixed maturity securities</w:t>
            </w: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7"/>
        </w:trPr>
        <w:tc>
          <w:tcPr>
            <w:tcW w:w="4700" w:type="dxa"/>
            <w:vAlign w:val="bottom"/>
          </w:tcPr>
          <w:p>
            <w:pPr>
              <w:ind w:left="280"/>
              <w:spacing w:after="0"/>
              <w:rPr>
                <w:sz w:val="20"/>
                <w:szCs w:val="20"/>
                <w:color w:val="auto"/>
              </w:rPr>
            </w:pPr>
            <w:r>
              <w:rPr>
                <w:rFonts w:ascii="Arial" w:cs="Arial" w:eastAsia="Arial" w:hAnsi="Arial"/>
                <w:sz w:val="18"/>
                <w:szCs w:val="18"/>
                <w:color w:val="auto"/>
              </w:rPr>
              <w:t>Total temporarily impaired securities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602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ind w:left="50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unrealized losses for the corporate debt securities were primarily caused by widening credit spreads that we consider to be temporary rather than changes in credit quality. We expect to recover the entire amortized cost basis of our temporarily impaired fixed maturity securities as we do not intend to sell these securities and we do not believe that we will be required to sell the fixed maturity securities before recovery of the cost basis. For these reasons, we do not consider these securities other-than-temporarily impaired at December 31, 2014. It is reasonably possible that declines in fair value below cost not considered other-than-temporary in the current period could be considered to be other-than-temporary in a future period and earnings would be reduced to the extent of the impairment.</w:t>
      </w:r>
    </w:p>
    <w:p>
      <w:pPr>
        <w:spacing w:after="0" w:line="5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unrealized losses for the equity securities available for sale were primarily caused by market volatility. We expect to recover the entire amortized cost basis of our temporarily impaired equity securities available for sale as we do not intend to sell these securities and we do not believe that we will be required to sell the equity securities available for sale before recovery of the cost basis. For these reasons, we do not consider these securities other-than-temporarily impaired at December 31, 2014. It is reasonably possible that declines in fair value below cost not considered other-than-temporary in the current period could be considered to be other-than-temporary in a future period and earnings would be reduced to the extent of the impairment.</w:t>
      </w:r>
    </w:p>
    <w:p>
      <w:pPr>
        <w:spacing w:after="0" w:line="2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years ended December 31, 2014, 2013 and 2012 we incurred impairment charges relating to investments that were determined to be other-than-temporarily impaired, which resulted in impairment charges of $6 million, $1 million and $3 million, respectively. Impairment charges during all three years were for fixed maturity securities that we determined the credit risk of these holdings was high and the ability of the issuer to pay the full amount of the principal outstanding was unlikely.</w:t>
      </w:r>
    </w:p>
    <w:p>
      <w:pPr>
        <w:spacing w:after="0" w:line="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December 31, 2014, we held $5 million in securities for which other-than-temporary impairments had been previously recognized. In 2013, we held no investments for which an other-than-temporary impairment had been previously recognized. It is possible that future events may lead us to recognize potential future impairment losses related to our investment portfolio and that unanticipated future events may lead us to dispose of certain investment holdings and recognize the effects of any market movements in our condensed consolidated financial statements.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1" w:right="239" w:bottom="1440" w:gutter="0" w:footer="0" w:header="0"/>
        </w:sectPr>
      </w:pPr>
    </w:p>
    <w:bookmarkStart w:id="89" w:name="page90"/>
    <w:bookmarkEnd w:id="89"/>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following table presents realized gains and losses on investments and other assets and proceeds from the sale or maturity of investments and other assets for the years ended December 31, 2014, 2013, and 2012,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w w:val="97"/>
              </w:rPr>
              <w:t>Year ended December 31, 2014</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3"/>
                <w:szCs w:val="13"/>
                <w:color w:val="auto"/>
              </w:rPr>
            </w:pPr>
          </w:p>
        </w:tc>
        <w:tc>
          <w:tcPr>
            <w:tcW w:w="780" w:type="dxa"/>
            <w:vAlign w:val="bottom"/>
            <w:vMerge w:val="restart"/>
          </w:tcPr>
          <w:p>
            <w:pPr>
              <w:jc w:val="center"/>
              <w:ind w:right="14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7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Net</w:t>
            </w: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9"/>
              </w:rPr>
              <w:t>Gross Proceeds</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Realized</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4"/>
              </w:rPr>
              <w:t>Realized</w:t>
            </w:r>
          </w:p>
        </w:tc>
        <w:tc>
          <w:tcPr>
            <w:tcW w:w="220" w:type="dxa"/>
            <w:vAlign w:val="bottom"/>
          </w:tcPr>
          <w:p>
            <w:pPr>
              <w:spacing w:after="0"/>
              <w:rPr>
                <w:sz w:val="12"/>
                <w:szCs w:val="12"/>
                <w:color w:val="auto"/>
              </w:rPr>
            </w:pPr>
          </w:p>
        </w:tc>
        <w:tc>
          <w:tcPr>
            <w:tcW w:w="78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Realized</w:t>
            </w: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2"/>
                <w:szCs w:val="12"/>
                <w:color w:val="auto"/>
              </w:rPr>
            </w:pPr>
          </w:p>
        </w:tc>
        <w:tc>
          <w:tcPr>
            <w:tcW w:w="78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6"/>
              </w:rPr>
              <w:t>(Losses)</w:t>
            </w: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Sale/Maturity</w:t>
            </w:r>
          </w:p>
        </w:tc>
        <w:tc>
          <w:tcPr>
            <w:tcW w:w="0" w:type="dxa"/>
            <w:vAlign w:val="bottom"/>
          </w:tcPr>
          <w:p>
            <w:pPr>
              <w:spacing w:after="0"/>
              <w:rPr>
                <w:sz w:val="1"/>
                <w:szCs w:val="1"/>
                <w:color w:val="auto"/>
              </w:rPr>
            </w:pPr>
          </w:p>
        </w:tc>
      </w:tr>
      <w:tr>
        <w:trPr>
          <w:trHeight w:val="250"/>
        </w:trPr>
        <w:tc>
          <w:tcPr>
            <w:tcW w:w="7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140" w:type="dxa"/>
            <w:vAlign w:val="bottom"/>
          </w:tcPr>
          <w:p>
            <w:pPr>
              <w:spacing w:after="0"/>
              <w:rPr>
                <w:sz w:val="21"/>
                <w:szCs w:val="21"/>
                <w:color w:val="auto"/>
              </w:rPr>
            </w:pPr>
          </w:p>
        </w:tc>
        <w:tc>
          <w:tcPr>
            <w:tcW w:w="68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780" w:type="dxa"/>
            <w:vAlign w:val="bottom"/>
          </w:tcPr>
          <w:p>
            <w:pPr>
              <w:jc w:val="right"/>
              <w:ind w:right="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long-term investments</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7"/>
        </w:trPr>
        <w:tc>
          <w:tcPr>
            <w:tcW w:w="7660" w:type="dxa"/>
            <w:vAlign w:val="bottom"/>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1,241</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7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w w:val="97"/>
              </w:rPr>
              <w:t>Year ended December 31, 2013</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3"/>
                <w:szCs w:val="13"/>
                <w:color w:val="auto"/>
              </w:rPr>
            </w:pPr>
          </w:p>
        </w:tc>
        <w:tc>
          <w:tcPr>
            <w:tcW w:w="780" w:type="dxa"/>
            <w:vAlign w:val="bottom"/>
            <w:vMerge w:val="restart"/>
          </w:tcPr>
          <w:p>
            <w:pPr>
              <w:jc w:val="center"/>
              <w:ind w:right="14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7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Net</w:t>
            </w: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9"/>
              </w:rPr>
              <w:t>Gross Proceeds</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Realized</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4"/>
              </w:rPr>
              <w:t>Realized</w:t>
            </w:r>
          </w:p>
        </w:tc>
        <w:tc>
          <w:tcPr>
            <w:tcW w:w="220" w:type="dxa"/>
            <w:vAlign w:val="bottom"/>
          </w:tcPr>
          <w:p>
            <w:pPr>
              <w:spacing w:after="0"/>
              <w:rPr>
                <w:sz w:val="12"/>
                <w:szCs w:val="12"/>
                <w:color w:val="auto"/>
              </w:rPr>
            </w:pPr>
          </w:p>
        </w:tc>
        <w:tc>
          <w:tcPr>
            <w:tcW w:w="78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Realized</w:t>
            </w: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2"/>
                <w:szCs w:val="12"/>
                <w:color w:val="auto"/>
              </w:rPr>
            </w:pPr>
          </w:p>
        </w:tc>
        <w:tc>
          <w:tcPr>
            <w:tcW w:w="78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6"/>
              </w:rPr>
              <w:t>(Losses)</w:t>
            </w: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Sale/Maturity</w:t>
            </w:r>
          </w:p>
        </w:tc>
        <w:tc>
          <w:tcPr>
            <w:tcW w:w="0" w:type="dxa"/>
            <w:vAlign w:val="bottom"/>
          </w:tcPr>
          <w:p>
            <w:pPr>
              <w:spacing w:after="0"/>
              <w:rPr>
                <w:sz w:val="1"/>
                <w:szCs w:val="1"/>
                <w:color w:val="auto"/>
              </w:rPr>
            </w:pPr>
          </w:p>
        </w:tc>
      </w:tr>
      <w:tr>
        <w:trPr>
          <w:trHeight w:val="250"/>
        </w:trPr>
        <w:tc>
          <w:tcPr>
            <w:tcW w:w="7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w:t>
            </w:r>
          </w:p>
        </w:tc>
        <w:tc>
          <w:tcPr>
            <w:tcW w:w="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Preferred stock available for sale</w:t>
            </w:r>
          </w:p>
        </w:tc>
        <w:tc>
          <w:tcPr>
            <w:tcW w:w="140" w:type="dxa"/>
            <w:vAlign w:val="bottom"/>
          </w:tcPr>
          <w:p>
            <w:pPr>
              <w:spacing w:after="0"/>
              <w:rPr>
                <w:sz w:val="21"/>
                <w:szCs w:val="21"/>
                <w:color w:val="auto"/>
              </w:rPr>
            </w:pPr>
          </w:p>
        </w:tc>
        <w:tc>
          <w:tcPr>
            <w:tcW w:w="680" w:type="dxa"/>
            <w:vAlign w:val="bottom"/>
          </w:tcPr>
          <w:p>
            <w:pPr>
              <w:jc w:val="right"/>
              <w:ind w:right="39"/>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21"/>
                <w:szCs w:val="21"/>
                <w:color w:val="auto"/>
              </w:rPr>
            </w:pPr>
          </w:p>
        </w:tc>
        <w:tc>
          <w:tcPr>
            <w:tcW w:w="780" w:type="dxa"/>
            <w:vAlign w:val="bottom"/>
          </w:tcPr>
          <w:p>
            <w:pPr>
              <w:jc w:val="right"/>
              <w:ind w:right="6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1"/>
                <w:szCs w:val="21"/>
                <w:color w:val="auto"/>
              </w:rPr>
            </w:pPr>
          </w:p>
        </w:tc>
        <w:tc>
          <w:tcPr>
            <w:tcW w:w="660" w:type="dxa"/>
            <w:vAlign w:val="bottom"/>
          </w:tcPr>
          <w:p>
            <w:pPr>
              <w:jc w:val="right"/>
              <w:ind w:right="17"/>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available for sale</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long-term investments</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7660" w:type="dxa"/>
            <w:vAlign w:val="bottom"/>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76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w w:val="97"/>
              </w:rPr>
              <w:t>Year ended December 31, 2012</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83"/>
              </w:rPr>
              <w:t>Gross</w:t>
            </w:r>
          </w:p>
        </w:tc>
        <w:tc>
          <w:tcPr>
            <w:tcW w:w="220" w:type="dxa"/>
            <w:vAlign w:val="bottom"/>
          </w:tcPr>
          <w:p>
            <w:pPr>
              <w:spacing w:after="0"/>
              <w:rPr>
                <w:sz w:val="13"/>
                <w:szCs w:val="13"/>
                <w:color w:val="auto"/>
              </w:rPr>
            </w:pPr>
          </w:p>
        </w:tc>
        <w:tc>
          <w:tcPr>
            <w:tcW w:w="780" w:type="dxa"/>
            <w:vAlign w:val="bottom"/>
            <w:vMerge w:val="restart"/>
          </w:tcPr>
          <w:p>
            <w:pPr>
              <w:jc w:val="center"/>
              <w:ind w:right="14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3"/>
                <w:szCs w:val="13"/>
                <w:color w:val="auto"/>
              </w:rPr>
            </w:pPr>
          </w:p>
        </w:tc>
        <w:tc>
          <w:tcPr>
            <w:tcW w:w="7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7"/>
              </w:rPr>
              <w:t>Net</w:t>
            </w: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9"/>
              </w:rPr>
              <w:t>Gross Proceeds</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Realized</w:t>
            </w: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4"/>
              </w:rPr>
              <w:t>Realized</w:t>
            </w:r>
          </w:p>
        </w:tc>
        <w:tc>
          <w:tcPr>
            <w:tcW w:w="220" w:type="dxa"/>
            <w:vAlign w:val="bottom"/>
          </w:tcPr>
          <w:p>
            <w:pPr>
              <w:spacing w:after="0"/>
              <w:rPr>
                <w:sz w:val="12"/>
                <w:szCs w:val="12"/>
                <w:color w:val="auto"/>
              </w:rPr>
            </w:pPr>
          </w:p>
        </w:tc>
        <w:tc>
          <w:tcPr>
            <w:tcW w:w="78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Realized</w:t>
            </w:r>
          </w:p>
        </w:tc>
        <w:tc>
          <w:tcPr>
            <w:tcW w:w="14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Gains</w:t>
            </w:r>
          </w:p>
        </w:tc>
        <w:tc>
          <w:tcPr>
            <w:tcW w:w="240" w:type="dxa"/>
            <w:vAlign w:val="bottom"/>
          </w:tcPr>
          <w:p>
            <w:pPr>
              <w:spacing w:after="0"/>
              <w:rPr>
                <w:sz w:val="12"/>
                <w:szCs w:val="12"/>
                <w:color w:val="auto"/>
              </w:rPr>
            </w:pPr>
          </w:p>
        </w:tc>
        <w:tc>
          <w:tcPr>
            <w:tcW w:w="780" w:type="dxa"/>
            <w:vAlign w:val="bottom"/>
          </w:tcPr>
          <w:p>
            <w:pPr>
              <w:jc w:val="center"/>
              <w:ind w:right="152"/>
              <w:spacing w:after="0" w:line="149" w:lineRule="exact"/>
              <w:rPr>
                <w:sz w:val="20"/>
                <w:szCs w:val="20"/>
                <w:color w:val="auto"/>
              </w:rPr>
            </w:pPr>
            <w:r>
              <w:rPr>
                <w:rFonts w:ascii="Arial" w:cs="Arial" w:eastAsia="Arial" w:hAnsi="Arial"/>
                <w:sz w:val="14"/>
                <w:szCs w:val="14"/>
                <w:b w:val="1"/>
                <w:bCs w:val="1"/>
                <w:color w:val="auto"/>
                <w:w w:val="96"/>
              </w:rPr>
              <w:t>from</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2"/>
              </w:rPr>
              <w:t>Gains</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82"/>
              </w:rPr>
              <w:t>Losses</w:t>
            </w: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6"/>
              </w:rPr>
              <w:t>(Losses)</w:t>
            </w: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Sale/Maturity</w:t>
            </w:r>
          </w:p>
        </w:tc>
        <w:tc>
          <w:tcPr>
            <w:tcW w:w="0" w:type="dxa"/>
            <w:vAlign w:val="bottom"/>
          </w:tcPr>
          <w:p>
            <w:pPr>
              <w:spacing w:after="0"/>
              <w:rPr>
                <w:sz w:val="1"/>
                <w:szCs w:val="1"/>
                <w:color w:val="auto"/>
              </w:rPr>
            </w:pPr>
          </w:p>
        </w:tc>
      </w:tr>
      <w:tr>
        <w:trPr>
          <w:trHeight w:val="244"/>
        </w:trPr>
        <w:tc>
          <w:tcPr>
            <w:tcW w:w="7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7660" w:type="dxa"/>
            <w:vAlign w:val="bottom"/>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39"/>
              <w:spacing w:after="0"/>
              <w:rPr>
                <w:sz w:val="20"/>
                <w:szCs w:val="20"/>
                <w:color w:val="auto"/>
              </w:rPr>
            </w:pPr>
            <w:r>
              <w:rPr>
                <w:rFonts w:ascii="Arial" w:cs="Arial" w:eastAsia="Arial" w:hAnsi="Arial"/>
                <w:sz w:val="18"/>
                <w:szCs w:val="18"/>
                <w:color w:val="auto"/>
              </w:rPr>
              <w:t>16</w:t>
            </w:r>
          </w:p>
        </w:tc>
        <w:tc>
          <w:tcPr>
            <w:tcW w:w="220" w:type="dxa"/>
            <w:vAlign w:val="bottom"/>
          </w:tcPr>
          <w:p>
            <w:pPr>
              <w:ind w:left="14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ind w:right="60"/>
              <w:spacing w:after="0"/>
              <w:rPr>
                <w:sz w:val="20"/>
                <w:szCs w:val="20"/>
                <w:color w:val="auto"/>
              </w:rPr>
            </w:pPr>
            <w:r>
              <w:rPr>
                <w:rFonts w:ascii="Arial" w:cs="Arial" w:eastAsia="Arial" w:hAnsi="Arial"/>
                <w:sz w:val="18"/>
                <w:szCs w:val="18"/>
                <w:color w:val="auto"/>
              </w:rPr>
              <w:t>(5)</w:t>
            </w:r>
          </w:p>
        </w:tc>
        <w:tc>
          <w:tcPr>
            <w:tcW w:w="14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7"/>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2"/>
                <w:szCs w:val="22"/>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Preferred stock available for sale</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Equity securities available for sale</w:t>
            </w:r>
          </w:p>
        </w:tc>
        <w:tc>
          <w:tcPr>
            <w:tcW w:w="140" w:type="dxa"/>
            <w:vAlign w:val="bottom"/>
          </w:tcPr>
          <w:p>
            <w:pPr>
              <w:spacing w:after="0"/>
              <w:rPr>
                <w:sz w:val="21"/>
                <w:szCs w:val="21"/>
                <w:color w:val="auto"/>
              </w:rPr>
            </w:pPr>
          </w:p>
        </w:tc>
        <w:tc>
          <w:tcPr>
            <w:tcW w:w="680" w:type="dxa"/>
            <w:vAlign w:val="bottom"/>
          </w:tcPr>
          <w:p>
            <w:pPr>
              <w:jc w:val="right"/>
              <w:ind w:right="39"/>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1"/>
                <w:szCs w:val="21"/>
                <w:color w:val="auto"/>
              </w:rPr>
            </w:pPr>
          </w:p>
        </w:tc>
        <w:tc>
          <w:tcPr>
            <w:tcW w:w="780" w:type="dxa"/>
            <w:vAlign w:val="bottom"/>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60" w:type="dxa"/>
            <w:vAlign w:val="bottom"/>
          </w:tcPr>
          <w:p>
            <w:pPr>
              <w:jc w:val="right"/>
              <w:ind w:right="17"/>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consolidation of O'Charley's and ABRH</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Bargain purchase gain on O'Charley's</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7"/>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early extinguishment of 5.25% bonds</w:t>
            </w: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1,015</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1" w:right="239" w:bottom="1440" w:gutter="0" w:footer="0" w:header="0"/>
        </w:sectPr>
      </w:pPr>
    </w:p>
    <w:bookmarkStart w:id="90" w:name="page91"/>
    <w:bookmarkEnd w:id="90"/>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and investment income consists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6"/>
          </w:tcPr>
          <w:p>
            <w:pPr>
              <w:jc w:val="center"/>
              <w:ind w:left="13"/>
              <w:spacing w:after="0"/>
              <w:rPr>
                <w:sz w:val="20"/>
                <w:szCs w:val="20"/>
                <w:color w:val="auto"/>
              </w:rPr>
            </w:pPr>
            <w:r>
              <w:rPr>
                <w:rFonts w:ascii="Arial" w:cs="Arial" w:eastAsia="Arial" w:hAnsi="Arial"/>
                <w:sz w:val="14"/>
                <w:szCs w:val="14"/>
                <w:b w:val="1"/>
                <w:bCs w:val="1"/>
                <w:color w:val="auto"/>
                <w:w w:val="93"/>
              </w:rPr>
              <w:t>Year Ended December 31,</w:t>
            </w:r>
          </w:p>
        </w:tc>
        <w:tc>
          <w:tcPr>
            <w:tcW w:w="740" w:type="dxa"/>
            <w:vAlign w:val="bottom"/>
            <w:tcBorders>
              <w:bottom w:val="single" w:sz="8" w:color="auto"/>
            </w:tcBorders>
          </w:tcPr>
          <w:p>
            <w:pPr>
              <w:spacing w:after="0"/>
              <w:rPr>
                <w:sz w:val="16"/>
                <w:szCs w:val="16"/>
                <w:color w:val="auto"/>
              </w:rPr>
            </w:pPr>
          </w:p>
        </w:tc>
      </w:tr>
      <w:tr>
        <w:trPr>
          <w:trHeight w:val="264"/>
        </w:trPr>
        <w:tc>
          <w:tcPr>
            <w:tcW w:w="8120" w:type="dxa"/>
            <w:vAlign w:val="bottom"/>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2012</w:t>
            </w:r>
          </w:p>
        </w:tc>
      </w:tr>
      <w:tr>
        <w:trPr>
          <w:trHeight w:val="196"/>
        </w:trPr>
        <w:tc>
          <w:tcPr>
            <w:tcW w:w="8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(In millions)</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660" w:type="dxa"/>
            <w:vAlign w:val="bottom"/>
            <w:tcBorders>
              <w:bottom w:val="single" w:sz="8" w:color="CCEEFF"/>
            </w:tcBorders>
            <w:shd w:val="clear" w:color="auto" w:fill="CCEEFF"/>
          </w:tcPr>
          <w:p>
            <w:pPr>
              <w:jc w:val="right"/>
              <w:ind w:right="47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Fixed maturity securities available for sale</w:t>
            </w:r>
          </w:p>
        </w:tc>
        <w:tc>
          <w:tcPr>
            <w:tcW w:w="660" w:type="dxa"/>
            <w:vAlign w:val="bottom"/>
          </w:tcPr>
          <w:p>
            <w:pPr>
              <w:spacing w:after="0"/>
              <w:rPr>
                <w:sz w:val="21"/>
                <w:szCs w:val="21"/>
                <w:color w:val="auto"/>
              </w:rPr>
            </w:pPr>
          </w:p>
        </w:tc>
        <w:tc>
          <w:tcPr>
            <w:tcW w:w="380" w:type="dxa"/>
            <w:vAlign w:val="bottom"/>
          </w:tcPr>
          <w:p>
            <w:pPr>
              <w:jc w:val="right"/>
              <w:ind w:right="33"/>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117</w:t>
            </w:r>
          </w:p>
        </w:tc>
      </w:tr>
      <w:tr>
        <w:trPr>
          <w:trHeight w:val="27"/>
        </w:trPr>
        <w:tc>
          <w:tcPr>
            <w:tcW w:w="8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securities and preferred stock available for sale</w:t>
            </w:r>
          </w:p>
        </w:tc>
        <w:tc>
          <w:tcPr>
            <w:tcW w:w="6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Other</w:t>
            </w:r>
          </w:p>
        </w:tc>
        <w:tc>
          <w:tcPr>
            <w:tcW w:w="660" w:type="dxa"/>
            <w:vAlign w:val="bottom"/>
          </w:tcPr>
          <w:p>
            <w:pPr>
              <w:spacing w:after="0"/>
              <w:rPr>
                <w:sz w:val="21"/>
                <w:szCs w:val="21"/>
                <w:color w:val="auto"/>
              </w:rPr>
            </w:pPr>
          </w:p>
        </w:tc>
        <w:tc>
          <w:tcPr>
            <w:tcW w:w="380" w:type="dxa"/>
            <w:vAlign w:val="bottom"/>
          </w:tcPr>
          <w:p>
            <w:pPr>
              <w:jc w:val="right"/>
              <w:ind w:right="33"/>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12</w:t>
            </w:r>
          </w:p>
        </w:tc>
      </w:tr>
      <w:tr>
        <w:trPr>
          <w:trHeight w:val="27"/>
        </w:trPr>
        <w:tc>
          <w:tcPr>
            <w:tcW w:w="8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79"/>
              </w:rPr>
              <w:t>126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127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143</w:t>
            </w:r>
          </w:p>
        </w:tc>
      </w:tr>
      <w:tr>
        <w:trPr>
          <w:trHeight w:val="20"/>
        </w:trPr>
        <w:tc>
          <w:tcPr>
            <w:tcW w:w="8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Included in our other long-term investments were fixed-maturity structured notes. The structured notes were carried at fair value (see Note C) and changes in the fair value of these structured notes are recorded as Realized gains and losses in the Consolidated Statements of Earnings. During the third quarter of 2014, all of our outstanding structured notes matured and we received $39 million in cash upon maturity. We held no structured notes at December 31, 2014. The carrying value of the structured notes was $38 million as of December 31, 2013. We recorded a gain of $1 million related to the structured notes in the year ended December 31, 2014, a loss of $3 million related to the structured notes in 2013, and no gain or losses related to the structured notes in 2012.</w:t>
      </w:r>
    </w:p>
    <w:p>
      <w:pPr>
        <w:spacing w:after="0" w:line="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Investments in unconsolidated affiliates are recorded using the equity method of accounting and as of December 31, 2014 and 2013 consisted of the following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Ownership at</w:t>
            </w:r>
          </w:p>
        </w:tc>
        <w:tc>
          <w:tcPr>
            <w:tcW w:w="240" w:type="dxa"/>
            <w:vAlign w:val="bottom"/>
          </w:tcPr>
          <w:p>
            <w:pPr>
              <w:spacing w:after="0"/>
              <w:rPr>
                <w:sz w:val="14"/>
                <w:szCs w:val="14"/>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2"/>
        </w:trPr>
        <w:tc>
          <w:tcPr>
            <w:tcW w:w="7720" w:type="dxa"/>
            <w:vAlign w:val="bottom"/>
          </w:tcPr>
          <w:p>
            <w:pPr>
              <w:spacing w:after="0"/>
              <w:rPr>
                <w:sz w:val="16"/>
                <w:szCs w:val="16"/>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December 31, 2014</w:t>
            </w: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7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Ceridian</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725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43"/>
        </w:trPr>
        <w:tc>
          <w:tcPr>
            <w:tcW w:w="7720" w:type="dxa"/>
            <w:vAlign w:val="bottom"/>
          </w:tcPr>
          <w:p>
            <w:pPr>
              <w:ind w:left="40"/>
              <w:spacing w:after="0"/>
              <w:rPr>
                <w:sz w:val="20"/>
                <w:szCs w:val="20"/>
                <w:color w:val="auto"/>
              </w:rPr>
            </w:pPr>
            <w:r>
              <w:rPr>
                <w:rFonts w:ascii="Arial" w:cs="Arial" w:eastAsia="Arial" w:hAnsi="Arial"/>
                <w:sz w:val="18"/>
                <w:szCs w:val="18"/>
                <w:color w:val="auto"/>
              </w:rPr>
              <w:t>Other</w:t>
            </w:r>
          </w:p>
        </w:tc>
        <w:tc>
          <w:tcPr>
            <w:tcW w:w="1540" w:type="dxa"/>
            <w:vAlign w:val="bottom"/>
            <w:gridSpan w:val="2"/>
          </w:tcPr>
          <w:p>
            <w:pPr>
              <w:ind w:left="720"/>
              <w:spacing w:after="0"/>
              <w:rPr>
                <w:sz w:val="20"/>
                <w:szCs w:val="20"/>
                <w:color w:val="auto"/>
              </w:rPr>
            </w:pPr>
            <w:r>
              <w:rPr>
                <w:rFonts w:ascii="Arial" w:cs="Arial" w:eastAsia="Arial" w:hAnsi="Arial"/>
                <w:sz w:val="18"/>
                <w:szCs w:val="18"/>
                <w:color w:val="auto"/>
              </w:rPr>
              <w:t>various</w:t>
            </w: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77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770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On November 17, 2014, Ceridian completed the exchange of its subsidiary Comdata to FleetCor in a transaction valued at approximately $3.5 billion. We recognized $495 million in equity in earnings of unconsolidated affiliates in the twelve months ending December 31, 2014 as a result of the transaction.</w:t>
      </w:r>
    </w:p>
    <w:p>
      <w:pPr>
        <w:spacing w:after="0" w:line="1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During the year ended December 31, 2013, we purchased $31 million in Ceridian bonds which are included in Fixed maturity securities available for sale on the Consolidated Balance Sheets, and had a fair value of $36 million as of December 31, 2013. During the year ended December 31, 2014, we sold $2 million of the Ceridian bonds. Our remaining investment in Ceridian bonds had a fair value of $32 million as of December 31, 2014.</w:t>
      </w:r>
    </w:p>
    <w:p>
      <w:pPr>
        <w:spacing w:after="0" w:line="13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historically accounted for our equity in Ceridian on a three-month lag. However, during the first quarter of 2014, we began to account for our equity in Ceridian on a real-time basis. The year ended December 31, 2014 includes results for the 15 months ended December 31, 2014. The Ceridian results from October 1, 2013 to December 31, 2013 resulted in recording $4 million in equity in losses of unconsolidated affiliates. The year ended December 31, 2013 includes Ceridian's results for the 12 months ended September 30, 2013 and the year ended December 31, 2012 includes Ceridian's results for the 12 months ended September 30, 2012.</w:t>
      </w:r>
    </w:p>
    <w:p>
      <w:pPr>
        <w:spacing w:after="0" w:line="5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During the fourth quarter of 2013, Ceridian entered into a memorandum of understanding to resolve claims brought by a putative class of U.S. Fueling Merchants. Under the terms of the memorandum of understanding, which will need to be finalized in a definitive settlement agreement and approved by the Court, Ceridian has agreed to make a one-time cash payment of $100 million as part of a $130 million global settlement with other defendants in the lawsuit, and to provide certain prospective relief with respect to specific provisions in its merchant agreements. This settlement will provide Ceridian and affiliated companies with a broad release of claims and will limit their exposure to legal claims by merchants. Our portion of the settlement of $32 million was recorded by us in the first quarter of 2014, as at that time we reported the results Ceridian on a three-month lag.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121" w:right="239" w:bottom="1440" w:gutter="0" w:footer="0" w:header="0"/>
        </w:sectPr>
      </w:pPr>
    </w:p>
    <w:bookmarkStart w:id="91" w:name="page92"/>
    <w:bookmarkEnd w:id="91"/>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Summarized financial information for the periods included in our Consolidated Financial Statements for Ceridian is presented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 2014</w:t>
            </w: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6"/>
              </w:rPr>
              <w:t>September 30, 2013</w:t>
            </w:r>
          </w:p>
        </w:tc>
      </w:tr>
      <w:tr>
        <w:trPr>
          <w:trHeight w:val="196"/>
        </w:trPr>
        <w:tc>
          <w:tcPr>
            <w:tcW w:w="7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20" w:type="dxa"/>
            <w:vAlign w:val="bottom"/>
            <w:gridSpan w:val="4"/>
          </w:tcPr>
          <w:p>
            <w:pPr>
              <w:jc w:val="right"/>
              <w:ind w:right="1291"/>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 before customer funds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1,417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Customer funds</w:t>
            </w:r>
          </w:p>
        </w:tc>
        <w:tc>
          <w:tcPr>
            <w:tcW w:w="20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4,957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3,000</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and other 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4,484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119</w:t>
            </w:r>
          </w:p>
        </w:tc>
      </w:tr>
      <w:tr>
        <w:trPr>
          <w:trHeight w:val="27"/>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8,975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8,709</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30"/>
        </w:trPr>
        <w:tc>
          <w:tcPr>
            <w:tcW w:w="7900" w:type="dxa"/>
            <w:vAlign w:val="bottom"/>
          </w:tcPr>
          <w:p>
            <w:pPr>
              <w:ind w:left="40"/>
              <w:spacing w:after="0"/>
              <w:rPr>
                <w:sz w:val="20"/>
                <w:szCs w:val="20"/>
                <w:color w:val="auto"/>
              </w:rPr>
            </w:pPr>
            <w:r>
              <w:rPr>
                <w:rFonts w:ascii="Arial" w:cs="Arial" w:eastAsia="Arial" w:hAnsi="Arial"/>
                <w:sz w:val="18"/>
                <w:szCs w:val="18"/>
                <w:color w:val="auto"/>
              </w:rPr>
              <w:t>Current liabilities before customer customer obligations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836</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obligations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4,931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2,986</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Long-term obligations, less current portion</w:t>
            </w:r>
          </w:p>
        </w:tc>
        <w:tc>
          <w:tcPr>
            <w:tcW w:w="200" w:type="dxa"/>
            <w:vAlign w:val="bottom"/>
          </w:tcPr>
          <w:p>
            <w:pPr>
              <w:spacing w:after="0"/>
              <w:rPr>
                <w:sz w:val="21"/>
                <w:szCs w:val="21"/>
                <w:color w:val="auto"/>
              </w:rPr>
            </w:pPr>
          </w:p>
        </w:tc>
        <w:tc>
          <w:tcPr>
            <w:tcW w:w="1520" w:type="dxa"/>
            <w:vAlign w:val="bottom"/>
          </w:tcPr>
          <w:p>
            <w:pPr>
              <w:jc w:val="right"/>
              <w:ind w:right="33"/>
              <w:spacing w:after="0"/>
              <w:rPr>
                <w:sz w:val="20"/>
                <w:szCs w:val="20"/>
                <w:color w:val="auto"/>
              </w:rPr>
            </w:pPr>
            <w:r>
              <w:rPr>
                <w:rFonts w:ascii="Arial" w:cs="Arial" w:eastAsia="Arial" w:hAnsi="Arial"/>
                <w:sz w:val="18"/>
                <w:szCs w:val="18"/>
                <w:color w:val="auto"/>
              </w:rPr>
              <w:t>1,168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tcPr>
          <w:p>
            <w:pPr>
              <w:jc w:val="right"/>
              <w:ind w:right="11"/>
              <w:spacing w:after="0"/>
              <w:rPr>
                <w:sz w:val="20"/>
                <w:szCs w:val="20"/>
                <w:color w:val="auto"/>
              </w:rPr>
            </w:pPr>
            <w:r>
              <w:rPr>
                <w:rFonts w:ascii="Arial" w:cs="Arial" w:eastAsia="Arial" w:hAnsi="Arial"/>
                <w:sz w:val="18"/>
                <w:szCs w:val="18"/>
                <w:color w:val="auto"/>
              </w:rPr>
              <w:t>3,449</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496</w:t>
            </w:r>
          </w:p>
        </w:tc>
      </w:tr>
      <w:tr>
        <w:trPr>
          <w:trHeight w:val="237"/>
        </w:trPr>
        <w:tc>
          <w:tcPr>
            <w:tcW w:w="790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6,695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7,767</w:t>
            </w:r>
          </w:p>
        </w:tc>
      </w:tr>
      <w:tr>
        <w:trPr>
          <w:trHeight w:val="27"/>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Equity</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2,280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942</w:t>
            </w:r>
          </w:p>
        </w:tc>
      </w:tr>
      <w:tr>
        <w:trPr>
          <w:trHeight w:val="257"/>
        </w:trPr>
        <w:tc>
          <w:tcPr>
            <w:tcW w:w="7900" w:type="dxa"/>
            <w:vAlign w:val="bottom"/>
          </w:tcPr>
          <w:p>
            <w:pPr>
              <w:ind w:left="50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8,975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8,709</w:t>
            </w: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155" w:lineRule="exact"/>
        <w:rPr>
          <w:sz w:val="20"/>
          <w:szCs w:val="20"/>
          <w:color w:val="auto"/>
        </w:rPr>
      </w:pPr>
    </w:p>
    <w:p>
      <w:pPr>
        <w:ind w:left="8300"/>
        <w:spacing w:after="0"/>
        <w:rPr>
          <w:sz w:val="20"/>
          <w:szCs w:val="20"/>
          <w:color w:val="auto"/>
        </w:rPr>
      </w:pPr>
      <w:r>
        <w:rPr>
          <w:rFonts w:ascii="Arial" w:cs="Arial" w:eastAsia="Arial" w:hAnsi="Arial"/>
          <w:sz w:val="13"/>
          <w:szCs w:val="13"/>
          <w:b w:val="1"/>
          <w:bCs w:val="1"/>
          <w:color w:val="auto"/>
        </w:rPr>
        <w:t>15 Months Ending</w:t>
      </w:r>
    </w:p>
    <w:p>
      <w:pPr>
        <w:spacing w:after="0" w:line="15" w:lineRule="exact"/>
        <w:rPr>
          <w:sz w:val="20"/>
          <w:szCs w:val="20"/>
          <w:color w:val="auto"/>
        </w:rPr>
      </w:pPr>
    </w:p>
    <w:p>
      <w:pPr>
        <w:ind w:left="8280"/>
        <w:spacing w:after="0"/>
        <w:rPr>
          <w:sz w:val="20"/>
          <w:szCs w:val="20"/>
          <w:color w:val="auto"/>
        </w:rPr>
      </w:pPr>
      <w:r>
        <w:rPr>
          <w:rFonts w:ascii="Arial" w:cs="Arial" w:eastAsia="Arial" w:hAnsi="Arial"/>
          <w:sz w:val="12"/>
          <w:szCs w:val="12"/>
          <w:b w:val="1"/>
          <w:bCs w:val="1"/>
          <w:color w:val="auto"/>
        </w:rPr>
        <w:t>December 31, 2014</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right="260" w:firstLine="34"/>
        <w:spacing w:after="0" w:line="317" w:lineRule="auto"/>
        <w:rPr>
          <w:sz w:val="20"/>
          <w:szCs w:val="20"/>
          <w:color w:val="auto"/>
        </w:rPr>
      </w:pPr>
      <w:r>
        <w:rPr>
          <w:rFonts w:ascii="Arial" w:cs="Arial" w:eastAsia="Arial" w:hAnsi="Arial"/>
          <w:sz w:val="12"/>
          <w:szCs w:val="12"/>
          <w:b w:val="1"/>
          <w:bCs w:val="1"/>
          <w:color w:val="auto"/>
        </w:rPr>
        <w:t>12 Months Ending September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-1198880</wp:posOffset>
            </wp:positionH>
            <wp:positionV relativeFrom="paragraph">
              <wp:posOffset>-10795</wp:posOffset>
            </wp:positionV>
            <wp:extent cx="20840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9440" w:space="520"/>
            <w:col w:w="146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192"/>
        </w:trPr>
        <w:tc>
          <w:tcPr>
            <w:tcW w:w="1200" w:type="dxa"/>
            <w:vAlign w:val="bottom"/>
          </w:tcPr>
          <w:p>
            <w:pPr>
              <w:spacing w:after="0"/>
              <w:rPr>
                <w:sz w:val="16"/>
                <w:szCs w:val="16"/>
                <w:color w:val="auto"/>
              </w:rPr>
            </w:pPr>
          </w:p>
        </w:tc>
        <w:tc>
          <w:tcPr>
            <w:tcW w:w="7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3"/>
          </w:tcPr>
          <w:p>
            <w:pPr>
              <w:ind w:left="20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56"/>
        </w:trPr>
        <w:tc>
          <w:tcPr>
            <w:tcW w:w="1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Total revenues</w:t>
            </w:r>
          </w:p>
        </w:tc>
        <w:tc>
          <w:tcPr>
            <w:tcW w:w="782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1,786</w:t>
            </w:r>
          </w:p>
        </w:tc>
        <w:tc>
          <w:tcPr>
            <w:tcW w:w="54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1,511</w:t>
            </w:r>
          </w:p>
        </w:tc>
        <w:tc>
          <w:tcPr>
            <w:tcW w:w="60" w:type="dxa"/>
            <w:vAlign w:val="bottom"/>
          </w:tcPr>
          <w:p>
            <w:pPr>
              <w:spacing w:after="0"/>
              <w:rPr>
                <w:sz w:val="22"/>
                <w:szCs w:val="22"/>
                <w:color w:val="auto"/>
              </w:rPr>
            </w:pPr>
          </w:p>
        </w:tc>
      </w:tr>
      <w:tr>
        <w:trPr>
          <w:trHeight w:val="243"/>
        </w:trPr>
        <w:tc>
          <w:tcPr>
            <w:tcW w:w="9140" w:type="dxa"/>
            <w:vAlign w:val="bottom"/>
            <w:gridSpan w:val="3"/>
          </w:tcPr>
          <w:p>
            <w:pPr>
              <w:ind w:left="40"/>
              <w:spacing w:after="0"/>
              <w:rPr>
                <w:sz w:val="20"/>
                <w:szCs w:val="20"/>
                <w:color w:val="auto"/>
              </w:rPr>
            </w:pPr>
            <w:r>
              <w:rPr>
                <w:rFonts w:ascii="Arial" w:cs="Arial" w:eastAsia="Arial" w:hAnsi="Arial"/>
                <w:sz w:val="18"/>
                <w:szCs w:val="18"/>
                <w:color w:val="auto"/>
              </w:rPr>
              <w:t>Loss before income taxes</w:t>
            </w:r>
          </w:p>
        </w:tc>
        <w:tc>
          <w:tcPr>
            <w:tcW w:w="500" w:type="dxa"/>
            <w:vAlign w:val="bottom"/>
          </w:tcPr>
          <w:p>
            <w:pPr>
              <w:jc w:val="right"/>
              <w:spacing w:after="0"/>
              <w:rPr>
                <w:sz w:val="20"/>
                <w:szCs w:val="20"/>
                <w:color w:val="auto"/>
              </w:rPr>
            </w:pPr>
            <w:r>
              <w:rPr>
                <w:rFonts w:ascii="Arial" w:cs="Arial" w:eastAsia="Arial" w:hAnsi="Arial"/>
                <w:sz w:val="18"/>
                <w:szCs w:val="18"/>
                <w:color w:val="auto"/>
              </w:rPr>
              <w:t>(155)</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21"/>
                <w:szCs w:val="21"/>
                <w:color w:val="auto"/>
              </w:rPr>
            </w:pPr>
          </w:p>
        </w:tc>
      </w:tr>
      <w:tr>
        <w:trPr>
          <w:trHeight w:val="27"/>
        </w:trPr>
        <w:tc>
          <w:tcPr>
            <w:tcW w:w="90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gridSpan w:val="2"/>
          </w:tcPr>
          <w:p>
            <w:pPr>
              <w:spacing w:after="0"/>
              <w:rPr>
                <w:sz w:val="2"/>
                <w:szCs w:val="2"/>
                <w:color w:val="auto"/>
              </w:rPr>
            </w:pPr>
          </w:p>
        </w:tc>
      </w:tr>
      <w:tr>
        <w:trPr>
          <w:trHeight w:val="250"/>
        </w:trPr>
        <w:tc>
          <w:tcPr>
            <w:tcW w:w="9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Gain on sale of Comdata</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1,526</w:t>
            </w: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243"/>
        </w:trPr>
        <w:tc>
          <w:tcPr>
            <w:tcW w:w="9140" w:type="dxa"/>
            <w:vAlign w:val="bottom"/>
            <w:gridSpan w:val="3"/>
          </w:tcPr>
          <w:p>
            <w:pPr>
              <w:ind w:left="40"/>
              <w:spacing w:after="0"/>
              <w:rPr>
                <w:sz w:val="20"/>
                <w:szCs w:val="20"/>
                <w:color w:val="auto"/>
              </w:rPr>
            </w:pPr>
            <w:r>
              <w:rPr>
                <w:rFonts w:ascii="Arial" w:cs="Arial" w:eastAsia="Arial" w:hAnsi="Arial"/>
                <w:sz w:val="18"/>
                <w:szCs w:val="18"/>
                <w:color w:val="auto"/>
              </w:rPr>
              <w:t>Net earnings (loss)</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1,361</w:t>
            </w: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w:t>
            </w:r>
          </w:p>
        </w:tc>
        <w:tc>
          <w:tcPr>
            <w:tcW w:w="60" w:type="dxa"/>
            <w:vAlign w:val="bottom"/>
          </w:tcPr>
          <w:p>
            <w:pPr>
              <w:spacing w:after="0"/>
              <w:rPr>
                <w:sz w:val="21"/>
                <w:szCs w:val="21"/>
                <w:color w:val="auto"/>
              </w:rPr>
            </w:pPr>
          </w:p>
        </w:tc>
      </w:tr>
      <w:tr>
        <w:trPr>
          <w:trHeight w:val="675"/>
        </w:trPr>
        <w:tc>
          <w:tcPr>
            <w:tcW w:w="1200" w:type="dxa"/>
            <w:vAlign w:val="bottom"/>
          </w:tcPr>
          <w:p>
            <w:pPr>
              <w:spacing w:after="0"/>
              <w:rPr>
                <w:sz w:val="20"/>
                <w:szCs w:val="20"/>
                <w:color w:val="auto"/>
              </w:rPr>
            </w:pPr>
            <w:r>
              <w:rPr>
                <w:rFonts w:ascii="Arial" w:cs="Arial" w:eastAsia="Arial" w:hAnsi="Arial"/>
                <w:sz w:val="18"/>
                <w:szCs w:val="18"/>
                <w:b w:val="1"/>
                <w:bCs w:val="1"/>
                <w:color w:val="auto"/>
              </w:rPr>
              <w:t>Note E.</w:t>
            </w:r>
          </w:p>
        </w:tc>
        <w:tc>
          <w:tcPr>
            <w:tcW w:w="7940" w:type="dxa"/>
            <w:vAlign w:val="bottom"/>
            <w:gridSpan w:val="2"/>
          </w:tcPr>
          <w:p>
            <w:pPr>
              <w:jc w:val="right"/>
              <w:ind w:right="5900"/>
              <w:spacing w:after="0"/>
              <w:rPr>
                <w:sz w:val="20"/>
                <w:szCs w:val="20"/>
                <w:color w:val="auto"/>
              </w:rPr>
            </w:pPr>
            <w:r>
              <w:rPr>
                <w:rFonts w:ascii="Arial" w:cs="Arial" w:eastAsia="Arial" w:hAnsi="Arial"/>
                <w:sz w:val="18"/>
                <w:szCs w:val="18"/>
                <w:b w:val="1"/>
                <w:bCs w:val="1"/>
                <w:color w:val="auto"/>
                <w:w w:val="96"/>
              </w:rPr>
              <w:t>Property and Equipment</w:t>
            </w: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8"/>
        </w:trPr>
        <w:tc>
          <w:tcPr>
            <w:tcW w:w="9140" w:type="dxa"/>
            <w:vAlign w:val="bottom"/>
            <w:gridSpan w:val="3"/>
          </w:tcPr>
          <w:p>
            <w:pPr>
              <w:ind w:left="300"/>
              <w:spacing w:after="0"/>
              <w:rPr>
                <w:sz w:val="20"/>
                <w:szCs w:val="20"/>
                <w:color w:val="auto"/>
              </w:rPr>
            </w:pPr>
            <w:r>
              <w:rPr>
                <w:rFonts w:ascii="Arial" w:cs="Arial" w:eastAsia="Arial" w:hAnsi="Arial"/>
                <w:sz w:val="18"/>
                <w:szCs w:val="18"/>
                <w:color w:val="auto"/>
              </w:rPr>
              <w:t>Property and equipment consists of the following:</w:t>
            </w: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4"/>
        </w:trPr>
        <w:tc>
          <w:tcPr>
            <w:tcW w:w="1200" w:type="dxa"/>
            <w:vAlign w:val="bottom"/>
          </w:tcPr>
          <w:p>
            <w:pPr>
              <w:spacing w:after="0"/>
              <w:rPr>
                <w:sz w:val="19"/>
                <w:szCs w:val="19"/>
                <w:color w:val="auto"/>
              </w:rPr>
            </w:pPr>
          </w:p>
        </w:tc>
        <w:tc>
          <w:tcPr>
            <w:tcW w:w="7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1200" w:type="dxa"/>
            <w:vAlign w:val="bottom"/>
          </w:tcPr>
          <w:p>
            <w:pPr>
              <w:spacing w:after="0"/>
              <w:rPr>
                <w:sz w:val="22"/>
                <w:szCs w:val="22"/>
                <w:color w:val="auto"/>
              </w:rPr>
            </w:pPr>
          </w:p>
        </w:tc>
        <w:tc>
          <w:tcPr>
            <w:tcW w:w="78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2"/>
          </w:tcPr>
          <w:p>
            <w:pPr>
              <w:jc w:val="right"/>
              <w:ind w:right="3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2013</w:t>
            </w:r>
          </w:p>
        </w:tc>
        <w:tc>
          <w:tcPr>
            <w:tcW w:w="60" w:type="dxa"/>
            <w:vAlign w:val="bottom"/>
            <w:tcBorders>
              <w:bottom w:val="single" w:sz="8" w:color="auto"/>
            </w:tcBorders>
          </w:tcPr>
          <w:p>
            <w:pPr>
              <w:spacing w:after="0"/>
              <w:rPr>
                <w:sz w:val="22"/>
                <w:szCs w:val="22"/>
                <w:color w:val="auto"/>
              </w:rPr>
            </w:pPr>
          </w:p>
        </w:tc>
      </w:tr>
      <w:tr>
        <w:trPr>
          <w:trHeight w:val="190"/>
        </w:trPr>
        <w:tc>
          <w:tcPr>
            <w:tcW w:w="1200" w:type="dxa"/>
            <w:vAlign w:val="bottom"/>
          </w:tcPr>
          <w:p>
            <w:pPr>
              <w:spacing w:after="0"/>
              <w:rPr>
                <w:sz w:val="16"/>
                <w:szCs w:val="16"/>
                <w:color w:val="auto"/>
              </w:rPr>
            </w:pPr>
          </w:p>
        </w:tc>
        <w:tc>
          <w:tcPr>
            <w:tcW w:w="7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55"/>
        </w:trPr>
        <w:tc>
          <w:tcPr>
            <w:tcW w:w="1200" w:type="dxa"/>
            <w:vAlign w:val="bottom"/>
          </w:tcPr>
          <w:p>
            <w:pPr>
              <w:ind w:left="40"/>
              <w:spacing w:after="0"/>
              <w:rPr>
                <w:sz w:val="20"/>
                <w:szCs w:val="20"/>
                <w:color w:val="auto"/>
              </w:rPr>
            </w:pPr>
            <w:r>
              <w:rPr>
                <w:rFonts w:ascii="Arial" w:cs="Arial" w:eastAsia="Arial" w:hAnsi="Arial"/>
                <w:sz w:val="18"/>
                <w:szCs w:val="18"/>
                <w:color w:val="auto"/>
              </w:rPr>
              <w:t>Land</w:t>
            </w:r>
          </w:p>
        </w:tc>
        <w:tc>
          <w:tcPr>
            <w:tcW w:w="7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2"/>
                <w:szCs w:val="22"/>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2"/>
                <w:szCs w:val="22"/>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133</w:t>
            </w:r>
          </w:p>
        </w:tc>
        <w:tc>
          <w:tcPr>
            <w:tcW w:w="60" w:type="dxa"/>
            <w:vAlign w:val="bottom"/>
          </w:tcPr>
          <w:p>
            <w:pPr>
              <w:spacing w:after="0"/>
              <w:rPr>
                <w:sz w:val="22"/>
                <w:szCs w:val="22"/>
                <w:color w:val="auto"/>
              </w:rPr>
            </w:pPr>
          </w:p>
        </w:tc>
      </w:tr>
      <w:tr>
        <w:trPr>
          <w:trHeight w:val="27"/>
        </w:trPr>
        <w:tc>
          <w:tcPr>
            <w:tcW w:w="1200" w:type="dxa"/>
            <w:vAlign w:val="bottom"/>
          </w:tcPr>
          <w:p>
            <w:pPr>
              <w:spacing w:after="0"/>
              <w:rPr>
                <w:sz w:val="2"/>
                <w:szCs w:val="2"/>
                <w:color w:val="auto"/>
              </w:rPr>
            </w:pPr>
          </w:p>
        </w:tc>
        <w:tc>
          <w:tcPr>
            <w:tcW w:w="7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1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7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9140" w:type="dxa"/>
            <w:vAlign w:val="bottom"/>
            <w:gridSpan w:val="3"/>
          </w:tcPr>
          <w:p>
            <w:pPr>
              <w:ind w:left="40"/>
              <w:spacing w:after="0"/>
              <w:rPr>
                <w:sz w:val="20"/>
                <w:szCs w:val="20"/>
                <w:color w:val="auto"/>
              </w:rPr>
            </w:pPr>
            <w:r>
              <w:rPr>
                <w:rFonts w:ascii="Arial" w:cs="Arial" w:eastAsia="Arial" w:hAnsi="Arial"/>
                <w:sz w:val="18"/>
                <w:szCs w:val="18"/>
                <w:color w:val="auto"/>
              </w:rPr>
              <w:t>Leasehold improvements</w:t>
            </w:r>
          </w:p>
        </w:tc>
        <w:tc>
          <w:tcPr>
            <w:tcW w:w="500" w:type="dxa"/>
            <w:vAlign w:val="bottom"/>
          </w:tcPr>
          <w:p>
            <w:pPr>
              <w:spacing w:after="0"/>
              <w:rPr>
                <w:sz w:val="21"/>
                <w:szCs w:val="21"/>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223</w:t>
            </w:r>
          </w:p>
        </w:tc>
        <w:tc>
          <w:tcPr>
            <w:tcW w:w="60" w:type="dxa"/>
            <w:vAlign w:val="bottom"/>
          </w:tcPr>
          <w:p>
            <w:pPr>
              <w:spacing w:after="0"/>
              <w:rPr>
                <w:sz w:val="21"/>
                <w:szCs w:val="21"/>
                <w:color w:val="auto"/>
              </w:rPr>
            </w:pPr>
          </w:p>
        </w:tc>
      </w:tr>
      <w:tr>
        <w:trPr>
          <w:trHeight w:val="27"/>
        </w:trPr>
        <w:tc>
          <w:tcPr>
            <w:tcW w:w="90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91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Data processing equipment</w:t>
            </w:r>
          </w:p>
        </w:tc>
        <w:tc>
          <w:tcPr>
            <w:tcW w:w="5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9140" w:type="dxa"/>
            <w:vAlign w:val="bottom"/>
            <w:gridSpan w:val="3"/>
          </w:tcPr>
          <w:p>
            <w:pPr>
              <w:ind w:left="40"/>
              <w:spacing w:after="0"/>
              <w:rPr>
                <w:sz w:val="20"/>
                <w:szCs w:val="20"/>
                <w:color w:val="auto"/>
              </w:rPr>
            </w:pPr>
            <w:r>
              <w:rPr>
                <w:rFonts w:ascii="Arial" w:cs="Arial" w:eastAsia="Arial" w:hAnsi="Arial"/>
                <w:sz w:val="18"/>
                <w:szCs w:val="18"/>
                <w:color w:val="auto"/>
              </w:rPr>
              <w:t>Furniture, fixtures and equipment</w:t>
            </w:r>
          </w:p>
        </w:tc>
        <w:tc>
          <w:tcPr>
            <w:tcW w:w="500" w:type="dxa"/>
            <w:vAlign w:val="bottom"/>
          </w:tcPr>
          <w:p>
            <w:pPr>
              <w:spacing w:after="0"/>
              <w:rPr>
                <w:sz w:val="21"/>
                <w:szCs w:val="21"/>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515</w:t>
            </w:r>
          </w:p>
        </w:tc>
        <w:tc>
          <w:tcPr>
            <w:tcW w:w="60" w:type="dxa"/>
            <w:vAlign w:val="bottom"/>
          </w:tcPr>
          <w:p>
            <w:pPr>
              <w:spacing w:after="0"/>
              <w:rPr>
                <w:sz w:val="21"/>
                <w:szCs w:val="21"/>
                <w:color w:val="auto"/>
              </w:rPr>
            </w:pPr>
          </w:p>
        </w:tc>
      </w:tr>
      <w:tr>
        <w:trPr>
          <w:trHeight w:val="27"/>
        </w:trPr>
        <w:tc>
          <w:tcPr>
            <w:tcW w:w="1200" w:type="dxa"/>
            <w:vAlign w:val="bottom"/>
            <w:tcBorders>
              <w:bottom w:val="single" w:sz="8" w:color="CCEEFF"/>
            </w:tcBorders>
          </w:tcPr>
          <w:p>
            <w:pPr>
              <w:spacing w:after="0"/>
              <w:rPr>
                <w:sz w:val="2"/>
                <w:szCs w:val="2"/>
                <w:color w:val="auto"/>
              </w:rPr>
            </w:pPr>
          </w:p>
        </w:tc>
        <w:tc>
          <w:tcPr>
            <w:tcW w:w="7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44"/>
        </w:trPr>
        <w:tc>
          <w:tcPr>
            <w:tcW w:w="1200" w:type="dxa"/>
            <w:vAlign w:val="bottom"/>
            <w:tcBorders>
              <w:bottom w:val="single" w:sz="8" w:color="CCEEFF"/>
            </w:tcBorders>
            <w:shd w:val="clear" w:color="auto" w:fill="CCEEFF"/>
          </w:tcPr>
          <w:p>
            <w:pPr>
              <w:spacing w:after="0"/>
              <w:rPr>
                <w:sz w:val="21"/>
                <w:szCs w:val="21"/>
                <w:color w:val="auto"/>
              </w:rPr>
            </w:pPr>
          </w:p>
        </w:tc>
        <w:tc>
          <w:tcPr>
            <w:tcW w:w="7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8"/>
              </w:rPr>
              <w:t>1,238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43"/>
        </w:trPr>
        <w:tc>
          <w:tcPr>
            <w:tcW w:w="9140" w:type="dxa"/>
            <w:vAlign w:val="bottom"/>
            <w:gridSpan w:val="3"/>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5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(587)</w:t>
            </w:r>
          </w:p>
        </w:tc>
      </w:tr>
      <w:tr>
        <w:trPr>
          <w:trHeight w:val="27"/>
        </w:trPr>
        <w:tc>
          <w:tcPr>
            <w:tcW w:w="1200" w:type="dxa"/>
            <w:vAlign w:val="bottom"/>
            <w:tcBorders>
              <w:bottom w:val="single" w:sz="8" w:color="CCEEFF"/>
            </w:tcBorders>
          </w:tcPr>
          <w:p>
            <w:pPr>
              <w:spacing w:after="0"/>
              <w:rPr>
                <w:sz w:val="2"/>
                <w:szCs w:val="2"/>
                <w:color w:val="auto"/>
              </w:rPr>
            </w:pPr>
          </w:p>
        </w:tc>
        <w:tc>
          <w:tcPr>
            <w:tcW w:w="7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69"/>
        </w:trPr>
        <w:tc>
          <w:tcPr>
            <w:tcW w:w="1200" w:type="dxa"/>
            <w:vAlign w:val="bottom"/>
            <w:tcBorders>
              <w:bottom w:val="single" w:sz="8" w:color="CCEEFF"/>
            </w:tcBorders>
            <w:shd w:val="clear" w:color="auto" w:fill="CCEEFF"/>
          </w:tcPr>
          <w:p>
            <w:pPr>
              <w:spacing w:after="0"/>
              <w:rPr>
                <w:sz w:val="22"/>
                <w:szCs w:val="22"/>
                <w:color w:val="auto"/>
              </w:rPr>
            </w:pPr>
          </w:p>
        </w:tc>
        <w:tc>
          <w:tcPr>
            <w:tcW w:w="79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60" w:type="dxa"/>
            <w:vAlign w:val="bottom"/>
            <w:tcBorders>
              <w:bottom w:val="single" w:sz="8" w:color="CCEEFF"/>
            </w:tcBorders>
            <w:shd w:val="clear" w:color="auto" w:fill="CCEEFF"/>
          </w:tcPr>
          <w:p>
            <w:pPr>
              <w:spacing w:after="0"/>
              <w:rPr>
                <w:sz w:val="22"/>
                <w:szCs w:val="22"/>
                <w:color w:val="auto"/>
              </w:rPr>
            </w:pPr>
          </w:p>
        </w:tc>
      </w:tr>
      <w:tr>
        <w:trPr>
          <w:trHeight w:val="20"/>
        </w:trPr>
        <w:tc>
          <w:tcPr>
            <w:tcW w:w="1200" w:type="dxa"/>
            <w:vAlign w:val="bottom"/>
            <w:tcBorders>
              <w:top w:val="single" w:sz="8" w:color="CCEEFF"/>
            </w:tcBorders>
          </w:tcPr>
          <w:p>
            <w:pPr>
              <w:spacing w:after="0" w:line="20" w:lineRule="exact"/>
              <w:rPr>
                <w:sz w:val="1"/>
                <w:szCs w:val="1"/>
                <w:color w:val="auto"/>
              </w:rPr>
            </w:pPr>
          </w:p>
        </w:tc>
        <w:tc>
          <w:tcPr>
            <w:tcW w:w="7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Depreciation expense on property and equipment was $122 million, $97 million, and $74 million for the years ended December 31, 2014, 2013, and 2012,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121" w:right="239" w:bottom="1440" w:gutter="0" w:footer="0" w:header="0"/>
          <w:type w:val="continuous"/>
        </w:sectPr>
      </w:pPr>
    </w:p>
    <w:bookmarkStart w:id="92" w:name="page93"/>
    <w:bookmarkEnd w:id="9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200" w:type="dxa"/>
            <w:vAlign w:val="bottom"/>
            <w:gridSpan w:val="14"/>
          </w:tcPr>
          <w:p>
            <w:pPr>
              <w:jc w:val="right"/>
              <w:spacing w:after="0"/>
              <w:rPr>
                <w:sz w:val="20"/>
                <w:szCs w:val="20"/>
                <w:color w:val="auto"/>
              </w:rPr>
            </w:pPr>
            <w:r>
              <w:rPr>
                <w:rFonts w:ascii="Arial" w:cs="Arial" w:eastAsia="Arial" w:hAnsi="Arial"/>
                <w:sz w:val="18"/>
                <w:szCs w:val="18"/>
                <w:b w:val="1"/>
                <w:bCs w:val="1"/>
                <w:color w:val="auto"/>
              </w:rPr>
              <w:t>FIDELITY NATIONAL FINANCIAL, INC. AND SUBSIDIARIES</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320" w:type="dxa"/>
            <w:vAlign w:val="bottom"/>
            <w:gridSpan w:val="17"/>
          </w:tcPr>
          <w:p>
            <w:pPr>
              <w:ind w:left="186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Note F.</w:t>
            </w:r>
          </w:p>
        </w:tc>
        <w:tc>
          <w:tcPr>
            <w:tcW w:w="2160" w:type="dxa"/>
            <w:vAlign w:val="bottom"/>
          </w:tcPr>
          <w:p>
            <w:pPr>
              <w:ind w:left="380"/>
              <w:spacing w:after="0"/>
              <w:rPr>
                <w:sz w:val="20"/>
                <w:szCs w:val="20"/>
                <w:color w:val="auto"/>
              </w:rPr>
            </w:pPr>
            <w:r>
              <w:rPr>
                <w:rFonts w:ascii="Arial" w:cs="Arial" w:eastAsia="Arial" w:hAnsi="Arial"/>
                <w:sz w:val="18"/>
                <w:szCs w:val="18"/>
                <w:b w:val="1"/>
                <w:bCs w:val="1"/>
                <w:color w:val="auto"/>
              </w:rPr>
              <w:t>Goodwill</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3060" w:type="dxa"/>
            <w:vAlign w:val="bottom"/>
            <w:gridSpan w:val="2"/>
          </w:tcPr>
          <w:p>
            <w:pPr>
              <w:ind w:left="320"/>
              <w:spacing w:after="0"/>
              <w:rPr>
                <w:sz w:val="20"/>
                <w:szCs w:val="20"/>
                <w:color w:val="auto"/>
              </w:rPr>
            </w:pPr>
            <w:r>
              <w:rPr>
                <w:rFonts w:ascii="Arial" w:cs="Arial" w:eastAsia="Arial" w:hAnsi="Arial"/>
                <w:sz w:val="18"/>
                <w:szCs w:val="18"/>
                <w:color w:val="auto"/>
              </w:rPr>
              <w:t>Goodwill consists of the following:</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FNF Core</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Restaurant</w:t>
            </w:r>
          </w:p>
        </w:tc>
        <w:tc>
          <w:tcPr>
            <w:tcW w:w="160" w:type="dxa"/>
            <w:vAlign w:val="bottom"/>
          </w:tcPr>
          <w:p>
            <w:pPr>
              <w:spacing w:after="0"/>
              <w:rPr>
                <w:sz w:val="24"/>
                <w:szCs w:val="2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FNFV</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2"/>
                <w:szCs w:val="12"/>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BKFS</w:t>
            </w:r>
          </w:p>
        </w:tc>
        <w:tc>
          <w:tcPr>
            <w:tcW w:w="11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Corporate and</w:t>
            </w:r>
          </w:p>
        </w:tc>
        <w:tc>
          <w:tcPr>
            <w:tcW w:w="120" w:type="dxa"/>
            <w:vAlign w:val="bottom"/>
          </w:tcPr>
          <w:p>
            <w:pPr>
              <w:spacing w:after="0"/>
              <w:rPr>
                <w:sz w:val="12"/>
                <w:szCs w:val="12"/>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9"/>
              </w:rPr>
              <w:t>Remy</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Corporate</w:t>
            </w:r>
          </w:p>
        </w:tc>
        <w:tc>
          <w:tcPr>
            <w:tcW w:w="240" w:type="dxa"/>
            <w:vAlign w:val="bottom"/>
          </w:tcPr>
          <w:p>
            <w:pPr>
              <w:spacing w:after="0"/>
              <w:rPr>
                <w:sz w:val="12"/>
                <w:szCs w:val="12"/>
                <w:color w:val="auto"/>
              </w:rPr>
            </w:pPr>
          </w:p>
        </w:tc>
        <w:tc>
          <w:tcPr>
            <w:tcW w:w="78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5"/>
              </w:rPr>
              <w:t>Group</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6"/>
              </w:rPr>
              <w:t>and Other</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(In millions)</w:t>
            </w: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December 31, 2012</w:t>
            </w:r>
          </w:p>
        </w:tc>
        <w:tc>
          <w:tcPr>
            <w:tcW w:w="7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1,434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Goodwill acquired during the year</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6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2"/>
              </w:rPr>
              <w:t>Adjustments to prior year acquisitions (1)</w:t>
            </w:r>
          </w:p>
        </w:tc>
        <w:tc>
          <w:tcPr>
            <w:tcW w:w="4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Balance, December 31, 2013</w:t>
            </w:r>
          </w:p>
        </w:tc>
        <w:tc>
          <w:tcPr>
            <w:tcW w:w="4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1,435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6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Goodwill acquired during the year (2)</w:t>
            </w:r>
          </w:p>
        </w:tc>
        <w:tc>
          <w:tcPr>
            <w:tcW w:w="4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3,097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Adjustments to prior year acquisitions</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6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3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Spin-off of Remy and Imaging</w:t>
            </w:r>
          </w:p>
        </w:tc>
        <w:tc>
          <w:tcPr>
            <w:tcW w:w="4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color w:val="auto"/>
              </w:rPr>
              <w:t>Balance, December 31, 2014</w:t>
            </w:r>
          </w:p>
        </w:tc>
        <w:tc>
          <w:tcPr>
            <w:tcW w:w="48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2,289</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2,223</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8890</wp:posOffset>
            </wp:positionV>
            <wp:extent cx="49828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82845"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-130175</wp:posOffset>
            </wp:positionV>
            <wp:extent cx="49828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82845" cy="8890"/>
                    </a:xfrm>
                    <a:prstGeom prst="rect">
                      <a:avLst/>
                    </a:prstGeom>
                    <a:noFill/>
                  </pic:spPr>
                </pic:pic>
              </a:graphicData>
            </a:graphic>
          </wp:anchor>
        </w:drawing>
      </w:r>
    </w:p>
    <w:p>
      <w:pPr>
        <w:spacing w:after="0" w:line="3" w:lineRule="exact"/>
        <w:rPr>
          <w:sz w:val="20"/>
          <w:szCs w:val="20"/>
          <w:color w:val="auto"/>
        </w:rPr>
      </w:pPr>
    </w:p>
    <w:p>
      <w:pPr>
        <w:ind w:left="260" w:hanging="252"/>
        <w:spacing w:after="0"/>
        <w:tabs>
          <w:tab w:leader="none" w:pos="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During 2013, we completed the final purchase price allocation for Digital Insurance, resulting in an adjustment to our purchased goodwill.</w:t>
      </w:r>
    </w:p>
    <w:p>
      <w:pPr>
        <w:spacing w:after="0" w:line="9" w:lineRule="exact"/>
        <w:rPr>
          <w:rFonts w:ascii="Arial" w:cs="Arial" w:eastAsia="Arial" w:hAnsi="Arial"/>
          <w:sz w:val="18"/>
          <w:szCs w:val="18"/>
          <w:color w:val="auto"/>
        </w:rPr>
      </w:pPr>
    </w:p>
    <w:p>
      <w:pPr>
        <w:ind w:firstLine="8"/>
        <w:spacing w:after="0" w:line="261" w:lineRule="auto"/>
        <w:tabs>
          <w:tab w:leader="none" w:pos="273" w:val="left"/>
        </w:tabs>
        <w:numPr>
          <w:ilvl w:val="0"/>
          <w:numId w:val="44"/>
        </w:numPr>
        <w:rPr>
          <w:rFonts w:ascii="Arial" w:cs="Arial" w:eastAsia="Arial" w:hAnsi="Arial"/>
          <w:sz w:val="18"/>
          <w:szCs w:val="18"/>
          <w:color w:val="auto"/>
        </w:rPr>
      </w:pPr>
      <w:r>
        <w:rPr>
          <w:rFonts w:ascii="Arial" w:cs="Arial" w:eastAsia="Arial" w:hAnsi="Arial"/>
          <w:sz w:val="18"/>
          <w:szCs w:val="18"/>
          <w:color w:val="auto"/>
        </w:rPr>
        <w:t>During 2014, we acquired LPS and subsequently completed an internal reorganization in which the assets of LPS were divided between the Title and BKFS segments and Property Insight was contributed from the Title segment to BKFS.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Arial" w:cs="Arial" w:eastAsia="Arial" w:hAnsi="Arial"/>
                <w:sz w:val="18"/>
                <w:szCs w:val="18"/>
                <w:b w:val="1"/>
                <w:bCs w:val="1"/>
                <w:color w:val="auto"/>
              </w:rPr>
              <w:t>Note G.</w:t>
            </w:r>
          </w:p>
        </w:tc>
        <w:tc>
          <w:tcPr>
            <w:tcW w:w="8040" w:type="dxa"/>
            <w:vAlign w:val="bottom"/>
          </w:tcPr>
          <w:p>
            <w:pPr>
              <w:ind w:left="340"/>
              <w:spacing w:after="0"/>
              <w:rPr>
                <w:sz w:val="20"/>
                <w:szCs w:val="20"/>
                <w:color w:val="auto"/>
              </w:rPr>
            </w:pPr>
            <w:r>
              <w:rPr>
                <w:rFonts w:ascii="Arial" w:cs="Arial" w:eastAsia="Arial" w:hAnsi="Arial"/>
                <w:sz w:val="18"/>
                <w:szCs w:val="18"/>
                <w:b w:val="1"/>
                <w:bCs w:val="1"/>
                <w:color w:val="auto"/>
              </w:rPr>
              <w:t>Capitalized Software</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97"/>
        </w:trPr>
        <w:tc>
          <w:tcPr>
            <w:tcW w:w="9000" w:type="dxa"/>
            <w:vAlign w:val="bottom"/>
            <w:gridSpan w:val="2"/>
          </w:tcPr>
          <w:p>
            <w:pPr>
              <w:ind w:left="340"/>
              <w:spacing w:after="0"/>
              <w:rPr>
                <w:sz w:val="20"/>
                <w:szCs w:val="20"/>
                <w:color w:val="auto"/>
              </w:rPr>
            </w:pPr>
            <w:r>
              <w:rPr>
                <w:rFonts w:ascii="Arial" w:cs="Arial" w:eastAsia="Arial" w:hAnsi="Arial"/>
                <w:sz w:val="18"/>
                <w:szCs w:val="18"/>
                <w:color w:val="auto"/>
              </w:rPr>
              <w:t>Capitalized software consists of the following:</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32"/>
        </w:trPr>
        <w:tc>
          <w:tcPr>
            <w:tcW w:w="96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right"/>
              <w:ind w:right="294"/>
              <w:spacing w:after="0"/>
              <w:rPr>
                <w:sz w:val="20"/>
                <w:szCs w:val="20"/>
                <w:color w:val="auto"/>
              </w:rPr>
            </w:pPr>
            <w:r>
              <w:rPr>
                <w:rFonts w:ascii="Arial" w:cs="Arial" w:eastAsia="Arial" w:hAnsi="Arial"/>
                <w:sz w:val="14"/>
                <w:szCs w:val="14"/>
                <w:b w:val="1"/>
                <w:bCs w:val="1"/>
                <w:color w:val="auto"/>
              </w:rPr>
              <w:t>Year Ended December 31,</w:t>
            </w:r>
          </w:p>
        </w:tc>
      </w:tr>
      <w:tr>
        <w:trPr>
          <w:trHeight w:val="264"/>
        </w:trPr>
        <w:tc>
          <w:tcPr>
            <w:tcW w:w="960" w:type="dxa"/>
            <w:vAlign w:val="bottom"/>
          </w:tcPr>
          <w:p>
            <w:pPr>
              <w:spacing w:after="0"/>
              <w:rPr>
                <w:sz w:val="22"/>
                <w:szCs w:val="22"/>
                <w:color w:val="auto"/>
              </w:rPr>
            </w:pPr>
          </w:p>
        </w:tc>
        <w:tc>
          <w:tcPr>
            <w:tcW w:w="80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w w:val="96"/>
              </w:rPr>
              <w:t>2013</w:t>
            </w:r>
          </w:p>
        </w:tc>
      </w:tr>
      <w:tr>
        <w:trPr>
          <w:trHeight w:val="196"/>
        </w:trPr>
        <w:tc>
          <w:tcPr>
            <w:tcW w:w="960" w:type="dxa"/>
            <w:vAlign w:val="bottom"/>
          </w:tcPr>
          <w:p>
            <w:pPr>
              <w:spacing w:after="0"/>
              <w:rPr>
                <w:sz w:val="17"/>
                <w:szCs w:val="17"/>
                <w:color w:val="auto"/>
              </w:rPr>
            </w:pPr>
          </w:p>
        </w:tc>
        <w:tc>
          <w:tcPr>
            <w:tcW w:w="8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17"/>
                <w:szCs w:val="17"/>
                <w:color w:val="auto"/>
              </w:rPr>
            </w:pPr>
          </w:p>
        </w:tc>
      </w:tr>
      <w:tr>
        <w:trPr>
          <w:trHeight w:val="256"/>
        </w:trPr>
        <w:tc>
          <w:tcPr>
            <w:tcW w:w="9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Capitalized software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841</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215</w:t>
            </w:r>
          </w:p>
        </w:tc>
      </w:tr>
      <w:tr>
        <w:trPr>
          <w:trHeight w:val="243"/>
        </w:trPr>
        <w:tc>
          <w:tcPr>
            <w:tcW w:w="9000" w:type="dxa"/>
            <w:vAlign w:val="bottom"/>
            <w:gridSpan w:val="2"/>
          </w:tcPr>
          <w:p>
            <w:pPr>
              <w:ind w:left="40"/>
              <w:spacing w:after="0"/>
              <w:rPr>
                <w:sz w:val="20"/>
                <w:szCs w:val="20"/>
                <w:color w:val="auto"/>
              </w:rPr>
            </w:pPr>
            <w:r>
              <w:rPr>
                <w:rFonts w:ascii="Arial" w:cs="Arial" w:eastAsia="Arial" w:hAnsi="Arial"/>
                <w:sz w:val="18"/>
                <w:szCs w:val="18"/>
                <w:color w:val="auto"/>
              </w:rPr>
              <w:t>Accumulated amortization</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w:t>
            </w:r>
          </w:p>
        </w:tc>
      </w:tr>
      <w:tr>
        <w:trPr>
          <w:trHeight w:val="27"/>
        </w:trPr>
        <w:tc>
          <w:tcPr>
            <w:tcW w:w="960" w:type="dxa"/>
            <w:vAlign w:val="bottom"/>
            <w:tcBorders>
              <w:bottom w:val="single" w:sz="8" w:color="CCEEFF"/>
            </w:tcBorders>
          </w:tcPr>
          <w:p>
            <w:pPr>
              <w:spacing w:after="0"/>
              <w:rPr>
                <w:sz w:val="2"/>
                <w:szCs w:val="2"/>
                <w:color w:val="auto"/>
              </w:rPr>
            </w:pPr>
          </w:p>
        </w:tc>
        <w:tc>
          <w:tcPr>
            <w:tcW w:w="8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960" w:type="dxa"/>
            <w:vAlign w:val="bottom"/>
            <w:tcBorders>
              <w:bottom w:val="single" w:sz="8" w:color="CCEEFF"/>
            </w:tcBorders>
            <w:shd w:val="clear" w:color="auto" w:fill="CCEEFF"/>
          </w:tcPr>
          <w:p>
            <w:pPr>
              <w:spacing w:after="0"/>
              <w:rPr>
                <w:sz w:val="22"/>
                <w:szCs w:val="22"/>
                <w:color w:val="auto"/>
              </w:rPr>
            </w:pPr>
          </w:p>
        </w:tc>
        <w:tc>
          <w:tcPr>
            <w:tcW w:w="80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w:t>
            </w:r>
          </w:p>
        </w:tc>
      </w:tr>
      <w:tr>
        <w:trPr>
          <w:trHeight w:val="20"/>
        </w:trPr>
        <w:tc>
          <w:tcPr>
            <w:tcW w:w="960" w:type="dxa"/>
            <w:vAlign w:val="bottom"/>
            <w:tcBorders>
              <w:top w:val="single" w:sz="8" w:color="CCEEFF"/>
            </w:tcBorders>
          </w:tcPr>
          <w:p>
            <w:pPr>
              <w:spacing w:after="0" w:line="20" w:lineRule="exact"/>
              <w:rPr>
                <w:sz w:val="1"/>
                <w:szCs w:val="1"/>
                <w:color w:val="auto"/>
              </w:rPr>
            </w:pPr>
          </w:p>
        </w:tc>
        <w:tc>
          <w:tcPr>
            <w:tcW w:w="8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Amortization expense on software was $84 million, $14 million, and $14 million for the years ended December 31, 2014, 2013, and 2012, respectively.</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spacing w:after="0"/>
              <w:rPr>
                <w:sz w:val="20"/>
                <w:szCs w:val="20"/>
                <w:color w:val="auto"/>
              </w:rPr>
            </w:pPr>
            <w:r>
              <w:rPr>
                <w:rFonts w:ascii="Arial" w:cs="Arial" w:eastAsia="Arial" w:hAnsi="Arial"/>
                <w:sz w:val="18"/>
                <w:szCs w:val="18"/>
                <w:b w:val="1"/>
                <w:bCs w:val="1"/>
                <w:color w:val="auto"/>
              </w:rPr>
              <w:t>Note H.</w:t>
            </w:r>
          </w:p>
        </w:tc>
        <w:tc>
          <w:tcPr>
            <w:tcW w:w="7620" w:type="dxa"/>
            <w:vAlign w:val="bottom"/>
          </w:tcPr>
          <w:p>
            <w:pPr>
              <w:ind w:left="340"/>
              <w:spacing w:after="0"/>
              <w:rPr>
                <w:sz w:val="20"/>
                <w:szCs w:val="20"/>
                <w:color w:val="auto"/>
              </w:rPr>
            </w:pPr>
            <w:r>
              <w:rPr>
                <w:rFonts w:ascii="Arial" w:cs="Arial" w:eastAsia="Arial" w:hAnsi="Arial"/>
                <w:sz w:val="18"/>
                <w:szCs w:val="18"/>
                <w:b w:val="1"/>
                <w:bCs w:val="1"/>
                <w:color w:val="auto"/>
              </w:rPr>
              <w:t>Other Intangible Assets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97"/>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Other intangible assets consist of the following:</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32"/>
        </w:trPr>
        <w:tc>
          <w:tcPr>
            <w:tcW w:w="96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24"/>
                <w:szCs w:val="24"/>
                <w:color w:val="auto"/>
              </w:rPr>
            </w:pPr>
          </w:p>
        </w:tc>
      </w:tr>
      <w:tr>
        <w:trPr>
          <w:trHeight w:val="264"/>
        </w:trPr>
        <w:tc>
          <w:tcPr>
            <w:tcW w:w="960" w:type="dxa"/>
            <w:vAlign w:val="bottom"/>
          </w:tcPr>
          <w:p>
            <w:pPr>
              <w:spacing w:after="0"/>
              <w:rPr>
                <w:sz w:val="22"/>
                <w:szCs w:val="22"/>
                <w:color w:val="auto"/>
              </w:rPr>
            </w:pPr>
          </w:p>
        </w:tc>
        <w:tc>
          <w:tcPr>
            <w:tcW w:w="76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r>
      <w:tr>
        <w:trPr>
          <w:trHeight w:val="196"/>
        </w:trPr>
        <w:tc>
          <w:tcPr>
            <w:tcW w:w="960" w:type="dxa"/>
            <w:vAlign w:val="bottom"/>
          </w:tcPr>
          <w:p>
            <w:pPr>
              <w:spacing w:after="0"/>
              <w:rPr>
                <w:sz w:val="17"/>
                <w:szCs w:val="17"/>
                <w:color w:val="auto"/>
              </w:rPr>
            </w:pPr>
          </w:p>
        </w:tc>
        <w:tc>
          <w:tcPr>
            <w:tcW w:w="7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(In millions)</w:t>
            </w:r>
          </w:p>
        </w:tc>
        <w:tc>
          <w:tcPr>
            <w:tcW w:w="900" w:type="dxa"/>
            <w:vAlign w:val="bottom"/>
          </w:tcPr>
          <w:p>
            <w:pPr>
              <w:spacing w:after="0"/>
              <w:rPr>
                <w:sz w:val="17"/>
                <w:szCs w:val="17"/>
                <w:color w:val="auto"/>
              </w:rPr>
            </w:pPr>
          </w:p>
        </w:tc>
      </w:tr>
      <w:tr>
        <w:trPr>
          <w:trHeight w:val="256"/>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Customer relationships and contracts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1,200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516</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Trademarks and tradenames</w:t>
            </w:r>
          </w:p>
        </w:tc>
        <w:tc>
          <w:tcPr>
            <w:tcW w:w="32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238</w:t>
            </w:r>
          </w:p>
        </w:tc>
      </w:tr>
      <w:tr>
        <w:trPr>
          <w:trHeight w:val="27"/>
        </w:trPr>
        <w:tc>
          <w:tcPr>
            <w:tcW w:w="960" w:type="dxa"/>
            <w:vAlign w:val="bottom"/>
          </w:tcPr>
          <w:p>
            <w:pPr>
              <w:spacing w:after="0"/>
              <w:rPr>
                <w:sz w:val="2"/>
                <w:szCs w:val="2"/>
                <w:color w:val="auto"/>
              </w:rPr>
            </w:pPr>
          </w:p>
        </w:tc>
        <w:tc>
          <w:tcPr>
            <w:tcW w:w="7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76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w:t>
            </w:r>
          </w:p>
        </w:tc>
      </w:tr>
      <w:tr>
        <w:trPr>
          <w:trHeight w:val="237"/>
        </w:trPr>
        <w:tc>
          <w:tcPr>
            <w:tcW w:w="96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1,453</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814</w:t>
            </w:r>
          </w:p>
        </w:tc>
      </w:tr>
      <w:tr>
        <w:trPr>
          <w:trHeight w:val="27"/>
        </w:trPr>
        <w:tc>
          <w:tcPr>
            <w:tcW w:w="8580" w:type="dxa"/>
            <w:vAlign w:val="bottom"/>
            <w:gridSpan w:val="2"/>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Accumulated amortization</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37"/>
        </w:trPr>
        <w:tc>
          <w:tcPr>
            <w:tcW w:w="96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1,133</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619</w:t>
            </w:r>
          </w:p>
        </w:tc>
      </w:tr>
      <w:tr>
        <w:trPr>
          <w:trHeight w:val="27"/>
        </w:trPr>
        <w:tc>
          <w:tcPr>
            <w:tcW w:w="960" w:type="dxa"/>
            <w:vAlign w:val="bottom"/>
          </w:tcPr>
          <w:p>
            <w:pPr>
              <w:spacing w:after="0"/>
              <w:rPr>
                <w:sz w:val="2"/>
                <w:szCs w:val="2"/>
                <w:color w:val="auto"/>
              </w:rPr>
            </w:pPr>
          </w:p>
        </w:tc>
        <w:tc>
          <w:tcPr>
            <w:tcW w:w="7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96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Amortization expense for amortizable intangible assets, which consist primarily of customer relationships, was $193 million, $23 million, and $15 million for the years ended December 31, 2014, 2013 and 2012, respectively. Other intangible assets primarily represent non-amortizable intangible assets such as trademarks and licenses. Estimated amortization expense for the next five years for assets owned at December 31, 2014, is $196 million in 2015, $193 million in 2016, $189 million in 2017, $186 million in 2018 and $121 million in 2019.</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1" w:right="239" w:bottom="1440" w:gutter="0" w:footer="0" w:header="0"/>
        </w:sectPr>
      </w:pPr>
    </w:p>
    <w:bookmarkStart w:id="93" w:name="page94"/>
    <w:bookmarkEnd w:id="93"/>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00" w:type="dxa"/>
            <w:vAlign w:val="bottom"/>
          </w:tcPr>
          <w:p>
            <w:pPr>
              <w:spacing w:after="0"/>
              <w:rPr>
                <w:sz w:val="20"/>
                <w:szCs w:val="20"/>
                <w:color w:val="auto"/>
              </w:rPr>
            </w:pPr>
            <w:r>
              <w:rPr>
                <w:rFonts w:ascii="Arial" w:cs="Arial" w:eastAsia="Arial" w:hAnsi="Arial"/>
                <w:sz w:val="18"/>
                <w:szCs w:val="18"/>
                <w:b w:val="1"/>
                <w:bCs w:val="1"/>
                <w:color w:val="auto"/>
              </w:rPr>
              <w:t>Note I.</w:t>
            </w:r>
          </w:p>
        </w:tc>
        <w:tc>
          <w:tcPr>
            <w:tcW w:w="7800" w:type="dxa"/>
            <w:vAlign w:val="bottom"/>
            <w:gridSpan w:val="2"/>
          </w:tcPr>
          <w:p>
            <w:pPr>
              <w:jc w:val="right"/>
              <w:ind w:right="4080"/>
              <w:spacing w:after="0"/>
              <w:rPr>
                <w:sz w:val="20"/>
                <w:szCs w:val="20"/>
                <w:color w:val="auto"/>
              </w:rPr>
            </w:pPr>
            <w:r>
              <w:rPr>
                <w:rFonts w:ascii="Arial" w:cs="Arial" w:eastAsia="Arial" w:hAnsi="Arial"/>
                <w:sz w:val="18"/>
                <w:szCs w:val="18"/>
                <w:b w:val="1"/>
                <w:bCs w:val="1"/>
                <w:color w:val="auto"/>
                <w:w w:val="90"/>
              </w:rPr>
              <w:t>Accounts Payable and Other Accrued Liabilities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97"/>
        </w:trPr>
        <w:tc>
          <w:tcPr>
            <w:tcW w:w="9100" w:type="dxa"/>
            <w:vAlign w:val="bottom"/>
            <w:gridSpan w:val="3"/>
          </w:tcPr>
          <w:p>
            <w:pPr>
              <w:ind w:left="340"/>
              <w:spacing w:after="0"/>
              <w:rPr>
                <w:sz w:val="20"/>
                <w:szCs w:val="20"/>
                <w:color w:val="auto"/>
              </w:rPr>
            </w:pPr>
            <w:r>
              <w:rPr>
                <w:rFonts w:ascii="Arial" w:cs="Arial" w:eastAsia="Arial" w:hAnsi="Arial"/>
                <w:sz w:val="18"/>
                <w:szCs w:val="18"/>
                <w:color w:val="auto"/>
              </w:rPr>
              <w:t>Accounts payable and other accrued liabilities consist of the following:</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2"/>
        </w:trPr>
        <w:tc>
          <w:tcPr>
            <w:tcW w:w="130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24"/>
                <w:szCs w:val="24"/>
                <w:color w:val="auto"/>
              </w:rPr>
            </w:pPr>
          </w:p>
        </w:tc>
      </w:tr>
      <w:tr>
        <w:trPr>
          <w:trHeight w:val="264"/>
        </w:trPr>
        <w:tc>
          <w:tcPr>
            <w:tcW w:w="1300" w:type="dxa"/>
            <w:vAlign w:val="bottom"/>
          </w:tcPr>
          <w:p>
            <w:pPr>
              <w:spacing w:after="0"/>
              <w:rPr>
                <w:sz w:val="22"/>
                <w:szCs w:val="22"/>
                <w:color w:val="auto"/>
              </w:rPr>
            </w:pPr>
          </w:p>
        </w:tc>
        <w:tc>
          <w:tcPr>
            <w:tcW w:w="75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2013</w:t>
            </w:r>
          </w:p>
        </w:tc>
      </w:tr>
      <w:tr>
        <w:trPr>
          <w:trHeight w:val="196"/>
        </w:trPr>
        <w:tc>
          <w:tcPr>
            <w:tcW w:w="1300" w:type="dxa"/>
            <w:vAlign w:val="bottom"/>
          </w:tcPr>
          <w:p>
            <w:pPr>
              <w:spacing w:after="0"/>
              <w:rPr>
                <w:sz w:val="17"/>
                <w:szCs w:val="17"/>
                <w:color w:val="auto"/>
              </w:rPr>
            </w:pPr>
          </w:p>
        </w:tc>
        <w:tc>
          <w:tcPr>
            <w:tcW w:w="7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17"/>
                <w:szCs w:val="17"/>
                <w:color w:val="auto"/>
              </w:rPr>
            </w:pPr>
          </w:p>
        </w:tc>
      </w:tr>
      <w:tr>
        <w:trPr>
          <w:trHeight w:val="256"/>
        </w:trPr>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Accrued benefits</w:t>
            </w:r>
          </w:p>
        </w:tc>
        <w:tc>
          <w:tcPr>
            <w:tcW w:w="7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239</w:t>
            </w:r>
          </w:p>
        </w:tc>
      </w:tr>
      <w:tr>
        <w:trPr>
          <w:trHeight w:val="243"/>
        </w:trPr>
        <w:tc>
          <w:tcPr>
            <w:tcW w:w="9100" w:type="dxa"/>
            <w:vAlign w:val="bottom"/>
            <w:gridSpan w:val="3"/>
          </w:tcPr>
          <w:p>
            <w:pPr>
              <w:ind w:left="40"/>
              <w:spacing w:after="0"/>
              <w:rPr>
                <w:sz w:val="20"/>
                <w:szCs w:val="20"/>
                <w:color w:val="auto"/>
              </w:rPr>
            </w:pPr>
            <w:r>
              <w:rPr>
                <w:rFonts w:ascii="Arial" w:cs="Arial" w:eastAsia="Arial" w:hAnsi="Arial"/>
                <w:sz w:val="18"/>
                <w:szCs w:val="18"/>
                <w:color w:val="auto"/>
              </w:rPr>
              <w:t>Salaries and incentives</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254</w:t>
            </w:r>
          </w:p>
        </w:tc>
      </w:tr>
      <w:tr>
        <w:trPr>
          <w:trHeight w:val="27"/>
        </w:trPr>
        <w:tc>
          <w:tcPr>
            <w:tcW w:w="1300" w:type="dxa"/>
            <w:vAlign w:val="bottom"/>
          </w:tcPr>
          <w:p>
            <w:pPr>
              <w:spacing w:after="0"/>
              <w:rPr>
                <w:sz w:val="2"/>
                <w:szCs w:val="2"/>
                <w:color w:val="auto"/>
              </w:rPr>
            </w:pPr>
          </w:p>
        </w:tc>
        <w:tc>
          <w:tcPr>
            <w:tcW w:w="7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rent</w:t>
            </w:r>
          </w:p>
        </w:tc>
        <w:tc>
          <w:tcPr>
            <w:tcW w:w="7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r>
      <w:tr>
        <w:trPr>
          <w:trHeight w:val="243"/>
        </w:trPr>
        <w:tc>
          <w:tcPr>
            <w:tcW w:w="9100" w:type="dxa"/>
            <w:vAlign w:val="bottom"/>
            <w:gridSpan w:val="3"/>
          </w:tcPr>
          <w:p>
            <w:pPr>
              <w:ind w:left="40"/>
              <w:spacing w:after="0"/>
              <w:rPr>
                <w:sz w:val="20"/>
                <w:szCs w:val="20"/>
                <w:color w:val="auto"/>
              </w:rPr>
            </w:pPr>
            <w:r>
              <w:rPr>
                <w:rFonts w:ascii="Arial" w:cs="Arial" w:eastAsia="Arial" w:hAnsi="Arial"/>
                <w:sz w:val="18"/>
                <w:szCs w:val="18"/>
                <w:color w:val="auto"/>
              </w:rPr>
              <w:t>Trade accounts payable</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236</w:t>
            </w:r>
          </w:p>
        </w:tc>
      </w:tr>
      <w:tr>
        <w:trPr>
          <w:trHeight w:val="27"/>
        </w:trPr>
        <w:tc>
          <w:tcPr>
            <w:tcW w:w="88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1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Accrued recording fees and transfer taxes</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w:t>
            </w:r>
          </w:p>
        </w:tc>
      </w:tr>
      <w:tr>
        <w:trPr>
          <w:trHeight w:val="243"/>
        </w:trPr>
        <w:tc>
          <w:tcPr>
            <w:tcW w:w="9100" w:type="dxa"/>
            <w:vAlign w:val="bottom"/>
            <w:gridSpan w:val="3"/>
          </w:tcPr>
          <w:p>
            <w:pPr>
              <w:ind w:left="40"/>
              <w:spacing w:after="0"/>
              <w:rPr>
                <w:sz w:val="20"/>
                <w:szCs w:val="20"/>
                <w:color w:val="auto"/>
              </w:rPr>
            </w:pPr>
            <w:r>
              <w:rPr>
                <w:rFonts w:ascii="Arial" w:cs="Arial" w:eastAsia="Arial" w:hAnsi="Arial"/>
                <w:sz w:val="18"/>
                <w:szCs w:val="18"/>
                <w:color w:val="auto"/>
              </w:rPr>
              <w:t>Accrued premium taxes</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43</w:t>
            </w:r>
          </w:p>
        </w:tc>
      </w:tr>
      <w:tr>
        <w:trPr>
          <w:trHeight w:val="27"/>
        </w:trPr>
        <w:tc>
          <w:tcPr>
            <w:tcW w:w="1300" w:type="dxa"/>
            <w:vAlign w:val="bottom"/>
          </w:tcPr>
          <w:p>
            <w:pPr>
              <w:spacing w:after="0"/>
              <w:rPr>
                <w:sz w:val="2"/>
                <w:szCs w:val="2"/>
                <w:color w:val="auto"/>
              </w:rPr>
            </w:pPr>
          </w:p>
        </w:tc>
        <w:tc>
          <w:tcPr>
            <w:tcW w:w="7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1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8"/>
              </w:rPr>
              <w:t>Deferred revenue</w:t>
            </w:r>
          </w:p>
        </w:tc>
        <w:tc>
          <w:tcPr>
            <w:tcW w:w="75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w:t>
            </w:r>
          </w:p>
        </w:tc>
      </w:tr>
      <w:tr>
        <w:trPr>
          <w:trHeight w:val="243"/>
        </w:trPr>
        <w:tc>
          <w:tcPr>
            <w:tcW w:w="9100" w:type="dxa"/>
            <w:vAlign w:val="bottom"/>
            <w:gridSpan w:val="3"/>
          </w:tcPr>
          <w:p>
            <w:pPr>
              <w:ind w:left="40"/>
              <w:spacing w:after="0"/>
              <w:rPr>
                <w:sz w:val="20"/>
                <w:szCs w:val="20"/>
                <w:color w:val="auto"/>
              </w:rPr>
            </w:pPr>
            <w:r>
              <w:rPr>
                <w:rFonts w:ascii="Arial" w:cs="Arial" w:eastAsia="Arial" w:hAnsi="Arial"/>
                <w:sz w:val="18"/>
                <w:szCs w:val="18"/>
                <w:color w:val="auto"/>
              </w:rPr>
              <w:t>Other accrued liabilities</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386</w:t>
            </w:r>
          </w:p>
        </w:tc>
      </w:tr>
      <w:tr>
        <w:trPr>
          <w:trHeight w:val="27"/>
        </w:trPr>
        <w:tc>
          <w:tcPr>
            <w:tcW w:w="1300" w:type="dxa"/>
            <w:vAlign w:val="bottom"/>
            <w:tcBorders>
              <w:bottom w:val="single" w:sz="8" w:color="CCEEFF"/>
            </w:tcBorders>
          </w:tcPr>
          <w:p>
            <w:pPr>
              <w:spacing w:after="0"/>
              <w:rPr>
                <w:sz w:val="2"/>
                <w:szCs w:val="2"/>
                <w:color w:val="auto"/>
              </w:rPr>
            </w:pPr>
          </w:p>
        </w:tc>
        <w:tc>
          <w:tcPr>
            <w:tcW w:w="7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130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1,308</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1,302</w:t>
            </w:r>
          </w:p>
        </w:tc>
      </w:tr>
      <w:tr>
        <w:trPr>
          <w:trHeight w:val="20"/>
        </w:trPr>
        <w:tc>
          <w:tcPr>
            <w:tcW w:w="1300" w:type="dxa"/>
            <w:vAlign w:val="bottom"/>
            <w:tcBorders>
              <w:top w:val="single" w:sz="8" w:color="CCEEFF"/>
            </w:tcBorders>
          </w:tcPr>
          <w:p>
            <w:pPr>
              <w:spacing w:after="0" w:line="20" w:lineRule="exact"/>
              <w:rPr>
                <w:sz w:val="1"/>
                <w:szCs w:val="1"/>
                <w:color w:val="auto"/>
              </w:rPr>
            </w:pPr>
          </w:p>
        </w:tc>
        <w:tc>
          <w:tcPr>
            <w:tcW w:w="7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Note J.</w:t>
            </w:r>
          </w:p>
        </w:tc>
        <w:tc>
          <w:tcPr>
            <w:tcW w:w="8120" w:type="dxa"/>
            <w:vAlign w:val="bottom"/>
          </w:tcPr>
          <w:p>
            <w:pPr>
              <w:ind w:left="380"/>
              <w:spacing w:after="0"/>
              <w:rPr>
                <w:sz w:val="20"/>
                <w:szCs w:val="20"/>
                <w:color w:val="auto"/>
              </w:rPr>
            </w:pPr>
            <w:r>
              <w:rPr>
                <w:rFonts w:ascii="Arial" w:cs="Arial" w:eastAsia="Arial" w:hAnsi="Arial"/>
                <w:sz w:val="18"/>
                <w:szCs w:val="18"/>
                <w:b w:val="1"/>
                <w:bCs w:val="1"/>
                <w:color w:val="auto"/>
              </w:rPr>
              <w:t>Notes Payable</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97"/>
        </w:trPr>
        <w:tc>
          <w:tcPr>
            <w:tcW w:w="9040" w:type="dxa"/>
            <w:vAlign w:val="bottom"/>
            <w:gridSpan w:val="2"/>
          </w:tcPr>
          <w:p>
            <w:pPr>
              <w:ind w:left="280"/>
              <w:spacing w:after="0"/>
              <w:rPr>
                <w:sz w:val="20"/>
                <w:szCs w:val="20"/>
                <w:color w:val="auto"/>
              </w:rPr>
            </w:pPr>
            <w:r>
              <w:rPr>
                <w:rFonts w:ascii="Arial" w:cs="Arial" w:eastAsia="Arial" w:hAnsi="Arial"/>
                <w:sz w:val="18"/>
                <w:szCs w:val="18"/>
                <w:color w:val="auto"/>
              </w:rPr>
              <w:t>Notes payable consists of the following:</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99"/>
        </w:trPr>
        <w:tc>
          <w:tcPr>
            <w:tcW w:w="92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24"/>
                <w:szCs w:val="24"/>
                <w:color w:val="auto"/>
              </w:rPr>
            </w:pPr>
          </w:p>
        </w:tc>
      </w:tr>
      <w:tr>
        <w:trPr>
          <w:trHeight w:val="264"/>
        </w:trPr>
        <w:tc>
          <w:tcPr>
            <w:tcW w:w="920" w:type="dxa"/>
            <w:vAlign w:val="bottom"/>
          </w:tcPr>
          <w:p>
            <w:pPr>
              <w:spacing w:after="0"/>
              <w:rPr>
                <w:sz w:val="22"/>
                <w:szCs w:val="22"/>
                <w:color w:val="auto"/>
              </w:rPr>
            </w:pPr>
          </w:p>
        </w:tc>
        <w:tc>
          <w:tcPr>
            <w:tcW w:w="8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96"/>
              </w:rPr>
              <w:t>2013</w:t>
            </w:r>
          </w:p>
        </w:tc>
      </w:tr>
      <w:tr>
        <w:trPr>
          <w:trHeight w:val="250"/>
        </w:trPr>
        <w:tc>
          <w:tcPr>
            <w:tcW w:w="92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21"/>
                <w:szCs w:val="21"/>
                <w:color w:val="auto"/>
              </w:rPr>
            </w:pPr>
          </w:p>
        </w:tc>
      </w:tr>
      <w:tr>
        <w:trPr>
          <w:trHeight w:val="256"/>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Unsecured notes, net of discount, interest payable semi-annually at 5.50%, due September 2022</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398</w:t>
            </w:r>
          </w:p>
        </w:tc>
      </w:tr>
      <w:tr>
        <w:trPr>
          <w:trHeight w:val="243"/>
        </w:trPr>
        <w:tc>
          <w:tcPr>
            <w:tcW w:w="9040" w:type="dxa"/>
            <w:vAlign w:val="bottom"/>
            <w:gridSpan w:val="2"/>
          </w:tcPr>
          <w:p>
            <w:pPr>
              <w:ind w:left="40"/>
              <w:spacing w:after="0"/>
              <w:rPr>
                <w:sz w:val="20"/>
                <w:szCs w:val="20"/>
                <w:color w:val="auto"/>
              </w:rPr>
            </w:pPr>
            <w:r>
              <w:rPr>
                <w:rFonts w:ascii="Arial" w:cs="Arial" w:eastAsia="Arial" w:hAnsi="Arial"/>
                <w:sz w:val="18"/>
                <w:szCs w:val="18"/>
                <w:color w:val="auto"/>
              </w:rPr>
              <w:t>Unsecured convertible notes, net of discount, interest payable semi-annually at 4.25%, due August 2018</w:t>
            </w: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285</w:t>
            </w:r>
          </w:p>
        </w:tc>
      </w:tr>
      <w:tr>
        <w:trPr>
          <w:trHeight w:val="27"/>
        </w:trPr>
        <w:tc>
          <w:tcPr>
            <w:tcW w:w="90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Unsecured notes, net of discount, interest payable semi-annually at 6.60%, due May 2017</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r>
      <w:tr>
        <w:trPr>
          <w:trHeight w:val="243"/>
        </w:trPr>
        <w:tc>
          <w:tcPr>
            <w:tcW w:w="9040" w:type="dxa"/>
            <w:vAlign w:val="bottom"/>
            <w:gridSpan w:val="2"/>
          </w:tcPr>
          <w:p>
            <w:pPr>
              <w:ind w:left="40"/>
              <w:spacing w:after="0"/>
              <w:rPr>
                <w:sz w:val="20"/>
                <w:szCs w:val="20"/>
                <w:color w:val="auto"/>
              </w:rPr>
            </w:pPr>
            <w:r>
              <w:rPr>
                <w:rFonts w:ascii="Arial" w:cs="Arial" w:eastAsia="Arial" w:hAnsi="Arial"/>
                <w:sz w:val="18"/>
                <w:szCs w:val="18"/>
                <w:color w:val="auto"/>
              </w:rPr>
              <w:t>FNF Term Loan, interest payable monthly at LIBOR + 1.63% (1.86% at December 31, 2014), due January 2019</w:t>
            </w: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90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97"/>
              </w:rPr>
              <w:t>Unsecured Black Knight Infoserv notes, including premium, interest payable semi-annually at 5.75%, due April 2023</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9040" w:type="dxa"/>
            <w:vAlign w:val="bottom"/>
            <w:gridSpan w:val="2"/>
          </w:tcPr>
          <w:p>
            <w:pPr>
              <w:ind w:left="40"/>
              <w:spacing w:after="0"/>
              <w:rPr>
                <w:sz w:val="20"/>
                <w:szCs w:val="20"/>
                <w:color w:val="auto"/>
              </w:rPr>
            </w:pPr>
            <w:r>
              <w:rPr>
                <w:rFonts w:ascii="Arial" w:cs="Arial" w:eastAsia="Arial" w:hAnsi="Arial"/>
                <w:sz w:val="18"/>
                <w:szCs w:val="18"/>
                <w:color w:val="auto"/>
                <w:w w:val="97"/>
              </w:rPr>
              <w:t>Remy Amended and Restated Term B Loan, interest payable quarterly at LIBOR (floor of 1.25%) + 3.00% (4.25% at</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9040" w:type="dxa"/>
            <w:vAlign w:val="bottom"/>
            <w:gridSpan w:val="2"/>
          </w:tcPr>
          <w:p>
            <w:pPr>
              <w:ind w:left="40"/>
              <w:spacing w:after="0"/>
              <w:rPr>
                <w:sz w:val="20"/>
                <w:szCs w:val="20"/>
                <w:color w:val="auto"/>
              </w:rPr>
            </w:pPr>
            <w:r>
              <w:rPr>
                <w:rFonts w:ascii="Arial" w:cs="Arial" w:eastAsia="Arial" w:hAnsi="Arial"/>
                <w:sz w:val="18"/>
                <w:szCs w:val="18"/>
                <w:color w:val="auto"/>
              </w:rPr>
              <w:t>December 31, 2013), due March 2020</w:t>
            </w:r>
          </w:p>
        </w:tc>
        <w:tc>
          <w:tcPr>
            <w:tcW w:w="2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266</w:t>
            </w:r>
          </w:p>
        </w:tc>
      </w:tr>
      <w:tr>
        <w:trPr>
          <w:trHeight w:val="27"/>
        </w:trPr>
        <w:tc>
          <w:tcPr>
            <w:tcW w:w="90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ABRH Term Loan, interest payable monthly at LIBOR + 3.50%</w:t>
            </w: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r>
      <w:tr>
        <w:trPr>
          <w:trHeight w:val="243"/>
        </w:trPr>
        <w:tc>
          <w:tcPr>
            <w:tcW w:w="9040" w:type="dxa"/>
            <w:vAlign w:val="bottom"/>
            <w:gridSpan w:val="2"/>
          </w:tcPr>
          <w:p>
            <w:pPr>
              <w:ind w:left="40"/>
              <w:spacing w:after="0"/>
              <w:rPr>
                <w:sz w:val="20"/>
                <w:szCs w:val="20"/>
                <w:color w:val="auto"/>
              </w:rPr>
            </w:pPr>
            <w:r>
              <w:rPr>
                <w:rFonts w:ascii="Arial" w:cs="Arial" w:eastAsia="Arial" w:hAnsi="Arial"/>
                <w:sz w:val="18"/>
                <w:szCs w:val="18"/>
                <w:color w:val="auto"/>
              </w:rPr>
              <w:t>ABRH Term Loan, interest payable monthly at LIBOR + 2.75% (2.92% at December 31, 2014), due August 2019</w:t>
            </w:r>
          </w:p>
        </w:tc>
        <w:tc>
          <w:tcPr>
            <w:tcW w:w="280" w:type="dxa"/>
            <w:vAlign w:val="bottom"/>
          </w:tcPr>
          <w:p>
            <w:pPr>
              <w:spacing w:after="0"/>
              <w:rPr>
                <w:sz w:val="21"/>
                <w:szCs w:val="21"/>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90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9"/>
        </w:trPr>
        <w:tc>
          <w:tcPr>
            <w:tcW w:w="90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6"/>
              </w:rPr>
              <w:t>ABRH Revolving Credit Facility, unused portion of $83 at December 31, 2014, due August 2019 with interest payable</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37"/>
        </w:trPr>
        <w:tc>
          <w:tcPr>
            <w:tcW w:w="90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monthly at LIBOR + 2.75%</w:t>
            </w:r>
          </w:p>
        </w:tc>
        <w:tc>
          <w:tcPr>
            <w:tcW w:w="2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9040" w:type="dxa"/>
            <w:vAlign w:val="bottom"/>
            <w:gridSpan w:val="2"/>
          </w:tcPr>
          <w:p>
            <w:pPr>
              <w:ind w:left="40"/>
              <w:spacing w:after="0"/>
              <w:rPr>
                <w:sz w:val="20"/>
                <w:szCs w:val="20"/>
                <w:color w:val="auto"/>
              </w:rPr>
            </w:pPr>
            <w:r>
              <w:rPr>
                <w:rFonts w:ascii="Arial" w:cs="Arial" w:eastAsia="Arial" w:hAnsi="Arial"/>
                <w:sz w:val="18"/>
                <w:szCs w:val="18"/>
                <w:color w:val="auto"/>
                <w:w w:val="97"/>
              </w:rPr>
              <w:t>J. Alexander's Revolving Credit Facility, unused portion of $15 at December 31, 2014, due December 2019, interest</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9040" w:type="dxa"/>
            <w:vAlign w:val="bottom"/>
            <w:gridSpan w:val="2"/>
          </w:tcPr>
          <w:p>
            <w:pPr>
              <w:ind w:left="40"/>
              <w:spacing w:after="0"/>
              <w:rPr>
                <w:sz w:val="20"/>
                <w:szCs w:val="20"/>
                <w:color w:val="auto"/>
              </w:rPr>
            </w:pPr>
            <w:r>
              <w:rPr>
                <w:rFonts w:ascii="Arial" w:cs="Arial" w:eastAsia="Arial" w:hAnsi="Arial"/>
                <w:sz w:val="18"/>
                <w:szCs w:val="18"/>
                <w:color w:val="auto"/>
              </w:rPr>
              <w:t>payable monthly at LIBOR + 2.25%</w:t>
            </w:r>
          </w:p>
        </w:tc>
        <w:tc>
          <w:tcPr>
            <w:tcW w:w="2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920" w:type="dxa"/>
            <w:vAlign w:val="bottom"/>
          </w:tcPr>
          <w:p>
            <w:pPr>
              <w:spacing w:after="0"/>
              <w:rPr>
                <w:sz w:val="2"/>
                <w:szCs w:val="2"/>
                <w:color w:val="auto"/>
              </w:rPr>
            </w:pPr>
          </w:p>
        </w:tc>
        <w:tc>
          <w:tcPr>
            <w:tcW w:w="8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8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r>
      <w:tr>
        <w:trPr>
          <w:trHeight w:val="229"/>
        </w:trPr>
        <w:tc>
          <w:tcPr>
            <w:tcW w:w="9040" w:type="dxa"/>
            <w:vAlign w:val="bottom"/>
            <w:gridSpan w:val="2"/>
          </w:tcPr>
          <w:p>
            <w:pPr>
              <w:ind w:left="40"/>
              <w:spacing w:after="0"/>
              <w:rPr>
                <w:sz w:val="20"/>
                <w:szCs w:val="20"/>
                <w:color w:val="auto"/>
              </w:rPr>
            </w:pPr>
            <w:r>
              <w:rPr>
                <w:rFonts w:ascii="Arial" w:cs="Arial" w:eastAsia="Arial" w:hAnsi="Arial"/>
                <w:sz w:val="18"/>
                <w:szCs w:val="18"/>
                <w:color w:val="auto"/>
                <w:w w:val="93"/>
              </w:rPr>
              <w:t>Revolving Credit Facility, unsecured, unused portion of $800 at December 31, 2014, due July 2018 with interest payable</w:t>
            </w: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9040" w:type="dxa"/>
            <w:vAlign w:val="bottom"/>
            <w:gridSpan w:val="2"/>
          </w:tcPr>
          <w:p>
            <w:pPr>
              <w:ind w:left="40"/>
              <w:spacing w:after="0"/>
              <w:rPr>
                <w:sz w:val="20"/>
                <w:szCs w:val="20"/>
                <w:color w:val="auto"/>
              </w:rPr>
            </w:pPr>
            <w:r>
              <w:rPr>
                <w:rFonts w:ascii="Arial" w:cs="Arial" w:eastAsia="Arial" w:hAnsi="Arial"/>
                <w:sz w:val="18"/>
                <w:szCs w:val="18"/>
                <w:color w:val="auto"/>
              </w:rPr>
              <w:t>monthly at LIBOR + 1.45%</w:t>
            </w:r>
          </w:p>
        </w:tc>
        <w:tc>
          <w:tcPr>
            <w:tcW w:w="2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920" w:type="dxa"/>
            <w:vAlign w:val="bottom"/>
            <w:tcBorders>
              <w:bottom w:val="single" w:sz="8" w:color="CCEEFF"/>
            </w:tcBorders>
          </w:tcPr>
          <w:p>
            <w:pPr>
              <w:spacing w:after="0"/>
              <w:rPr>
                <w:sz w:val="2"/>
                <w:szCs w:val="2"/>
                <w:color w:val="auto"/>
              </w:rPr>
            </w:pPr>
          </w:p>
        </w:tc>
        <w:tc>
          <w:tcPr>
            <w:tcW w:w="8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9"/>
        </w:trPr>
        <w:tc>
          <w:tcPr>
            <w:tcW w:w="920" w:type="dxa"/>
            <w:vAlign w:val="bottom"/>
            <w:tcBorders>
              <w:bottom w:val="single" w:sz="8" w:color="CCEEFF"/>
            </w:tcBorders>
            <w:shd w:val="clear" w:color="auto" w:fill="CCEEFF"/>
          </w:tcPr>
          <w:p>
            <w:pPr>
              <w:spacing w:after="0"/>
              <w:rPr>
                <w:sz w:val="22"/>
                <w:szCs w:val="22"/>
                <w:color w:val="auto"/>
              </w:rPr>
            </w:pPr>
          </w:p>
        </w:tc>
        <w:tc>
          <w:tcPr>
            <w:tcW w:w="8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2,826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1,323</w:t>
            </w:r>
          </w:p>
        </w:tc>
      </w:tr>
      <w:tr>
        <w:trPr>
          <w:trHeight w:val="20"/>
        </w:trPr>
        <w:tc>
          <w:tcPr>
            <w:tcW w:w="920" w:type="dxa"/>
            <w:vAlign w:val="bottom"/>
            <w:tcBorders>
              <w:top w:val="single" w:sz="8" w:color="CCEEFF"/>
            </w:tcBorders>
          </w:tcPr>
          <w:p>
            <w:pPr>
              <w:spacing w:after="0" w:line="20" w:lineRule="exact"/>
              <w:rPr>
                <w:sz w:val="1"/>
                <w:szCs w:val="1"/>
                <w:color w:val="auto"/>
              </w:rPr>
            </w:pPr>
          </w:p>
        </w:tc>
        <w:tc>
          <w:tcPr>
            <w:tcW w:w="8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At December 31, 2014, the estimated fair value of our long-term debt was approximately $3,143 million or $317 million higher than its carrying value. The fair value of our FNF Term loan was $1,173 at December 31, 2014. The fair value of our FNF Term loan was based on discounted cash flows and is considered a level 2 financial liability. The fair value of our unsecured notes payable was $1,954 million as of December 31, 2014. The fair values of our unsecured notes payable are based on established market prices for the securities on December 31, 2014 and are considered Level 2 financial liabilities. The carrying value of our ABRH Term Loan was $108 million, and approximates fair value as the loan was entered into in the third quarter of 2014 and is considered a Level 2 financial liability.</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1" w:right="239" w:bottom="1440" w:gutter="0" w:footer="0" w:header="0"/>
        </w:sectPr>
      </w:pPr>
    </w:p>
    <w:bookmarkStart w:id="94" w:name="page95"/>
    <w:bookmarkEnd w:id="94"/>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4"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6"/>
          <w:szCs w:val="16"/>
          <w:color w:val="auto"/>
        </w:rPr>
        <w:t>On September 3, 2013, J. Alexander’s entered into a loan agreement with Pinnacle Bank which provided for a general purpose $1 million revolving line of credit with a maturity date of September 3, 2016, and a $15 million term loan with monthly installment principal payments plus interest through September 3, 2020 at which point the remaining unpaid principal and any accrued interest becomes due. On December 9, 2014, J. Alexander’s, LLC executed an amended and restated loan agreement (“the J. Alexander’s Loan Agreement”) which encompasses the two existing promissory notes discussed above dated September 3, 2013 and also includes a $15 million development line of credit with a maturity date of December 3, 2019. The J. Alexander’s Loan Agreement is secured by liens on certain personal property of J. Alexander’s Holdings, LLC and its subsidiaries, subsidiary guaranties, and a mortgage lien on certain real property. In addition, the lender is entitled to a first priority security interest in three additional restaurants in the event the $15 million term loan remains outstanding as of June 9, 2015. As of December 31, 2014, there were no borrowings outstanding under either the $1 million revolving line of credit or the $15 million development line of credit. The principal amount of the term loan outstanding as of December 31, 2014 was $13 million, and is included in "other" in the table above. Any amount borrowed under the $1 million revolving credit facility bears interest at an annual rate of 30</w:t>
      </w:r>
      <w:r>
        <w:rPr>
          <w:rFonts w:ascii="MS PGothic" w:cs="MS PGothic" w:eastAsia="MS PGothic" w:hAnsi="MS PGothic"/>
          <w:sz w:val="16"/>
          <w:szCs w:val="16"/>
          <w:color w:val="auto"/>
        </w:rPr>
        <w:t>‑</w:t>
      </w:r>
      <w:r>
        <w:rPr>
          <w:rFonts w:ascii="Arial" w:cs="Arial" w:eastAsia="Arial" w:hAnsi="Arial"/>
          <w:sz w:val="16"/>
          <w:szCs w:val="16"/>
          <w:color w:val="auto"/>
        </w:rPr>
        <w:t>day LIBOR plus a margin equal to 2.50%, with a minimum interest rate of 3.25% per annum. The $15 million term loan bears interest at an annual rate of 30</w:t>
      </w:r>
      <w:r>
        <w:rPr>
          <w:rFonts w:ascii="MS PGothic" w:cs="MS PGothic" w:eastAsia="MS PGothic" w:hAnsi="MS PGothic"/>
          <w:sz w:val="16"/>
          <w:szCs w:val="16"/>
          <w:color w:val="auto"/>
        </w:rPr>
        <w:t>‑</w:t>
      </w:r>
      <w:r>
        <w:rPr>
          <w:rFonts w:ascii="Arial" w:cs="Arial" w:eastAsia="Arial" w:hAnsi="Arial"/>
          <w:sz w:val="16"/>
          <w:szCs w:val="16"/>
          <w:color w:val="auto"/>
        </w:rPr>
        <w:t>day LIBOR plus a margin equal to</w:t>
      </w:r>
    </w:p>
    <w:p>
      <w:pPr>
        <w:spacing w:after="0" w:line="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2.50%, with a minimum and maximum interest rate of 3.25% and 6.25% per annum, respectively. Any amount borrowed under the $15 million development line of credit bears interest at an annual rate of 30-day LIBOR plus a margin equal to 2.20%. A non-use fee of 0.25% per annum of the unused portion of the $1 million line of credit and the $15 million development line of credit is also payable quarterly during the term of the loans. The J. Alexander’s Loan Agreement, among other things, requires compliance with certain financial covenants, permits payments of tax dividends to members, limits capital expenditures, asset sales and liens and encumbrances, prohibits dividends, and contains certain other provisions customarily included in such agreements. In addition, dividends may be paid under a formula consisting of a $6 million base, which amount will be increased annually by $3 million plus 25% of consolidated net income for the immediately preceding year, beginning with the year which ended December 31, 2014, and reduced by the aggregate amount of such dividends previously paid, if any, from the J. Alexander’s Loan Agreement’s inception through the measurement date. If an event of default shall occur and be continuing under the J. Alexander’s Loan Agreement, the commitment under the J. Alexander’s Loan Agreement may be terminated and any principal amount outstanding, together with all accrued unpaid interest and other amounts owing in respect thereof, may be declared immediately due and payable. J. Alexander’s, LLC was in compliance with these financial covenants as of December 31, 2014 and for all reporting periods during the year then ended.</w:t>
      </w:r>
    </w:p>
    <w:p>
      <w:pPr>
        <w:spacing w:after="0" w:line="197"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On August 19, 2014, ABRH entered into a credit agreement (the “ABRH Credit Facility”) with Wells Fargo Bank, National Association as Administrative Agent, Swingline Lender and Issuing Lender (the “ABRH Administrative Agent”), Bank of America, N.A. as Syndication Agent and the other financial institutions party thereto. The ABRH Credit Facility provides for a maximum revolving loan of $100 million (the “ABRH Revolver") with a maturity date of August 19, 2019. As of December 31, 2014, ABRH has nothing outstanding on this revolver. Additionally, the ABRH Credit Facility provides for a maximum term loan (the "ABRH Term Loan") of $110 million with quarterly installment repayments through June 30, 2019 and a maturity date of August 19, 2019 for the outstanding unpaid principal balance and all accrued and unpaid interest. ABRH has borrowed the entire $110 million under this term loan. Pricing for the ABRH Credit Facility is based on an applicable margin between 225 basis points to 300 basis points over LIBOR and between 125 basis points and 200 basis points over the Base Rate (which is the highest of (a) 50 basis points in excess of the federal funds rate, (b) the ABRH Administrative Agent “prime rate,” or (c) the sum of 100 basis points plus one-month LIBOR). A commitment fee amount is also due at a rate per annum equal to between 325 and 400 basis points on the average daily unused portion of the commitments under the ABRH Revolver. The ABRH Credit Facility also allows for ABRH to request up to $40 million of letters of credit commitments and $20 million in swingline debt from the ABRH Administrative Agent. The ABRH Credit Facility allows for ABRH to elect to enter into incremental term loans or request incremental revolving commitments (the “ABRH Incremental Loans”) under this facility so long as, (i) the total outstanding balance of the ABRH Revolver, the ABRH Term Loan and any ABRH Incremental Loans does not exceed $250 million, (ii) ABRH is in compliance with its financial covenants, (iii) no default or event of default exists under the ABRH Credit Facility on the day of such request either before or after giving effect to the request, (iv) the representations and warranties made under the ABRH Credit Facility are correct and (v) certain other conditions are satisfied. The ABRH Credit Facility is subject to affirmative, negative and financial covenants customary for financings of this type, including, among other things, limits on ABRH 's creation of liens, sales of assets, incurrence of indebtedness, restricted payments and transactions with affiliates. The covenants addressing restricted payments include certain limitations on the declaration or payment of dividends by ABRH to its parent, Fidelity Newport Holdings, LLC (“FNH”), and by FNH to its members. One such limitation restricts the amount of dividends that ABRH can pay to its parent (and that FNH can in turn pay to its members) up to $2 million in the aggregate (outside of certain other permitted dividend payments) in a fiscal year (with some carryover rights for undeclared dividends for subsequent years). Another limitation allows that, so long as ABRH satisfies certain leverage and liquidity requirements to the satisfaction of the ABRH Administrative Agent, ABRH may declare a special one-time dividend to Newport Global Opportunities Fund LP, and Fidelity National Financial Ventures, LLC or one of the entities under their control (other than portfolio companies) in an amount up to $75 million if such dividend occurs on or before November 17, 2014, or up to $1.5 million if such dividend occurs on or before June 15, 2016. The ABRH Credit Facility</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121" w:right="239" w:bottom="1440" w:gutter="0" w:footer="0" w:header="0"/>
        </w:sectPr>
      </w:pPr>
    </w:p>
    <w:bookmarkStart w:id="95" w:name="page96"/>
    <w:bookmarkEnd w:id="95"/>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includes customary events of default for facilities of this type (with customary grace periods, as applicable), which include a cross-default provision whereby an event of default will be deemed to have occurred if ABRH or any of its guarantors, which consists of FNH and certain of its subsidiaries (together, the “Loan Parties”) or any of their subsidiaries default on any agreement with a third party of $10 million or more related to their indebtedness and such default results in a right by such third party to accelerate such Loan Party's or its subsidiary's obligations. The ABRH Credit Facility provides that, upon the occurrence of an event of default, the ABRH Administrative Lender may (i) declare the principal of, and any and all accrued and unpaid interest and all other amounts owed in respect of, the loans immediately due and payable, (ii) terminate loan commitments and (iii) exercise all other rights and remedies available to the ABRH Administrative Lender or the lenders under the loan documents. ABRH had $17 million of outstanding letters of credit and $83 million of remaining borrowing capacity under its revolving credit facility as of December 31, 2014. ABRH repaid $2 million on the term loan during the year ended December 31, 2014.</w:t>
      </w:r>
    </w:p>
    <w:p>
      <w:pPr>
        <w:spacing w:after="0" w:line="197" w:lineRule="exact"/>
        <w:rPr>
          <w:sz w:val="20"/>
          <w:szCs w:val="20"/>
          <w:color w:val="auto"/>
        </w:rPr>
      </w:pPr>
    </w:p>
    <w:p>
      <w:pPr>
        <w:jc w:val="both"/>
        <w:ind w:firstLine="324"/>
        <w:spacing w:after="0" w:line="283" w:lineRule="auto"/>
        <w:rPr>
          <w:sz w:val="20"/>
          <w:szCs w:val="20"/>
          <w:color w:val="auto"/>
        </w:rPr>
      </w:pPr>
      <w:r>
        <w:rPr>
          <w:rFonts w:ascii="Arial" w:cs="Arial" w:eastAsia="Arial" w:hAnsi="Arial"/>
          <w:sz w:val="16"/>
          <w:szCs w:val="16"/>
          <w:color w:val="auto"/>
        </w:rPr>
        <w:t>On January 2, 2014, as a result of the LPS acquisition, FNF acquired $600 million aggregate principal amount of 5.75% Senior Notes due 2023, initially issued by Black Knight Infoserv, LLC (formerly LPS, "Black Knight Infoserv") on October 12, 2012 (the "Black Knight Senior Notes"). The Black Knight Senior Notes were registered under the Securities Act of 1933, as amended, carry an interest rate of 5.75% and will mature on April 15, 2023. Interest is payable semi-annually on the 15th day of April and October. The Black Knight Senior Notes are senior unsecured obligations and were guaranteed by us as of January 2, 2014. At any time and from time to time, prior to October 15, 2015, Black Knight Infoserv may redeem up to a maximum of 35% of the original aggregate principal amount of the Black Knight Senior Notes with the proceeds of one or more equity offerings, at a redemption price equal to 105.75% of the principal amount thereof, plus accrued and unpaid interest thereon, if any, to the redemption date (subject to the right of holders of record on the relevant record date to receive interest due on the relevant interest payment date). Prior to October 15, 2017, Black Knight Infoserv may redeem some or all of the Black Knight Senior Notes by paying a “make-whole” premium based on U.S. Treasury rates. On or after October 15, 2017, Black Knight Infoserv may redeem some or all of the Black Knight Senior Notes at the redemption prices described in the Black Knight Senior Notes indenture, plus accrued and unpaid interest. In addition, if a change of control occurs, Black Knight Infoserv is required to offer to purchase all outstanding Black Knight Senior Notes at a price equal to 101% of the principal amount plus accrued and unpaid interest, if any, to the date of purchase (subject to the right of holders of record on the relevant record date to receive interest due on the relevant interest payment date).The Black Knight Senior Notes contain covenants that, among other things, limit Black Knight Infoserv's ability and the ability of certain of its subsidiaries (a) to incur or guarantee additional indebtedness or issue preferred stock, (b) to make certain restricted payments, including dividends or distributions on equity interests held by persons other than Black Knight Infoserv or certain subsidiaries, in excess of an amount generally equal to 50% of consolidated net income generated since July 1, 2008, (c) to create or incur certain liens, (d) to engage in sale and leaseback transactions, (e) to create restrictions that would prevent or limit the ability of certain subsidiaries to (i) pay dividends or other distributions to Black Knight Infoserv or certain other subsidiaries, (ii) repay any debt or make any loans or advances to Black Knight Infoserv or certain other subsidiaries or (iii) transfer any property or assets to Black Knight Infoserv or certain other subsidiaries, (f) to sell or dispose of assets of Black Knight Infoserv or any restricted subsidiary or enter into merger or consolidation transactions and (g) to engage in certain transactions with affiliates. As a result of our guarantee of the Black Knight Senior Notes on January 2, 2014, the notes became rated investment grade. The indenture provides that certain covenants are suspended while the Black Knight Senior Notes are rated investment grade. Currently covenants (a), (b), (e), certain provisions of (f) and (g) outlined above are suspended. These covenants will continue to be suspended as long as the notes are rated investment grade, as defined in the indenture. These covenants are subject to a number of exceptions, limitations and qualifications in the Black Knight Senior Notes indenture. The Black Knight Senior Notes contain customary events of default, including failure of Black Knight Infoserv (i) to pay principal and interest when due and payable and breach of certain other covenants and (ii) to make an offer to purchase and pay for the Black Knight Senior Notes tendered as required by the Black Knight Senior Notes. Events of default also include defaults with respect to any other debt of Black Knight Infoserv or debt of certain subsidiaries having an outstanding principal amount of $80 million or more in the aggregate for all such debt, arising from (i) failure to make a principal payment when due and such defaulted payment is not made, waived or extended within the applicable grace period or (ii) the occurrence of an event which results in such debt being due and payable prior to its scheduled maturity. Upon the occurrence of an event of default (other than a bankruptcy default with respect to Black Knight Infoserv or certain subsidiaries), the trustee or holders of at least 25% of the Black Knight Senior Notes then outstanding may accelerate the Black Knight Senior Notes by giving us appropriate notice. If, however, a bankruptcy default occurs with respect to Black Knight Infoserv or certain subsidiaries, then the principal of and accrued interest on the Black Knight Senior Notes then outstanding will accelerate immediately without any declaration or other act on the part of the trustee or any holder. On January 16, 2014, we issued an offer to purchase the Black Knight Senior Notes pursuant to the change of control provisions above at a purchase price of 101% of the principal amount plus accrued interest to the purchase date. The offer expired on February 18, 2014. As a result of the offer, bondholders tendered $5 million in principal of the Black Knight Senior Notes, which were purchased by us on February 24, 2014.</w:t>
      </w:r>
    </w:p>
    <w:p>
      <w:pPr>
        <w:spacing w:after="0" w:line="29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October 24, 2013, we entered into a bridge loan commitment letter (the “Bridge Loan Commitment Letter”) with Merrill Lynch, Pierce, Fenner &amp; Smith Incorporated, Bank of America, N.A. (“Bank of America”), J.P. Morgan Securities LLC and JP</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121" w:right="239" w:bottom="1440" w:gutter="0" w:footer="0" w:header="0"/>
        </w:sectPr>
      </w:pPr>
    </w:p>
    <w:bookmarkStart w:id="96" w:name="page97"/>
    <w:bookmarkEnd w:id="96"/>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Morgan Chase Bank, N.A. The Bridge Loan Commitment Letter provides for up to an $800 million short-term loan facility (the “Bridge Facility”). The proceeds of the loans under the Bridge Facility were used to fund, in part, the cash consideration for the acquisition of LPS and pay certain costs, fees and expenses in connection with the LPS merger. Pursuant to the Bridge Loan Commitment Letter, we executed a promissory note in favor of the Bridge Facility lenders on the closing date of the Merger that evidenced the terms of the Bridge Facility. The Bridge Facility matured on the second business day following the funding thereof and required scheduled amortization payments. Borrowings under the Bridge Facility bear interest at a rate equal to the highest of (i) the Bank of America prime rate, (ii) the federal fund effective rate from time to time plus 0.5% and (iii) the one month adjusted London interbank offered rate ("LIBOR") plus 1.0%. Other than as set forth in this paragraph, the terms of the Bridge Facility are substantially the same as the terms of the Amended Term Loan Agreement discussed below. As part of the acquisition of LPS on January 2, 2014, the Bridge Facility was funded and subsequently repaid the following day.</w:t>
      </w:r>
    </w:p>
    <w:p>
      <w:pPr>
        <w:spacing w:after="0" w:line="89"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On July 11, 2013, FNF entered into a term loan credit agreement with Bank of America, N.A., as administrative agent (in such capacity, the “TL Administrative Agent”), the lenders party thereto and the other agents party thereto (the “Term Loan Agreement”). The Term Loan Agreement permits us to borrow up to $1.1 billion to fund the acquisition of LPS. The term loans under the Term Loan Agreement mature on the date that is five years from the funding date of the term loans under the Term Loan Agreement. Term loans under the Term Loan Agreement generally bear interest at a variable rate based on either (i) the base rate (which is the highest of (a) 0.5% in excess of the federal funds rate, (b) the TL Administrative Agent’s “prime rate”, or (c) the sum of 1.0% plus one-month LIBOR) plus a margin of between 50 basis points and 100 basis points depending on the senior unsecured long-term debt ratings of FNF or (ii) LIBOR plus a margin of between 150 basis points and 200 basis points depending on the senior unsecured long-term debt ratings of FNF. Based on our current Moody’s and Standard &amp; Poor’s senior unsecured long-term debt ratings of Baa3/BBB-, respectively, the applicable margin for term loans subject to LIBOR is 175 basis points over LIBOR. In addition, we will pay an unused commitment fee of 25 basis points on the entire term loan facility until the earlier of the termination of the term loan commitments or the funding of the term loans. Under the Term Loan Agreement, we are subject to customary affirmative, negative and financial covenants, including, among other things, limits on the creation of liens, limits on the incurrence of indebtedness, restrictions on investments, dispositions and transactions with affiliates, limitations on dividends and other restricted payments, a minimum net worth and a maximum debt to capitalization ratio. The Term Loan Agreement also includes customary events of default for facilities of this type (with customary grace periods, as applicable) and provides that, if an event of default occurs and is continuing, the interest rate on all outstanding obligations may be increased, payments of all outstanding term loans may be accelerated and/or the lenders’ commitments may be terminated. In addition, upon the occurrence of certain insolvency or bankruptcy related events of default, all amounts payable under the Term Loan Agreement shall automatically become immediately due and payable, and the lenders’ commitments will automatically terminate. Under the Term Loan Agreement the financial covenants are the same as under the Restated Credit Agreement. On October 27, 2013, we amended the Term Loan Agreement to permit us to incur the indebtedness in respect of the Bridge Facility and incorporate other technical changes to describe the structure of the LPS merger. As part of the acquisition of LPS on January 2, 2014, the Term Loan Agreement was fully funded. No payments have been made through December 31, 2014.</w:t>
      </w:r>
    </w:p>
    <w:p>
      <w:pPr>
        <w:spacing w:after="0" w:line="60"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On June 25, 2013, we entered into an agreement to amend and restate our existing $800 million second amended and restated credit agreement (the “Old Credit Agreement”), dated as of April 16, 2012 with Bank of America, N.A., as administrative agent (in such capacity, the “Administrative Agent”) and the other agents party thereto (the “Revolving Credit Facility”). Among other changes, the Revolving Credit Facility amends the Old Credit Agreement to permit us to make a borrowing under the Revolving Credit Facility to finance a portion of the acquisition of LPS on a “limited conditionality” basis, incorporates other technical changes to permit us to enter into the Acquisition and extends the maturity of the Existing Credit Agreement. The lenders under the Old Credit Agreement have agreed to extend the maturity date of their commitments under the credit facility from April 16, 2016 to July 15, 2018 under the Revolving Credit Facility. Revolving loans under the credit facility generally bear interest at a variable rate based on either (i) the base rate (which is the highest of (a) one-half of one percent in excess of the federal funds rate, (b) the Administrative Agent's “prime rate”, or (c) the sum of one percent plus one-month LIBOR) plus a margin of between 32.5 and 60 basis points depending on the senior unsecured long-term debt ratings of FNF or (ii) LIBOR plus a margin of between 132.5 and 160 basis points depending on the senior unsecured long-term debt ratings of FNF. Based on our current Moody’s and Standard &amp; Poor’s senior unsecured long-term debt ratings of Baa3/BBB-, respectively, the applicable margin for revolving loans subject to LIBOR is 145 basis points. In addition, we will pay an unused commitment fee of between 17.5 and 40 basis points on the entire facility, also depending on our senior unsecured long-term debt ratings. Under the Revolving Credit Facility, we are subject to customary affirmative, negative and financial covenants, including, among other things, limits on the creation of liens, limits on the incurrence of indebtedness, restrictions on investments, dispositions and transactions with affiliates, limitations on dividends and other restricted payments, a minimum net worth and a maximum debt to capitalization ratio. The Revolving Credit Facility also includes customary events of default for facilities of this type (with customary grace periods, as applicable) and provides that, if an event of default occurs and is continuing, the interest rate on all outstanding obligations may be increased, payments of all outstanding loans may be accelerated and/or the lenders' commitments may be terminated. These events of default include a cross-default provision that, subject to limited exceptions, permits the lenders</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121" w:right="239" w:bottom="1440" w:gutter="0" w:footer="0" w:header="0"/>
        </w:sectPr>
      </w:pPr>
    </w:p>
    <w:bookmarkStart w:id="97" w:name="page98"/>
    <w:bookmarkEnd w:id="97"/>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to declare the Revolving Credit Facility in default if: (i) (a) we fail to make any payment after the applicable grace period under any indebtedness with a principal amount (including undrawn committed amounts) in excess of 3.0% of our net worth, as defined in the Revolving Credit Facility, or (b) we fail to perform any other term under any such indebtedness, or any other event occurs, as a result of which the holders thereof may cause it to become due and payable prior to its maturity; or (ii) certain termination events occur under significant interest rate, equity or other swap contracts. In addition, upon the occurrence of certain insolvency or bankruptcy related events of default, all amounts payable under the Revolving Credit Facility shall automatically become immediately due and payable, and the lenders' commitments will automatically terminate. Under the Revolving Credit Facility the financial covenants remain essentially the same as under the Old Credit Agreement, except that the total debt to total capitalization ratio limit of 35% increased to 37.5% for a period of one year after the closing of the LPS acquisition and the net worth test was reset. Also on October 24, 2013, we entered into amendments to amend the revolving credit facility to permit us to incur the indebtedness in respect of the Bridge Facility and incorporate other technical changes to describe the structure of the LPS merger. As part of the acquisition of LPS on January 2, 2014, we borrowed $300 million under the Revolving Credit Facility, which we repaid during the year ended December 31, 2014.</w:t>
      </w:r>
    </w:p>
    <w:p>
      <w:pPr>
        <w:spacing w:after="0" w:line="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August 28, 2012, we completed an offering of $400 million in aggregate principal amount of 5.50% notes due September 2022 (the "5.50% notes"), pursuant to an effective registration statement previously filed with the Securities and Exchange Commission. The notes were priced at 99.513% of par to yield 5.564% annual interest. As such we recorded a discount of $2 million, which is netted against the $400 million aggregate principal amount of the 5.50% notes. The discount is amortized to September 2022 when the 5.50% notes mature. The 5.50% notes will pay interest semi-annually on the 1st of March and September, beginning March 1, 2013. We received net proceeds of $396 million, after expenses, which were used to repay the $237 million aggregate principal amount outstanding of our 5.25% unsecured notes maturing in March 2013, the $50 million outstanding on our revolving credit facility, and the remainder is being held for general corporate purposes. These notes contain customary covenants and events of default for investment grade public debt. These events of default include a cross default provision, with respect to any other debt of the Company in an aggregate amount exceeding $100 million for all such debt, arising from (i) failure to make a principal payment when due or (ii) the occurrence of an event which results in such debt being due and payable prior to its scheduled maturity.</w:t>
      </w:r>
    </w:p>
    <w:p>
      <w:pPr>
        <w:spacing w:after="0" w:line="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On May 31, 2012, ABRH entered into a credit agreement (the “Old ABRH Credit Facility”) with Wells Fargo Capital Finance, LLC as administrative agent and swing lender (the “ABRH Administrative Lender”) and the other financial institutions party thereto. The ABRH Credit Facility provides for a maximum revolving loan of $80 million with a maturity date of May 31, 2017. Additionally, the ABRH Credit Facility provides for a maximum term loan ("Restaurant Group Term Loan") of $85 million with quarterly installment repayments through December 25, 2016 and a maturity date of May 31, 2017 for the outstanding unpaid principal balance and all accrued and unpaid interest. On May 31, 2012, ABRH borrowed the entire $85 million under such term loan. Pricing for the ABRH Credit Facility is based on an applicable margin between 300 basis points to 375 basis points over LIBOR. The Old ABRH Credit Facility has been terminated and replaced by the ABRH Credit Facility. The $53 million balance on the old ABRH Credit Facility was paid during the year ended December 31, 2014.</w:t>
      </w:r>
    </w:p>
    <w:p>
      <w:pPr>
        <w:spacing w:after="0" w:line="165"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On August 2, 2011, we completed an offering of $300 million in aggregate principal amount of 4.25% convertible senior notes due August 2018 (the "Notes") in an offering conducted in accordance with Rule 144A under the Securities Act of 1933, as amended. The Notes contain customary event-of-default provisions which, subject to certain notice and cure-period conditions, can result in the acceleration of the principal amount of, and accrued interest on, all outstanding Notes if we breach the terms of the Notes or the indenture pursuant to which the Notes were issued. The Notes are unsecured and unsubordinated obligations and (i) rank senior in right of payment to any of our existing or future unsecured indebtedness that is expressly subordinated in right of payment to the Notes; (ii) rank equal in right of payment to our existing and future unsecured indebtedness that is not so subordinated; (iii) are effectively subordinated in right of payment to any of our secured indebtedness to the extent of the value of the assets securing such indebtedness; and (iv) are structurally subordinated to all existing and future indebtedness and liabilities of our subsidiaries. Interest is payable on the principal amount of the Notes, semi-annually in arrears in cash on February 15 and August 15 of each year, commencing February 15, 2012. The Notes mature on August 15, 2018, unless earlier purchased by us or converted. The Notes were issued for cash at 100% of their principal amount. However, for financial reporting purposes, the notes were deemed to have been issued at 92.818% of par value, and as such we recorded a discount of $22 million to be amortized to August 2018, when the Notes mature. The Notes will be convertible into cash, shares of common stock, or a combination of cash and shares of common stock, at our election, based on an initial conversion rate, subject to adjustment, of 46.387 shares per $1,000 principal amount of the Notes (which represents an initial conversion price of approximately $21.56 per share), only in the following circumstances and to the following extent: (i) during any calendar quarter commencing after December 31, 2011, if, for each of at least 20 trading days (whether or not consecutive) during the 30 consecutive trading day period ending on, and including, the last trading day of the immediately preceding calendar quarter, the last reported sale price per share of our common stock on such trading day is greater than or equal to 130% of the applicable conversion price on such trading day; (ii) during the five consecutive business day period immediately following any ten consecutive trading day period (the “measurement period”)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21" w:right="239" w:bottom="1440" w:gutter="0" w:footer="0" w:header="0"/>
        </w:sectPr>
      </w:pPr>
    </w:p>
    <w:bookmarkStart w:id="98" w:name="page99"/>
    <w:bookmarkEnd w:id="98"/>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3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which, for each trading day of the measurement period, the trading price per $1,000 principal amount of notes was less than 98% of the product of the last reported sale price per share of our common stock on such trading day and the applicable conversion rate on such trading day; (iii) upon the occurrence of specified corporate transactions; or (iv) at any time on and after May 15, 2018. However, in all cases, the Notes will cease to be convertible at the close of business on the second scheduled trading day immediately preceding the maturity date. It is our intent and policy to settle conversions through “net-share settlement”. Generally, under “net-share settlement,” the conversion value is settled in cash, up to the principal amount being converted, and the conversion value in excess of the principal amount is settled in shares of our common stock. As of October 1, 2013, these notes were convertible under the 130% Sale Price Condition described above. On March 28, 2014, $42 thousand in principal of these bonds were converted at the election of the bondholder. These bonds had a fair value of $65 thousand. The conversion was completed in the second quarter of 2014.</w:t>
      </w:r>
    </w:p>
    <w:p>
      <w:pPr>
        <w:spacing w:after="0" w:line="3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May 5, 2010, we completed an offering of $300 million in aggregate principal amount of our 6.60% notes due May 2017 (the "6.60% Notes"), pursuant to an effective registration statement previously filed with the Securities and Exchange Commission. The 6.60% Notes were priced at 99.897% of par to yield 6.61% annual interest. We received net proceeds of $297 million, after expenses, which were used to repay outstanding borrowings under our credit agreement. Interest is payable semi-annually. These notes contain customary covenants and events of default for investment grade public debt. These events of default include a cross default provision, with respect to any other debt of FNF in an aggregate amount exceeding $100 million for all such debt, arising from (i) failure to make a principal payment when due or (ii) the occurrence of an event which results in such debt being due and payable prior to its scheduled maturity.</w:t>
      </w:r>
    </w:p>
    <w:p>
      <w:pPr>
        <w:spacing w:after="0" w:line="21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Gross principal maturities of notes payable at December 31, 2014 are as follows (in millions):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ind w:left="40"/>
              <w:spacing w:after="0"/>
              <w:rPr>
                <w:sz w:val="20"/>
                <w:szCs w:val="20"/>
                <w:color w:val="auto"/>
              </w:rPr>
            </w:pPr>
            <w:r>
              <w:rPr>
                <w:rFonts w:ascii="Arial" w:cs="Arial" w:eastAsia="Arial" w:hAnsi="Arial"/>
                <w:sz w:val="18"/>
                <w:szCs w:val="18"/>
                <w:color w:val="auto"/>
              </w:rPr>
              <w:t>2015</w:t>
            </w:r>
          </w:p>
        </w:tc>
        <w:tc>
          <w:tcPr>
            <w:tcW w:w="7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70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2017</w:t>
            </w:r>
          </w:p>
        </w:tc>
        <w:tc>
          <w:tcPr>
            <w:tcW w:w="7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70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2019</w:t>
            </w:r>
          </w:p>
        </w:tc>
        <w:tc>
          <w:tcPr>
            <w:tcW w:w="70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7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7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2,823</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7080" w:type="dxa"/>
            <w:vAlign w:val="bottom"/>
            <w:vMerge w:val="restart"/>
          </w:tcPr>
          <w:p>
            <w:pPr>
              <w:jc w:val="right"/>
              <w:ind w:right="4390"/>
              <w:spacing w:after="0"/>
              <w:rPr>
                <w:sz w:val="20"/>
                <w:szCs w:val="20"/>
                <w:color w:val="auto"/>
              </w:rPr>
            </w:pPr>
            <w:r>
              <w:rPr>
                <w:rFonts w:ascii="Arial" w:cs="Arial" w:eastAsia="Arial" w:hAnsi="Arial"/>
                <w:sz w:val="18"/>
                <w:szCs w:val="18"/>
                <w:color w:val="auto"/>
              </w:rPr>
              <w:t>95</w:t>
            </w: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708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200" w:type="dxa"/>
            <w:vAlign w:val="bottom"/>
          </w:tcPr>
          <w:p>
            <w:pPr>
              <w:spacing w:after="0"/>
              <w:rPr>
                <w:sz w:val="24"/>
                <w:szCs w:val="24"/>
                <w:color w:val="auto"/>
              </w:rPr>
            </w:pPr>
          </w:p>
        </w:tc>
        <w:tc>
          <w:tcPr>
            <w:tcW w:w="70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9" w:name="page100"/>
    <w:bookmarkEnd w:id="99"/>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80" w:type="dxa"/>
            <w:vAlign w:val="bottom"/>
          </w:tcPr>
          <w:p>
            <w:pPr>
              <w:spacing w:after="0"/>
              <w:rPr>
                <w:sz w:val="20"/>
                <w:szCs w:val="20"/>
                <w:color w:val="auto"/>
              </w:rPr>
            </w:pPr>
            <w:r>
              <w:rPr>
                <w:rFonts w:ascii="Arial" w:cs="Arial" w:eastAsia="Arial" w:hAnsi="Arial"/>
                <w:sz w:val="18"/>
                <w:szCs w:val="18"/>
                <w:b w:val="1"/>
                <w:bCs w:val="1"/>
                <w:color w:val="auto"/>
              </w:rPr>
              <w:t>Note K.</w:t>
            </w:r>
          </w:p>
        </w:tc>
        <w:tc>
          <w:tcPr>
            <w:tcW w:w="6700" w:type="dxa"/>
            <w:vAlign w:val="bottom"/>
            <w:gridSpan w:val="2"/>
          </w:tcPr>
          <w:p>
            <w:pPr>
              <w:ind w:left="220"/>
              <w:spacing w:after="0"/>
              <w:rPr>
                <w:sz w:val="20"/>
                <w:szCs w:val="20"/>
                <w:color w:val="auto"/>
              </w:rPr>
            </w:pPr>
            <w:r>
              <w:rPr>
                <w:rFonts w:ascii="Arial" w:cs="Arial" w:eastAsia="Arial" w:hAnsi="Arial"/>
                <w:sz w:val="18"/>
                <w:szCs w:val="18"/>
                <w:b w:val="1"/>
                <w:bCs w:val="1"/>
                <w:color w:val="auto"/>
              </w:rPr>
              <w:t>Income Taxes</w:t>
            </w: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780" w:type="dxa"/>
            <w:vAlign w:val="bottom"/>
            <w:gridSpan w:val="3"/>
          </w:tcPr>
          <w:p>
            <w:pPr>
              <w:ind w:left="340"/>
              <w:spacing w:after="0"/>
              <w:rPr>
                <w:sz w:val="20"/>
                <w:szCs w:val="20"/>
                <w:color w:val="auto"/>
              </w:rPr>
            </w:pPr>
            <w:r>
              <w:rPr>
                <w:rFonts w:ascii="Arial" w:cs="Arial" w:eastAsia="Arial" w:hAnsi="Arial"/>
                <w:sz w:val="18"/>
                <w:szCs w:val="18"/>
                <w:color w:val="auto"/>
              </w:rPr>
              <w:t>Income tax expense on continuing operations consists of the following:</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08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8"/>
          </w:tcPr>
          <w:p>
            <w:pPr>
              <w:jc w:val="right"/>
              <w:ind w:right="50"/>
              <w:spacing w:after="0"/>
              <w:rPr>
                <w:sz w:val="20"/>
                <w:szCs w:val="20"/>
                <w:color w:val="auto"/>
              </w:rPr>
            </w:pPr>
            <w:r>
              <w:rPr>
                <w:rFonts w:ascii="Arial" w:cs="Arial" w:eastAsia="Arial" w:hAnsi="Arial"/>
                <w:sz w:val="14"/>
                <w:szCs w:val="14"/>
                <w:b w:val="1"/>
                <w:bCs w:val="1"/>
                <w:color w:val="auto"/>
                <w:w w:val="96"/>
              </w:rPr>
              <w:t>Year Ended December 31,</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80" w:type="dxa"/>
            <w:vAlign w:val="bottom"/>
          </w:tcPr>
          <w:p>
            <w:pPr>
              <w:spacing w:after="0"/>
              <w:rPr>
                <w:sz w:val="22"/>
                <w:szCs w:val="22"/>
                <w:color w:val="auto"/>
              </w:rPr>
            </w:pPr>
          </w:p>
        </w:tc>
        <w:tc>
          <w:tcPr>
            <w:tcW w:w="6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64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43"/>
        </w:trPr>
        <w:tc>
          <w:tcPr>
            <w:tcW w:w="1080" w:type="dxa"/>
            <w:vAlign w:val="bottom"/>
          </w:tcPr>
          <w:p>
            <w:pPr>
              <w:ind w:left="40"/>
              <w:spacing w:after="0"/>
              <w:rPr>
                <w:sz w:val="20"/>
                <w:szCs w:val="20"/>
                <w:color w:val="auto"/>
              </w:rPr>
            </w:pPr>
            <w:r>
              <w:rPr>
                <w:rFonts w:ascii="Arial" w:cs="Arial" w:eastAsia="Arial" w:hAnsi="Arial"/>
                <w:sz w:val="18"/>
                <w:szCs w:val="18"/>
                <w:color w:val="auto"/>
              </w:rPr>
              <w:t>Deferred</w:t>
            </w:r>
          </w:p>
        </w:tc>
        <w:tc>
          <w:tcPr>
            <w:tcW w:w="6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1080" w:type="dxa"/>
            <w:vAlign w:val="bottom"/>
            <w:tcBorders>
              <w:bottom w:val="single" w:sz="8" w:color="CCEEFF"/>
            </w:tcBorders>
          </w:tcPr>
          <w:p>
            <w:pPr>
              <w:spacing w:after="0"/>
              <w:rPr>
                <w:sz w:val="2"/>
                <w:szCs w:val="2"/>
                <w:color w:val="auto"/>
              </w:rPr>
            </w:pPr>
          </w:p>
        </w:tc>
        <w:tc>
          <w:tcPr>
            <w:tcW w:w="64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080" w:type="dxa"/>
            <w:vAlign w:val="bottom"/>
            <w:tcBorders>
              <w:bottom w:val="single" w:sz="8" w:color="CCEEFF"/>
            </w:tcBorders>
            <w:shd w:val="clear" w:color="auto" w:fill="CCEEFF"/>
          </w:tcPr>
          <w:p>
            <w:pPr>
              <w:spacing w:after="0"/>
              <w:rPr>
                <w:sz w:val="22"/>
                <w:szCs w:val="22"/>
                <w:color w:val="auto"/>
              </w:rPr>
            </w:pPr>
          </w:p>
        </w:tc>
        <w:tc>
          <w:tcPr>
            <w:tcW w:w="64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gridSpan w:val="3"/>
            <w:vMerge w:val="restart"/>
          </w:tcPr>
          <w:p>
            <w:pPr>
              <w:ind w:left="340"/>
              <w:spacing w:after="0"/>
              <w:rPr>
                <w:sz w:val="20"/>
                <w:szCs w:val="20"/>
                <w:color w:val="auto"/>
              </w:rPr>
            </w:pPr>
            <w:r>
              <w:rPr>
                <w:rFonts w:ascii="Arial" w:cs="Arial" w:eastAsia="Arial" w:hAnsi="Arial"/>
                <w:sz w:val="18"/>
                <w:szCs w:val="18"/>
                <w:color w:val="auto"/>
              </w:rPr>
              <w:t>Total income tax expense (benefit) was allocated as follows (in millions):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78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08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8"/>
          </w:tcPr>
          <w:p>
            <w:pPr>
              <w:jc w:val="right"/>
              <w:ind w:right="50"/>
              <w:spacing w:after="0"/>
              <w:rPr>
                <w:sz w:val="20"/>
                <w:szCs w:val="20"/>
                <w:color w:val="auto"/>
              </w:rPr>
            </w:pPr>
            <w:r>
              <w:rPr>
                <w:rFonts w:ascii="Arial" w:cs="Arial" w:eastAsia="Arial" w:hAnsi="Arial"/>
                <w:sz w:val="14"/>
                <w:szCs w:val="14"/>
                <w:b w:val="1"/>
                <w:bCs w:val="1"/>
                <w:color w:val="auto"/>
                <w:w w:val="96"/>
              </w:rPr>
              <w:t>Year Ended December 31,</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80" w:type="dxa"/>
            <w:vAlign w:val="bottom"/>
          </w:tcPr>
          <w:p>
            <w:pPr>
              <w:spacing w:after="0"/>
              <w:rPr>
                <w:sz w:val="22"/>
                <w:szCs w:val="22"/>
                <w:color w:val="auto"/>
              </w:rPr>
            </w:pPr>
          </w:p>
        </w:tc>
        <w:tc>
          <w:tcPr>
            <w:tcW w:w="64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43"/>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Net earnings from continuing operations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3"/>
          </w:tcPr>
          <w:p>
            <w:pPr>
              <w:jc w:val="right"/>
              <w:ind w:right="1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7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Tax expense (benefit) attributable to net earnings from discontinued operations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Other comprehensive earnings (loss):</w:t>
            </w: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rPr>
              <w:t>Unrealized gains (loss) on investments and other financial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7780" w:type="dxa"/>
            <w:vAlign w:val="bottom"/>
            <w:gridSpan w:val="3"/>
          </w:tcPr>
          <w:p>
            <w:pPr>
              <w:ind w:left="280"/>
              <w:spacing w:after="0"/>
              <w:rPr>
                <w:sz w:val="20"/>
                <w:szCs w:val="20"/>
                <w:color w:val="auto"/>
              </w:rPr>
            </w:pPr>
            <w:r>
              <w:rPr>
                <w:rFonts w:ascii="Arial" w:cs="Arial" w:eastAsia="Arial" w:hAnsi="Arial"/>
                <w:sz w:val="18"/>
                <w:szCs w:val="18"/>
                <w:color w:val="auto"/>
              </w:rPr>
              <w:t>Unrealized gain (loss) on foreign currency translation and cash flow hedging</w:t>
            </w:r>
          </w:p>
        </w:tc>
        <w:tc>
          <w:tcPr>
            <w:tcW w:w="140" w:type="dxa"/>
            <w:vAlign w:val="bottom"/>
          </w:tcPr>
          <w:p>
            <w:pPr>
              <w:spacing w:after="0"/>
              <w:rPr>
                <w:sz w:val="21"/>
                <w:szCs w:val="21"/>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3"/>
            <w:shd w:val="clear" w:color="auto" w:fill="CCEEFF"/>
          </w:tcPr>
          <w:p>
            <w:pPr>
              <w:ind w:left="280"/>
              <w:spacing w:after="0"/>
              <w:rPr>
                <w:sz w:val="20"/>
                <w:szCs w:val="20"/>
                <w:color w:val="auto"/>
              </w:rPr>
            </w:pPr>
            <w:r>
              <w:rPr>
                <w:rFonts w:ascii="Arial" w:cs="Arial" w:eastAsia="Arial" w:hAnsi="Arial"/>
                <w:sz w:val="18"/>
                <w:szCs w:val="18"/>
                <w:color w:val="auto"/>
                <w:w w:val="99"/>
              </w:rPr>
              <w:t>Reclassification adjustment for change in unrealized gains and losses included in net earnings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7780" w:type="dxa"/>
            <w:vAlign w:val="bottom"/>
            <w:gridSpan w:val="3"/>
          </w:tcPr>
          <w:p>
            <w:pPr>
              <w:ind w:left="280"/>
              <w:spacing w:after="0"/>
              <w:rPr>
                <w:sz w:val="20"/>
                <w:szCs w:val="20"/>
                <w:color w:val="auto"/>
              </w:rPr>
            </w:pPr>
            <w:r>
              <w:rPr>
                <w:rFonts w:ascii="Arial" w:cs="Arial" w:eastAsia="Arial" w:hAnsi="Arial"/>
                <w:sz w:val="18"/>
                <w:szCs w:val="18"/>
                <w:color w:val="auto"/>
              </w:rPr>
              <w:t>Minimum pension liability adjustment</w:t>
            </w:r>
          </w:p>
        </w:tc>
        <w:tc>
          <w:tcPr>
            <w:tcW w:w="140" w:type="dxa"/>
            <w:vAlign w:val="bottom"/>
          </w:tcPr>
          <w:p>
            <w:pPr>
              <w:spacing w:after="0"/>
              <w:rPr>
                <w:sz w:val="21"/>
                <w:szCs w:val="21"/>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748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income tax expense (benefit) allocated to other comprehensive earnings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Additional paid-in capital, stock-based compensation</w:t>
            </w:r>
          </w:p>
        </w:tc>
        <w:tc>
          <w:tcPr>
            <w:tcW w:w="140" w:type="dxa"/>
            <w:vAlign w:val="bottom"/>
          </w:tcPr>
          <w:p>
            <w:pPr>
              <w:spacing w:after="0"/>
              <w:rPr>
                <w:sz w:val="21"/>
                <w:szCs w:val="21"/>
                <w:color w:val="auto"/>
              </w:rPr>
            </w:pP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748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income taxes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0"/>
        </w:trPr>
        <w:tc>
          <w:tcPr>
            <w:tcW w:w="7780" w:type="dxa"/>
            <w:vAlign w:val="bottom"/>
            <w:gridSpan w:val="3"/>
            <w:vMerge w:val="restart"/>
          </w:tcPr>
          <w:p>
            <w:pPr>
              <w:ind w:left="340"/>
              <w:spacing w:after="0"/>
              <w:rPr>
                <w:sz w:val="20"/>
                <w:szCs w:val="20"/>
                <w:color w:val="auto"/>
              </w:rPr>
            </w:pPr>
            <w:r>
              <w:rPr>
                <w:rFonts w:ascii="Arial" w:cs="Arial" w:eastAsia="Arial" w:hAnsi="Arial"/>
                <w:sz w:val="18"/>
                <w:szCs w:val="18"/>
                <w:color w:val="auto"/>
              </w:rPr>
              <w:t>A reconciliation of the federal statutory rate to our effective tax rate is as follows:</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78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108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8"/>
          </w:tcPr>
          <w:p>
            <w:pPr>
              <w:ind w:left="740"/>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80" w:type="dxa"/>
            <w:vAlign w:val="bottom"/>
            <w:tcBorders>
              <w:bottom w:val="single" w:sz="8" w:color="CCEEFF"/>
            </w:tcBorders>
          </w:tcPr>
          <w:p>
            <w:pPr>
              <w:spacing w:after="0"/>
              <w:rPr>
                <w:sz w:val="22"/>
                <w:szCs w:val="22"/>
                <w:color w:val="auto"/>
              </w:rPr>
            </w:pPr>
          </w:p>
        </w:tc>
        <w:tc>
          <w:tcPr>
            <w:tcW w:w="64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Federal statutory rate</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43"/>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State income taxes, net of federal benefit</w:t>
            </w:r>
          </w:p>
        </w:tc>
        <w:tc>
          <w:tcPr>
            <w:tcW w:w="140" w:type="dxa"/>
            <w:vAlign w:val="bottom"/>
          </w:tcPr>
          <w:p>
            <w:pPr>
              <w:spacing w:after="0"/>
              <w:rPr>
                <w:sz w:val="21"/>
                <w:szCs w:val="21"/>
                <w:color w:val="auto"/>
              </w:rPr>
            </w:pP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33"/>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3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7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Deductible dividends paid to FNF 401(k) plan</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Tax exempt interest income</w:t>
            </w:r>
          </w:p>
        </w:tc>
        <w:tc>
          <w:tcPr>
            <w:tcW w:w="140" w:type="dxa"/>
            <w:vAlign w:val="bottom"/>
          </w:tcPr>
          <w:p>
            <w:pPr>
              <w:spacing w:after="0"/>
              <w:rPr>
                <w:sz w:val="21"/>
                <w:szCs w:val="21"/>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7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Release of valuation allowance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4"/>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Nontaxable investment gains</w:t>
            </w:r>
          </w:p>
        </w:tc>
        <w:tc>
          <w:tcPr>
            <w:tcW w:w="140" w:type="dxa"/>
            <w:vAlign w:val="bottom"/>
          </w:tcPr>
          <w:p>
            <w:pPr>
              <w:spacing w:after="0"/>
              <w:rPr>
                <w:sz w:val="21"/>
                <w:szCs w:val="21"/>
                <w:color w:val="auto"/>
              </w:rPr>
            </w:pPr>
          </w:p>
        </w:tc>
        <w:tc>
          <w:tcPr>
            <w:tcW w:w="1120" w:type="dxa"/>
            <w:vAlign w:val="bottom"/>
            <w:gridSpan w:val="4"/>
          </w:tcPr>
          <w:p>
            <w:pPr>
              <w:jc w:val="right"/>
              <w:ind w:righ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1080" w:type="dxa"/>
            <w:vAlign w:val="bottom"/>
          </w:tcPr>
          <w:p>
            <w:pPr>
              <w:spacing w:after="0"/>
              <w:rPr>
                <w:sz w:val="2"/>
                <w:szCs w:val="2"/>
                <w:color w:val="auto"/>
              </w:rPr>
            </w:pPr>
          </w:p>
        </w:tc>
        <w:tc>
          <w:tcPr>
            <w:tcW w:w="6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Credits</w:t>
            </w:r>
          </w:p>
        </w:tc>
        <w:tc>
          <w:tcPr>
            <w:tcW w:w="64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7780" w:type="dxa"/>
            <w:vAlign w:val="bottom"/>
            <w:gridSpan w:val="3"/>
          </w:tcPr>
          <w:p>
            <w:pPr>
              <w:ind w:left="40"/>
              <w:spacing w:after="0"/>
              <w:rPr>
                <w:sz w:val="20"/>
                <w:szCs w:val="20"/>
                <w:color w:val="auto"/>
              </w:rPr>
            </w:pPr>
            <w:r>
              <w:rPr>
                <w:rFonts w:ascii="Arial" w:cs="Arial" w:eastAsia="Arial" w:hAnsi="Arial"/>
                <w:sz w:val="18"/>
                <w:szCs w:val="18"/>
                <w:color w:val="auto"/>
              </w:rPr>
              <w:t>Consolidated Partnerships</w:t>
            </w:r>
          </w:p>
        </w:tc>
        <w:tc>
          <w:tcPr>
            <w:tcW w:w="140" w:type="dxa"/>
            <w:vAlign w:val="bottom"/>
          </w:tcPr>
          <w:p>
            <w:pPr>
              <w:spacing w:after="0"/>
              <w:rPr>
                <w:sz w:val="21"/>
                <w:szCs w:val="21"/>
                <w:color w:val="auto"/>
              </w:rPr>
            </w:pPr>
          </w:p>
        </w:tc>
        <w:tc>
          <w:tcPr>
            <w:tcW w:w="800" w:type="dxa"/>
            <w:vAlign w:val="bottom"/>
          </w:tcPr>
          <w:p>
            <w:pPr>
              <w:jc w:val="right"/>
              <w:ind w:right="153"/>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72"/>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7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Non-deductible expenses and other, net</w:t>
            </w:r>
          </w:p>
        </w:tc>
        <w:tc>
          <w:tcPr>
            <w:tcW w:w="3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7"/>
        </w:trPr>
        <w:tc>
          <w:tcPr>
            <w:tcW w:w="7480" w:type="dxa"/>
            <w:vAlign w:val="bottom"/>
            <w:gridSpan w:val="2"/>
          </w:tcPr>
          <w:p>
            <w:pPr>
              <w:ind w:left="180"/>
              <w:spacing w:after="0"/>
              <w:rPr>
                <w:sz w:val="20"/>
                <w:szCs w:val="20"/>
                <w:color w:val="auto"/>
              </w:rPr>
            </w:pPr>
            <w:r>
              <w:rPr>
                <w:rFonts w:ascii="Arial" w:cs="Arial" w:eastAsia="Arial" w:hAnsi="Arial"/>
                <w:sz w:val="18"/>
                <w:szCs w:val="18"/>
                <w:color w:val="auto"/>
              </w:rPr>
              <w:t>Effective tax rate excluding equity investments</w:t>
            </w:r>
          </w:p>
        </w:tc>
        <w:tc>
          <w:tcPr>
            <w:tcW w:w="3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36.5 %</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33.5 %</w:t>
            </w: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33.4 %</w:t>
            </w:r>
          </w:p>
        </w:tc>
        <w:tc>
          <w:tcPr>
            <w:tcW w:w="0" w:type="dxa"/>
            <w:vAlign w:val="bottom"/>
          </w:tcPr>
          <w:p>
            <w:pPr>
              <w:spacing w:after="0"/>
              <w:rPr>
                <w:sz w:val="1"/>
                <w:szCs w:val="1"/>
                <w:color w:val="auto"/>
              </w:rPr>
            </w:pPr>
          </w:p>
        </w:tc>
      </w:tr>
      <w:tr>
        <w:trPr>
          <w:trHeight w:val="27"/>
        </w:trPr>
        <w:tc>
          <w:tcPr>
            <w:tcW w:w="748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Investments</w:t>
            </w:r>
          </w:p>
        </w:tc>
        <w:tc>
          <w:tcPr>
            <w:tcW w:w="3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7480" w:type="dxa"/>
            <w:vAlign w:val="bottom"/>
            <w:gridSpan w:val="2"/>
          </w:tcPr>
          <w:p>
            <w:pPr>
              <w:ind w:left="180"/>
              <w:spacing w:after="0"/>
              <w:rPr>
                <w:sz w:val="20"/>
                <w:szCs w:val="20"/>
                <w:color w:val="auto"/>
              </w:rPr>
            </w:pPr>
            <w:r>
              <w:rPr>
                <w:rFonts w:ascii="Arial" w:cs="Arial" w:eastAsia="Arial" w:hAnsi="Arial"/>
                <w:sz w:val="18"/>
                <w:szCs w:val="18"/>
                <w:color w:val="auto"/>
              </w:rPr>
              <w:t>Effective tax rate</w:t>
            </w:r>
          </w:p>
        </w:tc>
        <w:tc>
          <w:tcPr>
            <w:tcW w:w="30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79.7 %</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31.7 %</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32.4 %</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121" w:right="239" w:bottom="1440" w:gutter="0" w:footer="0" w:header="0"/>
          <w:type w:val="continuous"/>
        </w:sectPr>
      </w:pPr>
    </w:p>
    <w:bookmarkStart w:id="100" w:name="page101"/>
    <w:bookmarkEnd w:id="100"/>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significant components of deferred tax assets and liabilities at December 31, 2014 and 2013 consist of the following:</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Borders>
              <w:bottom w:val="single" w:sz="8" w:color="auto"/>
            </w:tcBorders>
          </w:tcPr>
          <w:p>
            <w:pPr>
              <w:spacing w:after="0"/>
              <w:rPr>
                <w:sz w:val="16"/>
                <w:szCs w:val="16"/>
                <w:color w:val="auto"/>
              </w:rPr>
            </w:pPr>
          </w:p>
        </w:tc>
      </w:tr>
      <w:tr>
        <w:trPr>
          <w:trHeight w:val="264"/>
        </w:trPr>
        <w:tc>
          <w:tcPr>
            <w:tcW w:w="87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w w:val="89"/>
              </w:rPr>
              <w:t>2013</w:t>
            </w:r>
          </w:p>
        </w:tc>
      </w:tr>
      <w:tr>
        <w:trPr>
          <w:trHeight w:val="196"/>
        </w:trPr>
        <w:tc>
          <w:tcPr>
            <w:tcW w:w="8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20" w:type="dxa"/>
            <w:vAlign w:val="bottom"/>
          </w:tcPr>
          <w:p>
            <w:pPr>
              <w:spacing w:after="0"/>
              <w:rPr>
                <w:sz w:val="17"/>
                <w:szCs w:val="17"/>
                <w:color w:val="auto"/>
              </w:rPr>
            </w:pPr>
          </w:p>
        </w:tc>
      </w:tr>
      <w:tr>
        <w:trPr>
          <w:trHeight w:val="256"/>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Employee benefit accruals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46</w:t>
            </w:r>
          </w:p>
        </w:tc>
      </w:tr>
      <w:tr>
        <w:trPr>
          <w:trHeight w:val="27"/>
        </w:trPr>
        <w:tc>
          <w:tcPr>
            <w:tcW w:w="8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Net operating loss carryforwards</w:t>
            </w:r>
          </w:p>
        </w:tc>
        <w:tc>
          <w:tcPr>
            <w:tcW w:w="2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89</w:t>
            </w:r>
          </w:p>
        </w:tc>
      </w:tr>
      <w:tr>
        <w:trPr>
          <w:trHeight w:val="27"/>
        </w:trPr>
        <w:tc>
          <w:tcPr>
            <w:tcW w:w="8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Insurance reserve discounting</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30</w:t>
            </w:r>
          </w:p>
        </w:tc>
      </w:tr>
      <w:tr>
        <w:trPr>
          <w:trHeight w:val="27"/>
        </w:trPr>
        <w:tc>
          <w:tcPr>
            <w:tcW w:w="8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plan</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Tax credits</w:t>
            </w:r>
          </w:p>
        </w:tc>
        <w:tc>
          <w:tcPr>
            <w:tcW w:w="2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62</w:t>
            </w:r>
          </w:p>
        </w:tc>
      </w:tr>
      <w:tr>
        <w:trPr>
          <w:trHeight w:val="27"/>
        </w:trPr>
        <w:tc>
          <w:tcPr>
            <w:tcW w:w="8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State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8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gross deferred tax asset</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327</w:t>
            </w:r>
          </w:p>
        </w:tc>
      </w:tr>
      <w:tr>
        <w:trPr>
          <w:trHeight w:val="243"/>
        </w:trPr>
        <w:tc>
          <w:tcPr>
            <w:tcW w:w="8700" w:type="dxa"/>
            <w:vAlign w:val="bottom"/>
          </w:tcPr>
          <w:p>
            <w:pPr>
              <w:ind w:left="280"/>
              <w:spacing w:after="0"/>
              <w:rPr>
                <w:sz w:val="20"/>
                <w:szCs w:val="20"/>
                <w:color w:val="auto"/>
              </w:rPr>
            </w:pPr>
            <w:r>
              <w:rPr>
                <w:rFonts w:ascii="Arial" w:cs="Arial" w:eastAsia="Arial" w:hAnsi="Arial"/>
                <w:sz w:val="18"/>
                <w:szCs w:val="18"/>
                <w:color w:val="auto"/>
              </w:rPr>
              <w:t>Less: valuation allowance</w:t>
            </w:r>
          </w:p>
        </w:tc>
        <w:tc>
          <w:tcPr>
            <w:tcW w:w="2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26</w:t>
            </w:r>
          </w:p>
        </w:tc>
      </w:tr>
      <w:tr>
        <w:trPr>
          <w:trHeight w:val="27"/>
        </w:trPr>
        <w:tc>
          <w:tcPr>
            <w:tcW w:w="8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deferred tax asset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301</w:t>
            </w:r>
          </w:p>
        </w:tc>
      </w:tr>
      <w:tr>
        <w:trPr>
          <w:trHeight w:val="237"/>
        </w:trPr>
        <w:tc>
          <w:tcPr>
            <w:tcW w:w="870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r>
      <w:tr>
        <w:trPr>
          <w:trHeight w:val="27"/>
        </w:trPr>
        <w:tc>
          <w:tcPr>
            <w:tcW w:w="8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Title plant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Amortization of goodwill and intangible assets</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(273)</w:t>
            </w:r>
          </w:p>
        </w:tc>
      </w:tr>
      <w:tr>
        <w:trPr>
          <w:trHeight w:val="27"/>
        </w:trPr>
        <w:tc>
          <w:tcPr>
            <w:tcW w:w="8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8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securities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Depreciation</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8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Partnerships</w:t>
            </w: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Allowance for uncollectible accounts received</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8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8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Plan</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8700" w:type="dxa"/>
            <w:vAlign w:val="bottom"/>
          </w:tcPr>
          <w:p>
            <w:pPr>
              <w:ind w:left="280"/>
              <w:spacing w:after="0"/>
              <w:rPr>
                <w:sz w:val="20"/>
                <w:szCs w:val="20"/>
                <w:color w:val="auto"/>
              </w:rPr>
            </w:pPr>
            <w:r>
              <w:rPr>
                <w:rFonts w:ascii="Arial" w:cs="Arial" w:eastAsia="Arial" w:hAnsi="Arial"/>
                <w:sz w:val="18"/>
                <w:szCs w:val="18"/>
                <w:color w:val="auto"/>
              </w:rPr>
              <w:t>Total deferred tax liability</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(445)</w:t>
            </w:r>
          </w:p>
        </w:tc>
      </w:tr>
      <w:tr>
        <w:trPr>
          <w:trHeight w:val="27"/>
        </w:trPr>
        <w:tc>
          <w:tcPr>
            <w:tcW w:w="8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deferred tax liability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r>
      <w:tr>
        <w:trPr>
          <w:trHeight w:val="20"/>
        </w:trPr>
        <w:tc>
          <w:tcPr>
            <w:tcW w:w="8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net deferred tax liability was $703 million and $144 million at December 31, 2014, and 2013, respectively. The significant changes in the deferred taxes are as follows: The deferred tax asset related to Other Investments decreased by $163 million due to a book gain recorded on our investment in Ceridian. The deferred tax liability relating to partnerships increased by $473 million primarily due to purchase accounting for the LPS acquisition. The deferred tax asset on our pension plan increased by $8 million due to minimum pension liability adjustments through our comprehensive earnings. Total net deferred tax liabilities decreased by $31 million due to the deconsolidation of Remy. The deferred tax liability on amortization decreased by $165 million. The decrease was primarily due to the deconsolidation of Remy which resulted in a decrease of $115 million and the transfer of certain intangibles to ServiceLink, an entity which is taxed as a partnership and resulted in a decrease of $40 million. The deferred tax asset relating to net operating loss carryovers was reduced by $60 million. The reduction was primarily due to the deconsolidation of Remy which resulted in a decrease of $56 million.</w:t>
      </w:r>
    </w:p>
    <w:p>
      <w:pPr>
        <w:spacing w:after="0" w:line="3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December 31, 2014 and 2013 we had a valuation allowance of $11 million and $26 million, respectively. The decrease was primarily due to the deconsolidation of Remy which had a valuation allowance of $12 million and foreign tax credit utilization of $3 million.</w:t>
      </w:r>
    </w:p>
    <w:p>
      <w:pPr>
        <w:spacing w:after="0" w:line="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At December 31, 2014, we have net operating losses on a pretax basis of $75 million available to carryforward and offset future federal taxable income. The net operating losses are US federal net operating losses arising from LandAmerica, Digital Insurance, NextAce, and LPS acquisitions made since 2008 and are subject to an annual Internal Revenue Code Section 382 limitation. These losses will begin to expire in year 2025 and we fully anticipate utilizing these losses prior to expiration and thus, no valuation allowance has been established. Digital Insurance has a deferred tax asset for state net operating losses; however, it is largely offset by a $1 million valuation allowance.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21" w:right="239" w:bottom="1440" w:gutter="0" w:footer="0" w:header="0"/>
        </w:sectPr>
      </w:pPr>
    </w:p>
    <w:bookmarkStart w:id="101" w:name="page102"/>
    <w:bookmarkEnd w:id="101"/>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At December 31, 2014 and 2013, we had $44 million and $62 million of tax credits, respectively. Total credits decreased by $18 million primarily due to the deconsolidation of Remy ($16 million). Remaining credits consist of general business credits from the O’Charley’s and J. Alexander’s acquisitions in 2012. We anticipate that these credits will be utilized prior to expiration after a valuation allowance of $10 million on the general business credits.</w:t>
      </w:r>
    </w:p>
    <w:p>
      <w:pPr>
        <w:spacing w:after="0" w:line="1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Tax benefits of $16 million, $17 million, and $31 million associated with the exercise of employee stock options and the vesting of restricted stock grants were allocated to equity for the years ended December 31, 2014, 2013, and 2012, respectively.</w:t>
      </w:r>
    </w:p>
    <w:p>
      <w:pPr>
        <w:spacing w:after="0" w:line="35"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Prior to the distribution of Remy common stock on December 31, 2014, income taxes were not presented for the difference between the tax basis and the financial statement carrying amount for our investment in Remy because the reported amount of the investment could be recovered tax-free.</w:t>
      </w:r>
    </w:p>
    <w:p>
      <w:pPr>
        <w:spacing w:after="0" w:line="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December 31, 2014 and 2013, we had approximately $5 million (including interest of less than $1 million) and $15 million (including interest of $3 million), respectively, of total gross unrecognized tax benefits that, if recognized, would favorably affect our income tax rate. The decrease of $10 million is due to the deconsolidation of Remy in 2014. These amounts are reported on a gross basis and do not reflect a federal tax benefit on state income taxes. We record interest and penalties related to income taxes as a component of income tax expense.</w:t>
      </w:r>
    </w:p>
    <w:p>
      <w:pPr>
        <w:spacing w:after="0" w:line="52" w:lineRule="exact"/>
        <w:rPr>
          <w:sz w:val="20"/>
          <w:szCs w:val="20"/>
          <w:color w:val="auto"/>
        </w:rPr>
      </w:pPr>
    </w:p>
    <w:p>
      <w:pPr>
        <w:jc w:val="both"/>
        <w:ind w:firstLine="324"/>
        <w:spacing w:after="0" w:line="332" w:lineRule="auto"/>
        <w:rPr>
          <w:sz w:val="20"/>
          <w:szCs w:val="20"/>
          <w:color w:val="auto"/>
        </w:rPr>
      </w:pPr>
      <w:r>
        <w:rPr>
          <w:rFonts w:ascii="Arial" w:cs="Arial" w:eastAsia="Arial" w:hAnsi="Arial"/>
          <w:sz w:val="16"/>
          <w:szCs w:val="16"/>
          <w:color w:val="auto"/>
        </w:rPr>
        <w:t>The Internal Revenue Service (“IRS”) has selected us to participate in the Compliance Assurance Program that is a real-time audit. We are currently under audit by the Internal Revenue Service for the 2013, 2014 and 2015 tax years. We file income tax returns in various foreign and US state jurisdictions.</w:t>
      </w:r>
    </w:p>
    <w:p>
      <w:pPr>
        <w:spacing w:after="0"/>
        <w:tabs>
          <w:tab w:leader="none" w:pos="1280" w:val="left"/>
        </w:tabs>
        <w:rPr>
          <w:sz w:val="20"/>
          <w:szCs w:val="20"/>
          <w:color w:val="auto"/>
        </w:rPr>
      </w:pPr>
      <w:r>
        <w:rPr>
          <w:rFonts w:ascii="Arial" w:cs="Arial" w:eastAsia="Arial" w:hAnsi="Arial"/>
          <w:sz w:val="18"/>
          <w:szCs w:val="18"/>
          <w:b w:val="1"/>
          <w:bCs w:val="1"/>
          <w:color w:val="auto"/>
        </w:rPr>
        <w:t>Note L.</w:t>
      </w:r>
      <w:r>
        <w:rPr>
          <w:sz w:val="20"/>
          <w:szCs w:val="20"/>
          <w:color w:val="auto"/>
        </w:rPr>
        <w:tab/>
      </w:r>
      <w:r>
        <w:rPr>
          <w:rFonts w:ascii="Arial" w:cs="Arial" w:eastAsia="Arial" w:hAnsi="Arial"/>
          <w:sz w:val="16"/>
          <w:szCs w:val="16"/>
          <w:b w:val="1"/>
          <w:bCs w:val="1"/>
          <w:color w:val="auto"/>
        </w:rPr>
        <w:t>Summary of Reserve for Claim Losses</w:t>
      </w:r>
    </w:p>
    <w:p>
      <w:pPr>
        <w:spacing w:after="0" w:line="14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summary of the reserve for claim losses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5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6"/>
        </w:trPr>
        <w:tc>
          <w:tcPr>
            <w:tcW w:w="7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8"/>
              </w:rPr>
              <w:t>(Dollars in millions)</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1,636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1,748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1,913</w:t>
            </w:r>
          </w:p>
        </w:tc>
        <w:tc>
          <w:tcPr>
            <w:tcW w:w="0" w:type="dxa"/>
            <w:vAlign w:val="bottom"/>
          </w:tcPr>
          <w:p>
            <w:pPr>
              <w:spacing w:after="0"/>
              <w:rPr>
                <w:sz w:val="1"/>
                <w:szCs w:val="1"/>
                <w:color w:val="auto"/>
              </w:rPr>
            </w:pP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Reserve assumed, net (1)</w:t>
            </w:r>
          </w:p>
        </w:tc>
        <w:tc>
          <w:tcPr>
            <w:tcW w:w="300" w:type="dxa"/>
            <w:vAlign w:val="bottom"/>
          </w:tcPr>
          <w:p>
            <w:pPr>
              <w:spacing w:after="0"/>
              <w:rPr>
                <w:sz w:val="21"/>
                <w:szCs w:val="21"/>
                <w:color w:val="auto"/>
              </w:rPr>
            </w:pP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Reinsurance recoverable</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Claim loss provision related to:</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year</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43"/>
        </w:trPr>
        <w:tc>
          <w:tcPr>
            <w:tcW w:w="7580" w:type="dxa"/>
            <w:vAlign w:val="bottom"/>
          </w:tcPr>
          <w:p>
            <w:pPr>
              <w:ind w:left="280"/>
              <w:spacing w:after="0"/>
              <w:rPr>
                <w:sz w:val="20"/>
                <w:szCs w:val="20"/>
                <w:color w:val="auto"/>
              </w:rPr>
            </w:pPr>
            <w:r>
              <w:rPr>
                <w:rFonts w:ascii="Arial" w:cs="Arial" w:eastAsia="Arial" w:hAnsi="Arial"/>
                <w:sz w:val="18"/>
                <w:szCs w:val="18"/>
                <w:color w:val="auto"/>
              </w:rPr>
              <w:t>Prior years</w:t>
            </w:r>
          </w:p>
        </w:tc>
        <w:tc>
          <w:tcPr>
            <w:tcW w:w="300" w:type="dxa"/>
            <w:vAlign w:val="bottom"/>
          </w:tcPr>
          <w:p>
            <w:pPr>
              <w:spacing w:after="0"/>
              <w:rPr>
                <w:sz w:val="21"/>
                <w:szCs w:val="21"/>
                <w:color w:val="auto"/>
              </w:rPr>
            </w:pPr>
          </w:p>
        </w:tc>
        <w:tc>
          <w:tcPr>
            <w:tcW w:w="900" w:type="dxa"/>
            <w:vAlign w:val="bottom"/>
          </w:tcPr>
          <w:p>
            <w:pPr>
              <w:jc w:val="right"/>
              <w:ind w:right="93"/>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111"/>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7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title claim loss provision (2)</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228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Claims paid, net of recoupments related to:</w:t>
            </w: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 year</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7580" w:type="dxa"/>
            <w:vAlign w:val="bottom"/>
          </w:tcPr>
          <w:p>
            <w:pPr>
              <w:ind w:left="280"/>
              <w:spacing w:after="0"/>
              <w:rPr>
                <w:sz w:val="20"/>
                <w:szCs w:val="20"/>
                <w:color w:val="auto"/>
              </w:rPr>
            </w:pPr>
            <w:r>
              <w:rPr>
                <w:rFonts w:ascii="Arial" w:cs="Arial" w:eastAsia="Arial" w:hAnsi="Arial"/>
                <w:sz w:val="18"/>
                <w:szCs w:val="18"/>
                <w:color w:val="auto"/>
              </w:rPr>
              <w:t>Prior years</w:t>
            </w:r>
          </w:p>
        </w:tc>
        <w:tc>
          <w:tcPr>
            <w:tcW w:w="30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7"/>
        </w:trPr>
        <w:tc>
          <w:tcPr>
            <w:tcW w:w="7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title claims paid, net of recoupments</w:t>
            </w: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97"/>
        </w:trPr>
        <w:tc>
          <w:tcPr>
            <w:tcW w:w="7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Ending balance of claim loss reserve for title insurance</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rPr>
              <w:t>1,621</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1,636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1,748</w:t>
            </w:r>
          </w:p>
        </w:tc>
        <w:tc>
          <w:tcPr>
            <w:tcW w:w="0" w:type="dxa"/>
            <w:vAlign w:val="bottom"/>
          </w:tcPr>
          <w:p>
            <w:pPr>
              <w:spacing w:after="0"/>
              <w:rPr>
                <w:sz w:val="1"/>
                <w:szCs w:val="1"/>
                <w:color w:val="auto"/>
              </w:rPr>
            </w:pPr>
          </w:p>
        </w:tc>
      </w:tr>
      <w:tr>
        <w:trPr>
          <w:trHeight w:val="251"/>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title insurance claim losses as a percentage of title insurance premiums</w:t>
            </w:r>
          </w:p>
        </w:tc>
        <w:tc>
          <w:tcPr>
            <w:tcW w:w="3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w:t>
            </w: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66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Reserves of $54 million were acquired in the acquisition of LPS on January 2, 2014, and a reserve of $2 million was released due to the sale of a small title operation in 2014.</w:t>
      </w:r>
    </w:p>
    <w:p>
      <w:pPr>
        <w:spacing w:after="0" w:line="3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Included in the provision for title claim losses in the 2012 period is a $11 million impairment recorded on an asset previously recouped as part of a claim settlement.</w:t>
      </w:r>
    </w:p>
    <w:p>
      <w:pPr>
        <w:spacing w:after="0" w:line="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continually update loss reserve estimates as new information becomes known, new loss patterns emerge, or as other contributing factors are considered and incorporated into the analysis of reserve for claim losses. Estimating future title loss payments is difficult because of the complex nature of title claims, the long periods of time over which claims are paid, significantly varying dollar amounts of individual claims and other factors. Due to the uncertainty inherent in the process and to the judgment used by management, the ultimate liability may be greater or less than our current reserves. As a result of continued volatility experienced in claim development on policy years 2005 - 2008, we believe there is an increased level of uncertainty attributable to these policy years. If actual claims loss development is worse than currently expected and is not offset by other positive factors, it is reasonably possible that we may record additional reserve strengthening in future periods.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21" w:right="239" w:bottom="1440" w:gutter="0" w:footer="0" w:header="0"/>
        </w:sectPr>
      </w:pPr>
    </w:p>
    <w:bookmarkStart w:id="102" w:name="page103"/>
    <w:bookmarkEnd w:id="102"/>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M.</w:t>
      </w:r>
      <w:r>
        <w:rPr>
          <w:sz w:val="20"/>
          <w:szCs w:val="20"/>
          <w:color w:val="auto"/>
        </w:rPr>
        <w:tab/>
      </w:r>
      <w:r>
        <w:rPr>
          <w:rFonts w:ascii="Arial" w:cs="Arial" w:eastAsia="Arial" w:hAnsi="Arial"/>
          <w:sz w:val="16"/>
          <w:szCs w:val="16"/>
          <w:b w:val="1"/>
          <w:bCs w:val="1"/>
          <w:color w:val="auto"/>
        </w:rPr>
        <w:t>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and Regulatory Contingencies</w:t>
      </w:r>
    </w:p>
    <w:p>
      <w:pPr>
        <w:spacing w:after="0" w:line="9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the ordinary course of business, we are involved in various pending and threatened litigation matters related to our title operations, some of which include claims for punitive or exemplary damages. This customary litigation includes but is not limited to a wide variety of cases arising out of or related to title and escrow claims, for which we make provisions through our loss reserves. Additionally, like other insurance companies, our ordinary course litigation includes a number of class action and purported class action lawsuits, which make allegations related to aspects of our insurance operations. We believe that no actions, other than the matters discussed below, depart from customary litigation incidental to our insurance business.</w:t>
      </w:r>
    </w:p>
    <w:p>
      <w:pPr>
        <w:spacing w:after="0" w:line="6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Restaurant Group companies are a defendant from time to time in various legal proceedings arising in the ordinary course of business, including claims relating to injury or wrongful death under “dram shop” laws that allow a person to sue us based on any injury caused by an intoxicated person who was wrongfully served alcoholic beverages at one of the restaurants, individual and purported class action claims alleging violation of federal and state wage and hour and other employment laws, and claims from guests or employees alleging illness, injury or other food quality, health or operational concerns. These companies are also subject to compliance with extensive government laws and regulations related to employment practices and policies and the manufacture, preparation, and sale of food and alcohol.</w:t>
      </w:r>
    </w:p>
    <w:p>
      <w:pPr>
        <w:spacing w:after="0" w:line="8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where it has been determined that a loss is both probable and reasonably estimable, a liability based on known facts and which represents our best estimate has been recorded. Our accrual for legal and regulatory matters was $95 million as of December 31, 2014 and $9 million as of December 31, 2013. Of this accrual, $84 million relates to historical LPS matters. As discussed elsewhere, LPS was acquired on January 2, 2014. None of the amounts we have currently recorded are considered to be individually or in the aggregate material to our financial condition. Actual losses may materially differ from the amounts recorded and the ultimate outcome of our pending cases is generally not yet determinable. While some of these matters could be material to our operating results or cash flows for any particular period if an unfavorable outcome results, at present we do not believe that the ultimate resolution of currently pending legal proceedings, either individually or in the aggregate, will have a material adverse effect on our financial condition.</w:t>
      </w:r>
    </w:p>
    <w:p>
      <w:pPr>
        <w:spacing w:after="0" w:line="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Following a review by the Board of Governors of the Federal Reserve System, the Federal Deposit Insurance Corporation, the Office of the Comptroller of the Currency and the Office of Thrift Supervision (collectively, the “banking agencies”), LPS entered into a consent order (the “Order”) dated April 13, 2011 with the banking agencies. The banking agencies' review of LPS' services included the services provided by its default operations to mortgage servicers regulated by the banking agencies, including document execution services. The Order does not make any findings of fact or conclusions of wrongdoing, nor does LPS admit any fault or liability. Under the Order, LPS agreed to further study the issues identified in the review and to enhance its compliance, internal audit, risk management and board oversight plans with respect to those businesses. LPS also agreed to engage an independent third party to conduct a risk assessment and review of its default management businesses and the document execution services we provided to servicers from January 1, 2008 through December 31, 2010.</w:t>
      </w:r>
    </w:p>
    <w:p>
      <w:pPr>
        <w:spacing w:after="0" w:line="8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document execution review by the independent third party has been on indefinite hold since June 30, 2013 while the Banking Agencies consider what, if any, additional review work they would like the independent third party to undertake. Accordingly, the document execution review has taken, and is likely to continue to take longer to complete than previously anticipated. In addition, the LPS default operations that were subject to the Consent Order were contributed to ServiceLink in connection with the Internal Reorganization. To the extent such third party review, once completed, requires additional remediation of mortgage documents, ServiceLink has agreed to implement an appropriate plan to address the issues. The Consent Order contains various deadlines to accomplish the undertakings set forth therein, including the preparation of a remediation plan following the completion of the document execution review. We or the LPS default operations contributed to ServiceLink will continue to make periodic reports to the Banking Agencies on the progress with respect to each of the undertakings in the Consent Order. The Consent Order does not include any fine or other monetary penalty, although the Banking Agencies have not yet concluded their assessment of whether any civil monetary penalties should be imposed. ServiceLink has accrued for estimated losses expected to be paid for this matter in our legal and regulatory accrual.</w:t>
      </w:r>
    </w:p>
    <w:p>
      <w:pPr>
        <w:spacing w:after="0" w:line="7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21" w:right="239" w:bottom="1440" w:gutter="0" w:footer="0" w:header="0"/>
        </w:sectPr>
      </w:pPr>
    </w:p>
    <w:bookmarkStart w:id="103" w:name="page104"/>
    <w:bookmarkEnd w:id="103"/>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we are assessed fines for violations of regulations or other matters or enter into settlements with such authorities which may require us to pay fines or claims or take other actions.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Escrow Balances</w:t>
      </w:r>
    </w:p>
    <w:p>
      <w:pPr>
        <w:spacing w:after="0" w:line="9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conducting our operations, we routinely hold customers’ assets in escrow, pending completion of real estate transactions. Certain of these amounts are maintained in segregated bank accounts and have not been included in the accompanying Consolidated Balance Sheets. We have a contingent liability relating to proper disposition of these balances for our customers, which amounted to $12.7 billion at December 31, 2014. As a result of holding these customers’ assets in escrow, we have ongoing programs for realizing economic benefits during the year through favorable borrowing and vendor arrangements with various banks. There were no investments or loans outstanding as of December 31, 2014 and 2013 related to these arrangements.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80" w:type="dxa"/>
            <w:vAlign w:val="bottom"/>
          </w:tcPr>
          <w:p>
            <w:pPr>
              <w:ind w:left="300"/>
              <w:spacing w:after="0"/>
              <w:rPr>
                <w:sz w:val="20"/>
                <w:szCs w:val="20"/>
                <w:color w:val="auto"/>
              </w:rPr>
            </w:pPr>
            <w:r>
              <w:rPr>
                <w:rFonts w:ascii="Arial" w:cs="Arial" w:eastAsia="Arial" w:hAnsi="Arial"/>
                <w:sz w:val="18"/>
                <w:szCs w:val="18"/>
                <w:color w:val="auto"/>
              </w:rPr>
              <w:t>Future minimum operating lease payments are as follows (in millions):</w:t>
            </w:r>
          </w:p>
        </w:tc>
        <w:tc>
          <w:tcPr>
            <w:tcW w:w="3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27"/>
        </w:trPr>
        <w:tc>
          <w:tcPr>
            <w:tcW w:w="10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2016</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232</w:t>
            </w:r>
          </w:p>
        </w:tc>
      </w:tr>
      <w:tr>
        <w:trPr>
          <w:trHeight w:val="27"/>
        </w:trPr>
        <w:tc>
          <w:tcPr>
            <w:tcW w:w="10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2018</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107</w:t>
            </w:r>
          </w:p>
        </w:tc>
      </w:tr>
      <w:tr>
        <w:trPr>
          <w:trHeight w:val="27"/>
        </w:trPr>
        <w:tc>
          <w:tcPr>
            <w:tcW w:w="10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8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268</w:t>
            </w:r>
          </w:p>
        </w:tc>
      </w:tr>
      <w:tr>
        <w:trPr>
          <w:trHeight w:val="27"/>
        </w:trPr>
        <w:tc>
          <w:tcPr>
            <w:tcW w:w="102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57"/>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future minimum operating lease payments</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1,015</w:t>
            </w:r>
          </w:p>
        </w:tc>
      </w:tr>
      <w:tr>
        <w:trPr>
          <w:trHeight w:val="20"/>
        </w:trPr>
        <w:tc>
          <w:tcPr>
            <w:tcW w:w="10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Rent expense incurred under operating leases during the years ended December 31, 2014, 2013 and 2012 was $130 million, $194 million, and $159 million, respectively. Rent expense in 2014, 2013, and 2012 includes abandoned lease charges related to office closures of $4 million, $1 million, and $2 million, respectively.</w:t>
      </w:r>
    </w:p>
    <w:p>
      <w:pPr>
        <w:spacing w:after="0" w:line="4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June 29, 2004 we entered into an off-balance sheet financing arrangement (commonly referred to as a “synthetic lease”). The owner/lessor in this arrangement acquired land and various real property improvements associated with new construction of an office building in Jacksonville, Florida, that are part of FNF’s corporate campus and headquarters. The lessor financed the acquisition of the facilities through funding provided by third-party financial institutions. On June 27, 2011, we renewed and amended the synthetic lease for the facilities. The amended lease provides for a five year term ending June 27, 2016 and had an outstanding balance as of December 31, 2014 of $71 million. The amended lease includes guarantees by us of up to 83.0% of the outstanding lease balance, and options to purchase the facilities at the outstanding lease balance. The guarantee becomes effective if we decline to purchase the facilities at the end of the lease and also decline to renew the lease. The lessor is a third-party company and we have no affiliation or relationship with the lessor or any of its employees, directors or affiliates, and transactions with the lessor are limited to the operating lease agreements and the associated rent expense that have been included in Other operating expenses in the Consolidated Statements of Earnings. We do not believe the lessor is a variable interest entity, as defined in the FASB standard on consolidation of variable interest entities.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Unconditional Purchase Obligations</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Restaurant Group has unconditional purchase obligations with various vendors. These purchase obligations are primarily food and beverage obligations with fixed commitments in regards to the time period of the contract and the quantities purchased with annual price adjustments that can fluctuate. We used both historical and projected volume and pricing as of December 31, 2014 to determine the amount of the obligations. BKFS has data processing and maintenance commitments with various vendors. We used current outstanding contracts with the vendors to determine the amount of the obligations.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21" w:right="2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34"/>
        </w:trPr>
        <w:tc>
          <w:tcPr>
            <w:tcW w:w="10280" w:type="dxa"/>
            <w:vAlign w:val="bottom"/>
          </w:tcPr>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78"/>
        </w:trPr>
        <w:tc>
          <w:tcPr>
            <w:tcW w:w="10280" w:type="dxa"/>
            <w:vAlign w:val="bottom"/>
          </w:tcPr>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540"/>
        </w:trPr>
        <w:tc>
          <w:tcPr>
            <w:tcW w:w="10280" w:type="dxa"/>
            <w:vAlign w:val="bottom"/>
          </w:tcPr>
          <w:p>
            <w:pPr>
              <w:ind w:left="340"/>
              <w:spacing w:after="0"/>
              <w:rPr>
                <w:sz w:val="20"/>
                <w:szCs w:val="20"/>
                <w:color w:val="auto"/>
              </w:rPr>
            </w:pPr>
            <w:r>
              <w:rPr>
                <w:rFonts w:ascii="Arial" w:cs="Arial" w:eastAsia="Arial" w:hAnsi="Arial"/>
                <w:sz w:val="18"/>
                <w:szCs w:val="18"/>
                <w:color w:val="auto"/>
              </w:rPr>
              <w:t>Purchase obligations as of December 31, 2014 are as follows (in millions):</w:t>
            </w: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97"/>
        </w:trPr>
        <w:tc>
          <w:tcPr>
            <w:tcW w:w="10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2016</w:t>
            </w:r>
          </w:p>
        </w:tc>
        <w:tc>
          <w:tcPr>
            <w:tcW w:w="4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7"/>
        </w:trPr>
        <w:tc>
          <w:tcPr>
            <w:tcW w:w="10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2018</w:t>
            </w:r>
          </w:p>
        </w:tc>
        <w:tc>
          <w:tcPr>
            <w:tcW w:w="4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10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4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102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7"/>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purchase commitments</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309</w:t>
            </w:r>
          </w:p>
        </w:tc>
      </w:tr>
      <w:tr>
        <w:trPr>
          <w:trHeight w:val="20"/>
        </w:trPr>
        <w:tc>
          <w:tcPr>
            <w:tcW w:w="10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N.</w:t>
      </w:r>
      <w:r>
        <w:rPr>
          <w:sz w:val="20"/>
          <w:szCs w:val="20"/>
          <w:color w:val="auto"/>
        </w:rPr>
        <w:tab/>
      </w:r>
      <w:r>
        <w:rPr>
          <w:rFonts w:ascii="Arial" w:cs="Arial" w:eastAsia="Arial" w:hAnsi="Arial"/>
          <w:sz w:val="16"/>
          <w:szCs w:val="16"/>
          <w:b w:val="1"/>
          <w:bCs w:val="1"/>
          <w:color w:val="auto"/>
        </w:rPr>
        <w:t>Regulation and Equity</w:t>
      </w:r>
    </w:p>
    <w:p>
      <w:pPr>
        <w:spacing w:after="0" w:line="9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insurance subsidiaries, including title insurers, underwritten title companies and insurance agencies, are subject to extensive regulation under applicable state laws. Each of the insurance underwriters is subject to a holding company act in its state of domicile which regulates, among other matters, the ability to pay dividends and enter into transactions with affiliates. The laws of most states in which we transact business establish supervisory agencies with broad administrative powers relating to issuing and revoking licenses to transact business, regulating trade practices, licensing agents, approving policy forms, accounting practices, financial practices, establishing reserve and capital and surplus as regards policyholders (“capital and surplus”) requirements, defining suitable investments for reserves and capital and surplus and approving rate schedules. The process of state regulation of changes in rates ranges from states which set rates, to states where individual companies or associations of companies prepare rate filings which are submitted for approval, to a few states in which rate changes do not need to be filed for approval.</w:t>
      </w:r>
    </w:p>
    <w:p>
      <w:pPr>
        <w:spacing w:after="0" w:line="4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Since we are governed by both state and federal governments and the applicable insurance laws and regulations are constantly subject to change, it is not possible to predict the potential effects on our insurance operations, particularly the Title segment, of any laws or regulations that may become more restrictive in the future or if new restrictive laws will be enacted.</w:t>
      </w:r>
    </w:p>
    <w:p>
      <w:pPr>
        <w:spacing w:after="0" w:line="4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Pursuant to statutory accounting requirements of the various states in which our insurers are domiciled, these insurers must defer a portion of premiums earned as an unearned premium reserve for the protection of policyholders and must maintain qualified assets in an amount equal to the statutory requirements. The level of unearned premium reserve required to be maintained at any time is determined by statutory formula based upon either the age, number of policies and dollar amount of policy liabilities underwritten, or the age and dollar amount of statutory premiums written. As of December 31, 2014, the combined statutory unearned premium reserve required and reported for our title insurers was $1,736 million. In addition to statutory unearned premium reserves, each of our insurers maintains reserves for known claims and surplus funds for policyholder protection and business operations.</w:t>
      </w:r>
    </w:p>
    <w:p>
      <w:pPr>
        <w:spacing w:after="0" w:line="3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Each of our insurance subsidiaries is regulated by the insurance regulatory authority in its respective state of domicile, as well as that of each state in which it is licensed. The insurance commissioners of their respective states of domicile are the primary regulators of our title insurance subsidiaries. Each of the insurers is subject to periodic regulatory financial examination by regulatory authorities.</w:t>
      </w:r>
    </w:p>
    <w:p>
      <w:pPr>
        <w:spacing w:after="0" w:line="4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insurance subsidiaries are subject to regulations that restrict their ability to pay dividends or make other distributions of cash or property to their immediate parent company without prior approval from the Department of Insurance of their respective states of domicile. As of December 31, 2014, $2,108 million of our net assets are restricted from dividend payments without prior approval from the Departments of Insurance. During 2015, our title insurers can pay or make distributions to us of approximately $236 million, without prior approval.</w:t>
      </w:r>
    </w:p>
    <w:p>
      <w:pPr>
        <w:spacing w:after="0" w:line="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combined statutory capital and surplus of our title insurers was approximately $1,472 million and $1,409 million as of December 31, 2014 and 2013, respectively. The combined statutory net earnings (losses) of our title insurance subsidiaries were $276 million, $352 million, and $281 million for the years ended December 31, 2014, 2013, and 2012, respectively.</w:t>
      </w:r>
    </w:p>
    <w:p>
      <w:pPr>
        <w:spacing w:after="0" w:line="4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Statutory-basis financial statements are prepared in accordance with accounting practices prescribed or permitted by the various state insurance regulatory authorities. The National Association of Insurance Commissioners' (“NAIC”</w:t>
      </w:r>
      <w:r>
        <w:rPr>
          <w:rFonts w:ascii="Arial" w:cs="Arial" w:eastAsia="Arial" w:hAnsi="Arial"/>
          <w:sz w:val="18"/>
          <w:szCs w:val="18"/>
          <w:i w:val="1"/>
          <w:iCs w:val="1"/>
          <w:color w:val="auto"/>
        </w:rPr>
        <w:t>) Accounting Practices and Procedures</w:t>
      </w:r>
      <w:r>
        <w:rPr>
          <w:rFonts w:ascii="Arial" w:cs="Arial" w:eastAsia="Arial" w:hAnsi="Arial"/>
          <w:sz w:val="18"/>
          <w:szCs w:val="18"/>
          <w:color w:val="auto"/>
        </w:rPr>
        <w:t xml:space="preserve"> manual (“NAIC SAP”) has been adopted as a component of prescribed or permitted practices by each of the states that regulate us. Each of our states of domicile for our title insurance underwriter subsidiaries have adopted a material prescribed accounting practice that differs from that found in NAIC SAP. Specifically, in both years the timing of amounts released from the statutory unearned premium reserve under NAIC SAP differs from the states' required practice. Statutory surplus at December 31, 2014 and 2013, respectively, was lower by approximately $212 million and $205 million than if we had reported such amounts in accordance with NAIC SAP.</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21" w:right="239" w:bottom="1440" w:gutter="0" w:footer="0" w:header="0"/>
        </w:sectPr>
      </w:pPr>
    </w:p>
    <w:bookmarkStart w:id="105" w:name="page106"/>
    <w:bookmarkEnd w:id="105"/>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a condition to continued authority to underwrite policies in the states in which our insurers conduct their business, the insurers are required to pay certain fees and file information regarding their officers, directors and financial condition. In addition, our escrow and trust business is subject to regulation by various state banking authorities.</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Pursuant to statutory requirements of the various states in which our insurers are domiciled, such insurers must maintain certain levels of minimum</w:t>
      </w:r>
    </w:p>
    <w:p>
      <w:pPr>
        <w:spacing w:after="0" w:line="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capital and surplus. Required levels of minimum capital and surplus are not significant to the insurers individually or in the aggregate. Each of our insurers has complied with the minimum statutory requirements as of December 31, 2014.</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underwritten title companies are also subject to certain regulation by insurance regulatory or banking authorities, primarily relating to minimum net</w:t>
      </w:r>
    </w:p>
    <w:p>
      <w:pPr>
        <w:spacing w:after="0" w:line="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worth. Minimum net worth requirements for each underwritten title company is less than $1 million. These companies were in compliance with their respective minimum net worth requirements at December 31, 2014.</w:t>
      </w:r>
    </w:p>
    <w:p>
      <w:pPr>
        <w:spacing w:after="0" w:line="3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are no restrictions on our retained earnings regarding our ability to pay dividends to shareholders although there are limits on the ability of certain subsidiaries to pay dividends to us, as described above.</w:t>
      </w:r>
    </w:p>
    <w:p>
      <w:pPr>
        <w:spacing w:after="0" w:line="3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On February 23, 2015, we announced a tender offer to purchase up to $185 million of shares of our FNFV Group Common stock at a purchase price of no greater than $15.40 per share, nor less than $14.30 per share in cash. We are conducting this Offer through a procedure commonly called a “modified Dutch auction.” This procedure allows shareholders to select the price within a price range specified by us at which the shareholders are willing to sell their shares. The offer is set to expire at 12:00 Midnight, New York City time, at the end of Friday, March 20, 2015, unless we extend the offer.</w:t>
      </w:r>
    </w:p>
    <w:p>
      <w:pPr>
        <w:spacing w:after="0" w:line="4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October 28, 2014, our Board of Directors approved a three-year stock purchase program, effective November 6, 2014, under which we can repurchase up to 10 million shares of our FNFV Group common stock through November 30, 2017. We may make repurchases from time to time in the open market, in block purchases or in privately negotiated transactions, depending on market conditions and other factors. In the year ended December 31, 2014, we repurchased a total of 116,100 shares for $2 million, or an average of $14.00 per share under this program. Subsequent to year-end we repurchased a total of 423,350 shares for $5 million, or an average of $12.34 per share under this program through market close on February 27, 2015. Since the original commencement of the plan adopted November 6, 2014, we have repurchased a total of 539,450 shares for $7 million, or an average of $12.70 per share, and there are 9,460,550 shares available to be repurchased under this program.</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June 30, 2014, we completed the recapitalization of Old FNF common stock into two tracking stocks, FNF Group common stock and FNFV Group common stock. We issued 277,462,875 shares of FNF Group common stock and 91,711,237 shares of FNFV Group common stock. See Note A for further discussion on the recapitalization of FNF common stock.</w:t>
      </w:r>
    </w:p>
    <w:p>
      <w:pPr>
        <w:spacing w:after="0" w:line="7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January 2, 2014 we completed the LPS Acquisition, 25,920,078 shares of Old FNF common stock were issued as consideration for the LPS Acquisition to the former shareholders of LPS.</w:t>
      </w:r>
    </w:p>
    <w:p>
      <w:pPr>
        <w:spacing w:after="0" w:line="3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October 24, 2013, we offered 17,250,000 shares of our common stock at an offering price of $26.75 per share, pursuant to an effective registration statement previously filed with the Securities and Exchange Commission. We granted the underwriters a 30-day option to purchase 2,587,500 additional shares at the offering price, which was exercised in full. A total of 19,837,500 shares were issued on October 30, 2013, for net proceeds of approximately $511 million. The net proceeds from this offering were used to pay a portion of the cash consideration for the LPS Acquisition on January 2, 2014.</w:t>
      </w:r>
    </w:p>
    <w:p>
      <w:pPr>
        <w:spacing w:after="0" w:line="16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July 21, 2012, our Board of Directors approved a three-year stock repurchase program, effective August 1, 2012, under which we can repurchase up to 15 million shares of our common stock through July 31, 2015. We may make repurchases from time to time in the open market, in block purchases or in privately negotiated transactions, depending on market conditions and other factors. In the year ended December 31, 2014 we did not purchased any total shares under this program. Subsequent to year-end we did not repurchase any shares through market close on February 27, 2015. Since the original commencement of the plan adopted July 21, 2012, we have repurchased a total of 2,080,000 shares for $50 million, or an average of $23.90 per share, and there are 12,920,000 shares available to be repurchased under this program.</w:t>
      </w:r>
    </w:p>
    <w:p>
      <w:pPr>
        <w:spacing w:after="0" w:line="4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21, 2009, the Board of Directors approved a three-year stock repurchase program under which we could repurchase up to 15 million shares of our common stock through July 31, 2012. On January 27, 2011, our Board of Directors approved an additional 5 million shares that could have been repurchased under the program. This program expired July 31, 2012, and we repurchased a total of 16,528,512 shares for $243 million, or an average of $14.73 per share under this program.</w:t>
      </w:r>
    </w:p>
    <w:p>
      <w:pPr>
        <w:spacing w:after="0" w:line="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O.</w:t>
      </w:r>
      <w:r>
        <w:rPr>
          <w:sz w:val="20"/>
          <w:szCs w:val="20"/>
          <w:color w:val="auto"/>
        </w:rPr>
        <w:tab/>
      </w:r>
      <w:r>
        <w:rPr>
          <w:rFonts w:ascii="Arial" w:cs="Arial" w:eastAsia="Arial" w:hAnsi="Arial"/>
          <w:sz w:val="16"/>
          <w:szCs w:val="16"/>
          <w:b w:val="1"/>
          <w:bCs w:val="1"/>
          <w:color w:val="auto"/>
        </w:rPr>
        <w:t>Employee Benefit Plans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Purchase Plan</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three-year period ended December 31, 2014, our eligible employees could voluntarily participate in employee stock purchase plans (“ESPPs”) sponsored by us and our subsidiaries. Pursuant to the ESPPs, employees may contribute an amount between 3% and 15% of their base salary and certain commissions. We contribute varying amounts as specified in the ESPPs.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1" w:right="239" w:bottom="1440" w:gutter="0" w:footer="0" w:header="0"/>
        </w:sectPr>
      </w:pPr>
    </w:p>
    <w:bookmarkStart w:id="106" w:name="page107"/>
    <w:bookmarkEnd w:id="106"/>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contributed $18 million, $17 million, and $14 million to the ESPPs in the years ended December 31, 2014, 2013, and 2012, respectively, in accordance with the employer’s matching contribution.</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401(k) Profit Sharing Plan</w:t>
      </w:r>
    </w:p>
    <w:p>
      <w:pPr>
        <w:spacing w:after="0" w:line="9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During the three-year period ended December 31, 2014, we have offered our employees the opportunity to participate in our 401(k) profit sharing plans (the “401(k) Plan”), qualified voluntary contributory savings plans which are available to substantially all of our employees. Eligible employees may contribute up to 40% of their pretax annual compensation, up to the amount allowed pursuant to the Internal Revenue Code. Beginning in 2012, we initiated an employer match on the 401(k) Plan whereby we matched $0.25 on each $1.00 contributed up to the first 6% of eligible earnings contributed to the 401(k) Plan. Effective April 1, 2013, we increased the employer match from $0.25 to $0.375 on each $1.00 contributed up to the first 6% of eligible earnings contributed to the 401 (k) Plan. On June 30, 2014, we completed the recapitalization of Old FNF common stock into two tracking stocks, FNF Group common stock and FNFV Group common stock. Participants in the FNF 401(k) Plan received one share of FNF Group Common Stock and 0.3333 of a share of FNFV Group Common Stock for each share of Old FNF common stock that they held at the close of business on June 30, 2014. The employer match for the years ended December 31, 2014, 2013 and 2012 was $25 million, $17 million and $11 million, respectively, that was credited to the FNF Stock Fund in the FNF 401(k) Plan, through July 1, 2014. Subsequent to July 1, 2014, the employer match will be credited based on the participants individual investment elections.</w:t>
      </w:r>
    </w:p>
    <w:p>
      <w:pPr>
        <w:spacing w:after="0" w:line="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 Plans</w:t>
      </w:r>
    </w:p>
    <w:p>
      <w:pPr>
        <w:spacing w:after="0" w:line="9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In 2005, we established the FNT 2005 Omnibus Incentive Plan (the “Omnibus Plan”) authorizing the issuance of up to 8 million shares of common stock, subject to the terms of the Omnibus Plan. On October 23, 2006, the shareholders of FNF approved an amendment to increase the number of shares available for issuance under the Omnibus Plan by 16 million shares. The increase was in part to provide capacity for options and restricted stock to be issued to replace Old FNF options and restricted stock. On May 29, 2008, May 25, 2011 and May 22, 2013, the shareholders of FNF approved an amendment to increase the number of shares for issuance under the Omnibus Plan by 11 million shares and 6 million shares and 6 million shares, respectively. The primary purpose of the increase was to assure that we had adequate means to provide equity incentive compensation to our employees on a going-forward basis. The Omnibus Plan provides for the grant of stock options, stock appreciation rights, restricted stock, restricted stock units and performance shares, performance units, other cash and stock-based awards and dividend equivalents. As of December 31, 2014, there were 1,770,781 shares of restricted stock and 9,393,211 stock options outstanding under this plan. Awards granted are approved by the Compensation Committee of the Board of Directors. Options vest over a 3 year period, and the exercise price for options granted equals the market price of the underlying stock on the grant date. Stock option grants vest according to certain time based and operating performance criteria.</w:t>
      </w:r>
    </w:p>
    <w:p>
      <w:pPr>
        <w:spacing w:after="0" w:line="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June 30, 2014, we completed the recapitalization of FNF common stock into two tracking stocks, FNF Group common stock and FNFV Group common stock. Each share of the previously outstanding FNF Class A common stock ("Old FNF common stock") was converted into one share of FNF Group common stock, which now trades on the New York Stock Exchange under the current trading symbol "FNF," and 0.3333 of a share of FNFV Group common stock. All participants in the stock option and restricted stock plans at the time of the recapitalization were granted a one-time grant of additional FNF Group options and restricted shares. The grant was made in order for each participant to maintain their current intrinsic value in the plan. This one-time grant did not result in any additional compensation for the employees participating in the plan. Awards granted are determined and approved by the Compensation Committee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121" w:right="239" w:bottom="1440" w:gutter="0" w:footer="0" w:header="0"/>
        </w:sectPr>
      </w:pPr>
    </w:p>
    <w:bookmarkStart w:id="107" w:name="page108"/>
    <w:bookmarkEnd w:id="107"/>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FNF Group stock option transactions under the Omnibus Plan for 2012, 2013, and 2014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380" w:type="dxa"/>
            <w:vAlign w:val="bottom"/>
            <w:vMerge w:val="restart"/>
          </w:tcPr>
          <w:p>
            <w:pPr>
              <w:jc w:val="right"/>
              <w:ind w:right="351"/>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4"/>
                <w:szCs w:val="14"/>
                <w:color w:val="auto"/>
              </w:rPr>
            </w:pPr>
          </w:p>
        </w:tc>
        <w:tc>
          <w:tcPr>
            <w:tcW w:w="1360" w:type="dxa"/>
            <w:vAlign w:val="bottom"/>
            <w:gridSpan w:val="3"/>
          </w:tcPr>
          <w:p>
            <w:pPr>
              <w:ind w:left="80"/>
              <w:spacing w:after="0"/>
              <w:rPr>
                <w:sz w:val="20"/>
                <w:szCs w:val="20"/>
                <w:color w:val="auto"/>
              </w:rPr>
            </w:pPr>
            <w:r>
              <w:rPr>
                <w:rFonts w:ascii="Arial" w:cs="Arial" w:eastAsia="Arial" w:hAnsi="Arial"/>
                <w:sz w:val="14"/>
                <w:szCs w:val="14"/>
                <w:b w:val="1"/>
                <w:bCs w:val="1"/>
                <w:color w:val="auto"/>
              </w:rPr>
              <w:t>Weighted Average</w:t>
            </w:r>
          </w:p>
        </w:tc>
        <w:tc>
          <w:tcPr>
            <w:tcW w:w="136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Exercisable</w:t>
            </w:r>
          </w:p>
        </w:tc>
        <w:tc>
          <w:tcPr>
            <w:tcW w:w="0" w:type="dxa"/>
            <w:vAlign w:val="bottom"/>
          </w:tcPr>
          <w:p>
            <w:pPr>
              <w:spacing w:after="0"/>
              <w:rPr>
                <w:sz w:val="1"/>
                <w:szCs w:val="1"/>
                <w:color w:val="auto"/>
              </w:rPr>
            </w:pPr>
          </w:p>
        </w:tc>
      </w:tr>
      <w:tr>
        <w:trPr>
          <w:trHeight w:val="192"/>
        </w:trPr>
        <w:tc>
          <w:tcPr>
            <w:tcW w:w="72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2011</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20,632,021</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18,704,618</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769,693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22.59</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(12,358,474)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Canceled</w:t>
            </w:r>
          </w:p>
        </w:tc>
        <w:tc>
          <w:tcPr>
            <w:tcW w:w="1380" w:type="dxa"/>
            <w:vAlign w:val="bottom"/>
          </w:tcPr>
          <w:p>
            <w:pPr>
              <w:jc w:val="right"/>
              <w:spacing w:after="0"/>
              <w:rPr>
                <w:sz w:val="20"/>
                <w:szCs w:val="20"/>
                <w:color w:val="auto"/>
              </w:rPr>
            </w:pPr>
            <w:r>
              <w:rPr>
                <w:rFonts w:ascii="Arial" w:cs="Arial" w:eastAsia="Arial" w:hAnsi="Arial"/>
                <w:sz w:val="18"/>
                <w:szCs w:val="18"/>
                <w:color w:val="auto"/>
              </w:rPr>
              <w:t>(76,166)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22.69</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2012</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8,967,074</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8,147,381</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3,712,416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27.90</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(3,267,937)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Canceled</w:t>
            </w:r>
          </w:p>
        </w:tc>
        <w:tc>
          <w:tcPr>
            <w:tcW w:w="1380" w:type="dxa"/>
            <w:vAlign w:val="bottom"/>
          </w:tcPr>
          <w:p>
            <w:pPr>
              <w:jc w:val="right"/>
              <w:spacing w:after="0"/>
              <w:rPr>
                <w:sz w:val="20"/>
                <w:szCs w:val="20"/>
                <w:color w:val="auto"/>
              </w:rPr>
            </w:pPr>
            <w:r>
              <w:rPr>
                <w:rFonts w:ascii="Arial" w:cs="Arial" w:eastAsia="Arial" w:hAnsi="Arial"/>
                <w:sz w:val="18"/>
                <w:szCs w:val="18"/>
                <w:color w:val="auto"/>
              </w:rPr>
              <w:t>(52,813)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22.59</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2013</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9,358,740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5,180,504</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31"/>
              <w:spacing w:after="0"/>
              <w:rPr>
                <w:sz w:val="20"/>
                <w:szCs w:val="20"/>
                <w:color w:val="auto"/>
              </w:rPr>
            </w:pPr>
            <w:r>
              <w:rPr>
                <w:rFonts w:ascii="Arial" w:cs="Arial" w:eastAsia="Arial" w:hAnsi="Arial"/>
                <w:sz w:val="18"/>
                <w:szCs w:val="18"/>
                <w:color w:val="auto"/>
              </w:rPr>
              <w:t>1,112,133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29.80</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Options granted for FNFV recapitalization</w:t>
            </w:r>
          </w:p>
        </w:tc>
        <w:tc>
          <w:tcPr>
            <w:tcW w:w="13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1,346,302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17.86</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Exercised</w:t>
            </w:r>
          </w:p>
        </w:tc>
        <w:tc>
          <w:tcPr>
            <w:tcW w:w="1380" w:type="dxa"/>
            <w:vAlign w:val="bottom"/>
          </w:tcPr>
          <w:p>
            <w:pPr>
              <w:jc w:val="right"/>
              <w:spacing w:after="0"/>
              <w:rPr>
                <w:sz w:val="20"/>
                <w:szCs w:val="20"/>
                <w:color w:val="auto"/>
              </w:rPr>
            </w:pPr>
            <w:r>
              <w:rPr>
                <w:rFonts w:ascii="Arial" w:cs="Arial" w:eastAsia="Arial" w:hAnsi="Arial"/>
                <w:sz w:val="18"/>
                <w:szCs w:val="18"/>
                <w:color w:val="auto"/>
              </w:rPr>
              <w:t>(2,418,713)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15.80</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Canceled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23.85</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7200" w:type="dxa"/>
            <w:vAlign w:val="bottom"/>
          </w:tcPr>
          <w:p>
            <w:pPr>
              <w:ind w:left="40"/>
              <w:spacing w:after="0"/>
              <w:rPr>
                <w:sz w:val="20"/>
                <w:szCs w:val="20"/>
                <w:color w:val="auto"/>
              </w:rPr>
            </w:pPr>
            <w:r>
              <w:rPr>
                <w:rFonts w:ascii="Arial" w:cs="Arial" w:eastAsia="Arial" w:hAnsi="Arial"/>
                <w:sz w:val="18"/>
                <w:szCs w:val="18"/>
                <w:color w:val="auto"/>
              </w:rPr>
              <w:t>Balance, December 31, 2014</w:t>
            </w:r>
          </w:p>
        </w:tc>
        <w:tc>
          <w:tcPr>
            <w:tcW w:w="13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9,393,211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19.43</w:t>
            </w:r>
          </w:p>
        </w:tc>
        <w:tc>
          <w:tcPr>
            <w:tcW w:w="100" w:type="dxa"/>
            <w:vAlign w:val="bottom"/>
          </w:tcPr>
          <w:p>
            <w:pPr>
              <w:spacing w:after="0"/>
              <w:rPr>
                <w:sz w:val="22"/>
                <w:szCs w:val="22"/>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5,173,802</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FNF Group restricted stock transactions under the Omnibus Plan in 2012, 2013, and 2014 are as follows: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26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Shares</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Balance, December 31, 2011</w:t>
            </w:r>
          </w:p>
        </w:tc>
        <w:tc>
          <w:tcPr>
            <w:tcW w:w="5260" w:type="dxa"/>
            <w:vAlign w:val="bottom"/>
            <w:gridSpan w:val="2"/>
          </w:tcPr>
          <w:p>
            <w:pPr>
              <w:jc w:val="right"/>
              <w:ind w:right="34"/>
              <w:spacing w:after="0"/>
              <w:rPr>
                <w:sz w:val="20"/>
                <w:szCs w:val="20"/>
                <w:color w:val="auto"/>
              </w:rPr>
            </w:pPr>
            <w:r>
              <w:rPr>
                <w:rFonts w:ascii="Arial" w:cs="Arial" w:eastAsia="Arial" w:hAnsi="Arial"/>
                <w:sz w:val="18"/>
                <w:szCs w:val="18"/>
                <w:color w:val="auto"/>
              </w:rPr>
              <w:t>3,012,656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Granted</w:t>
            </w:r>
          </w:p>
        </w:tc>
        <w:tc>
          <w:tcPr>
            <w:tcW w:w="526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1,332,222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22.59</w:t>
            </w:r>
          </w:p>
        </w:tc>
        <w:tc>
          <w:tcPr>
            <w:tcW w:w="0" w:type="dxa"/>
            <w:vAlign w:val="bottom"/>
          </w:tcPr>
          <w:p>
            <w:pPr>
              <w:spacing w:after="0"/>
              <w:rPr>
                <w:sz w:val="1"/>
                <w:szCs w:val="1"/>
                <w:color w:val="auto"/>
              </w:rPr>
            </w:pPr>
          </w:p>
        </w:tc>
      </w:tr>
      <w:tr>
        <w:trPr>
          <w:trHeight w:val="243"/>
        </w:trPr>
        <w:tc>
          <w:tcPr>
            <w:tcW w:w="4800" w:type="dxa"/>
            <w:vAlign w:val="bottom"/>
          </w:tcPr>
          <w:p>
            <w:pPr>
              <w:ind w:left="280"/>
              <w:spacing w:after="0"/>
              <w:rPr>
                <w:sz w:val="20"/>
                <w:szCs w:val="20"/>
                <w:color w:val="auto"/>
              </w:rPr>
            </w:pPr>
            <w:r>
              <w:rPr>
                <w:rFonts w:ascii="Arial" w:cs="Arial" w:eastAsia="Arial" w:hAnsi="Arial"/>
                <w:sz w:val="18"/>
                <w:szCs w:val="18"/>
                <w:color w:val="auto"/>
              </w:rPr>
              <w:t>Canceled</w:t>
            </w:r>
          </w:p>
        </w:tc>
        <w:tc>
          <w:tcPr>
            <w:tcW w:w="5260" w:type="dxa"/>
            <w:vAlign w:val="bottom"/>
            <w:gridSpan w:val="2"/>
          </w:tcPr>
          <w:p>
            <w:pPr>
              <w:jc w:val="right"/>
              <w:spacing w:after="0"/>
              <w:rPr>
                <w:sz w:val="20"/>
                <w:szCs w:val="20"/>
                <w:color w:val="auto"/>
              </w:rPr>
            </w:pPr>
            <w:r>
              <w:rPr>
                <w:rFonts w:ascii="Arial" w:cs="Arial" w:eastAsia="Arial" w:hAnsi="Arial"/>
                <w:sz w:val="18"/>
                <w:szCs w:val="18"/>
                <w:color w:val="auto"/>
              </w:rPr>
              <w:t>(17,840)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14.78</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Vested</w:t>
            </w:r>
          </w:p>
        </w:tc>
        <w:tc>
          <w:tcPr>
            <w:tcW w:w="40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(1,402,300)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Balance, December 31, 2012</w:t>
            </w:r>
          </w:p>
        </w:tc>
        <w:tc>
          <w:tcPr>
            <w:tcW w:w="4000" w:type="dxa"/>
            <w:vAlign w:val="bottom"/>
          </w:tcPr>
          <w:p>
            <w:pPr>
              <w:spacing w:after="0"/>
              <w:rPr>
                <w:sz w:val="20"/>
                <w:szCs w:val="20"/>
                <w:color w:val="auto"/>
              </w:rPr>
            </w:pP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2,924,738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Granted</w:t>
            </w:r>
          </w:p>
        </w:tc>
        <w:tc>
          <w:tcPr>
            <w:tcW w:w="526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650,728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27.90</w:t>
            </w:r>
          </w:p>
        </w:tc>
        <w:tc>
          <w:tcPr>
            <w:tcW w:w="0" w:type="dxa"/>
            <w:vAlign w:val="bottom"/>
          </w:tcPr>
          <w:p>
            <w:pPr>
              <w:spacing w:after="0"/>
              <w:rPr>
                <w:sz w:val="1"/>
                <w:szCs w:val="1"/>
                <w:color w:val="auto"/>
              </w:rPr>
            </w:pPr>
          </w:p>
        </w:tc>
      </w:tr>
      <w:tr>
        <w:trPr>
          <w:trHeight w:val="243"/>
        </w:trPr>
        <w:tc>
          <w:tcPr>
            <w:tcW w:w="4800" w:type="dxa"/>
            <w:vAlign w:val="bottom"/>
          </w:tcPr>
          <w:p>
            <w:pPr>
              <w:ind w:left="280"/>
              <w:spacing w:after="0"/>
              <w:rPr>
                <w:sz w:val="20"/>
                <w:szCs w:val="20"/>
                <w:color w:val="auto"/>
              </w:rPr>
            </w:pPr>
            <w:r>
              <w:rPr>
                <w:rFonts w:ascii="Arial" w:cs="Arial" w:eastAsia="Arial" w:hAnsi="Arial"/>
                <w:sz w:val="18"/>
                <w:szCs w:val="18"/>
                <w:color w:val="auto"/>
              </w:rPr>
              <w:t>Canceled</w:t>
            </w:r>
          </w:p>
        </w:tc>
        <w:tc>
          <w:tcPr>
            <w:tcW w:w="5260" w:type="dxa"/>
            <w:vAlign w:val="bottom"/>
            <w:gridSpan w:val="2"/>
          </w:tcPr>
          <w:p>
            <w:pPr>
              <w:jc w:val="right"/>
              <w:spacing w:after="0"/>
              <w:rPr>
                <w:sz w:val="20"/>
                <w:szCs w:val="20"/>
                <w:color w:val="auto"/>
              </w:rPr>
            </w:pPr>
            <w:r>
              <w:rPr>
                <w:rFonts w:ascii="Arial" w:cs="Arial" w:eastAsia="Arial" w:hAnsi="Arial"/>
                <w:sz w:val="18"/>
                <w:szCs w:val="18"/>
                <w:color w:val="auto"/>
              </w:rPr>
              <w:t>(8,116)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17.44</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Vested</w:t>
            </w:r>
          </w:p>
        </w:tc>
        <w:tc>
          <w:tcPr>
            <w:tcW w:w="40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(1,654,278)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37"/>
        </w:trPr>
        <w:tc>
          <w:tcPr>
            <w:tcW w:w="4800" w:type="dxa"/>
            <w:vAlign w:val="bottom"/>
          </w:tcPr>
          <w:p>
            <w:pPr>
              <w:ind w:left="40"/>
              <w:spacing w:after="0"/>
              <w:rPr>
                <w:sz w:val="20"/>
                <w:szCs w:val="20"/>
                <w:color w:val="auto"/>
              </w:rPr>
            </w:pPr>
            <w:r>
              <w:rPr>
                <w:rFonts w:ascii="Arial" w:cs="Arial" w:eastAsia="Arial" w:hAnsi="Arial"/>
                <w:sz w:val="18"/>
                <w:szCs w:val="18"/>
                <w:color w:val="auto"/>
              </w:rPr>
              <w:t>Balance, December 31, 2013</w:t>
            </w:r>
          </w:p>
        </w:tc>
        <w:tc>
          <w:tcPr>
            <w:tcW w:w="4000" w:type="dxa"/>
            <w:vAlign w:val="bottom"/>
          </w:tcPr>
          <w:p>
            <w:pPr>
              <w:spacing w:after="0"/>
              <w:rPr>
                <w:sz w:val="20"/>
                <w:szCs w:val="20"/>
                <w:color w:val="auto"/>
              </w:rPr>
            </w:pP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1,913,072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22.68</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Granted</w:t>
            </w:r>
          </w:p>
        </w:tc>
        <w:tc>
          <w:tcPr>
            <w:tcW w:w="526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785,705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r>
        <w:trPr>
          <w:trHeight w:val="243"/>
        </w:trPr>
        <w:tc>
          <w:tcPr>
            <w:tcW w:w="4800" w:type="dxa"/>
            <w:vAlign w:val="bottom"/>
          </w:tcPr>
          <w:p>
            <w:pPr>
              <w:ind w:left="280"/>
              <w:spacing w:after="0"/>
              <w:rPr>
                <w:sz w:val="20"/>
                <w:szCs w:val="20"/>
                <w:color w:val="auto"/>
              </w:rPr>
            </w:pPr>
            <w:r>
              <w:rPr>
                <w:rFonts w:ascii="Arial" w:cs="Arial" w:eastAsia="Arial" w:hAnsi="Arial"/>
                <w:sz w:val="18"/>
                <w:szCs w:val="18"/>
                <w:color w:val="auto"/>
              </w:rPr>
              <w:t>Restricted shares granted for FNFV recapitalization</w:t>
            </w:r>
          </w:p>
        </w:tc>
        <w:tc>
          <w:tcPr>
            <w:tcW w:w="5260" w:type="dxa"/>
            <w:vAlign w:val="bottom"/>
            <w:gridSpan w:val="2"/>
          </w:tcPr>
          <w:p>
            <w:pPr>
              <w:jc w:val="right"/>
              <w:ind w:right="34"/>
              <w:spacing w:after="0"/>
              <w:rPr>
                <w:sz w:val="20"/>
                <w:szCs w:val="20"/>
                <w:color w:val="auto"/>
              </w:rPr>
            </w:pPr>
            <w:r>
              <w:rPr>
                <w:rFonts w:ascii="Arial" w:cs="Arial" w:eastAsia="Arial" w:hAnsi="Arial"/>
                <w:sz w:val="18"/>
                <w:szCs w:val="18"/>
                <w:color w:val="auto"/>
              </w:rPr>
              <w:t>363,392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28.46</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Canceled</w:t>
            </w:r>
          </w:p>
        </w:tc>
        <w:tc>
          <w:tcPr>
            <w:tcW w:w="5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21.29</w:t>
            </w:r>
          </w:p>
        </w:tc>
        <w:tc>
          <w:tcPr>
            <w:tcW w:w="0" w:type="dxa"/>
            <w:vAlign w:val="bottom"/>
          </w:tcPr>
          <w:p>
            <w:pPr>
              <w:spacing w:after="0"/>
              <w:rPr>
                <w:sz w:val="1"/>
                <w:szCs w:val="1"/>
                <w:color w:val="auto"/>
              </w:rPr>
            </w:pPr>
          </w:p>
        </w:tc>
      </w:tr>
      <w:tr>
        <w:trPr>
          <w:trHeight w:val="243"/>
        </w:trPr>
        <w:tc>
          <w:tcPr>
            <w:tcW w:w="4800" w:type="dxa"/>
            <w:vAlign w:val="bottom"/>
          </w:tcPr>
          <w:p>
            <w:pPr>
              <w:ind w:left="280"/>
              <w:spacing w:after="0"/>
              <w:rPr>
                <w:sz w:val="20"/>
                <w:szCs w:val="20"/>
                <w:color w:val="auto"/>
              </w:rPr>
            </w:pPr>
            <w:r>
              <w:rPr>
                <w:rFonts w:ascii="Arial" w:cs="Arial" w:eastAsia="Arial" w:hAnsi="Arial"/>
                <w:sz w:val="18"/>
                <w:szCs w:val="18"/>
                <w:color w:val="auto"/>
              </w:rPr>
              <w:t>Vested</w:t>
            </w:r>
          </w:p>
        </w:tc>
        <w:tc>
          <w:tcPr>
            <w:tcW w:w="5260" w:type="dxa"/>
            <w:vAlign w:val="bottom"/>
            <w:gridSpan w:val="2"/>
          </w:tcPr>
          <w:p>
            <w:pPr>
              <w:jc w:val="right"/>
              <w:spacing w:after="0"/>
              <w:rPr>
                <w:sz w:val="20"/>
                <w:szCs w:val="20"/>
                <w:color w:val="auto"/>
              </w:rPr>
            </w:pPr>
            <w:r>
              <w:rPr>
                <w:rFonts w:ascii="Arial" w:cs="Arial" w:eastAsia="Arial" w:hAnsi="Arial"/>
                <w:sz w:val="18"/>
                <w:szCs w:val="18"/>
                <w:color w:val="auto"/>
              </w:rPr>
              <w:t>(1,286,732)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17.33</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40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December 31, 2014</w:t>
            </w:r>
          </w:p>
        </w:tc>
        <w:tc>
          <w:tcPr>
            <w:tcW w:w="5260" w:type="dxa"/>
            <w:vAlign w:val="bottom"/>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1,770,781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bottom w:val="single" w:sz="8" w:color="CCEEFF"/>
            </w:tcBorders>
            <w:vMerge w:val="restart"/>
          </w:tcPr>
          <w:p>
            <w:pPr>
              <w:jc w:val="right"/>
              <w:ind w:right="2870"/>
              <w:spacing w:after="0"/>
              <w:rPr>
                <w:sz w:val="20"/>
                <w:szCs w:val="20"/>
                <w:color w:val="auto"/>
              </w:rPr>
            </w:pPr>
            <w:r>
              <w:rPr>
                <w:rFonts w:ascii="Arial" w:cs="Arial" w:eastAsia="Arial" w:hAnsi="Arial"/>
                <w:sz w:val="18"/>
                <w:szCs w:val="18"/>
                <w:color w:val="auto"/>
              </w:rPr>
              <w:t>104</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80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08" w:name="page109"/>
    <w:bookmarkEnd w:id="108"/>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FNFV restricted stock transactions under the Omnibus Plan in 2014 are as follows:</w:t>
      </w:r>
    </w:p>
    <w:p>
      <w:pPr>
        <w:spacing w:after="0" w:line="200" w:lineRule="exact"/>
        <w:rPr>
          <w:sz w:val="20"/>
          <w:szCs w:val="20"/>
          <w:color w:val="auto"/>
        </w:rPr>
      </w:pP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8740" w:type="dxa"/>
            <w:vAlign w:val="bottom"/>
          </w:tcPr>
          <w:p>
            <w:pPr>
              <w:spacing w:after="0"/>
              <w:rPr>
                <w:sz w:val="12"/>
                <w:szCs w:val="12"/>
                <w:color w:val="auto"/>
              </w:rPr>
            </w:pPr>
          </w:p>
        </w:tc>
        <w:tc>
          <w:tcPr>
            <w:tcW w:w="126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Shares</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92"/>
        </w:trPr>
        <w:tc>
          <w:tcPr>
            <w:tcW w:w="8740" w:type="dxa"/>
            <w:vAlign w:val="bottom"/>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43"/>
        </w:trPr>
        <w:tc>
          <w:tcPr>
            <w:tcW w:w="8740" w:type="dxa"/>
            <w:vAlign w:val="bottom"/>
          </w:tcPr>
          <w:p>
            <w:pPr>
              <w:ind w:left="20"/>
              <w:spacing w:after="0"/>
              <w:rPr>
                <w:sz w:val="20"/>
                <w:szCs w:val="20"/>
                <w:color w:val="auto"/>
              </w:rPr>
            </w:pPr>
            <w:r>
              <w:rPr>
                <w:rFonts w:ascii="Arial" w:cs="Arial" w:eastAsia="Arial" w:hAnsi="Arial"/>
                <w:sz w:val="18"/>
                <w:szCs w:val="18"/>
                <w:color w:val="auto"/>
              </w:rPr>
              <w:t>Balance, December 31, 2013</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Granted</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1,233,333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43"/>
        </w:trPr>
        <w:tc>
          <w:tcPr>
            <w:tcW w:w="8740" w:type="dxa"/>
            <w:vAlign w:val="bottom"/>
          </w:tcPr>
          <w:p>
            <w:pPr>
              <w:ind w:left="260"/>
              <w:spacing w:after="0"/>
              <w:rPr>
                <w:sz w:val="20"/>
                <w:szCs w:val="20"/>
                <w:color w:val="auto"/>
              </w:rPr>
            </w:pPr>
            <w:r>
              <w:rPr>
                <w:rFonts w:ascii="Arial" w:cs="Arial" w:eastAsia="Arial" w:hAnsi="Arial"/>
                <w:sz w:val="18"/>
                <w:szCs w:val="18"/>
                <w:color w:val="auto"/>
              </w:rPr>
              <w:t>Canceled</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1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7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Vested</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740" w:type="dxa"/>
            <w:vAlign w:val="bottom"/>
          </w:tcPr>
          <w:p>
            <w:pPr>
              <w:ind w:left="20"/>
              <w:spacing w:after="0"/>
              <w:rPr>
                <w:sz w:val="20"/>
                <w:szCs w:val="20"/>
                <w:color w:val="auto"/>
              </w:rPr>
            </w:pPr>
            <w:r>
              <w:rPr>
                <w:rFonts w:ascii="Arial" w:cs="Arial" w:eastAsia="Arial" w:hAnsi="Arial"/>
                <w:sz w:val="18"/>
                <w:szCs w:val="18"/>
                <w:color w:val="auto"/>
              </w:rPr>
              <w:t>Balance, December 31, 2014</w:t>
            </w:r>
          </w:p>
        </w:tc>
        <w:tc>
          <w:tcPr>
            <w:tcW w:w="12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1,233,333</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14.69</w:t>
            </w:r>
          </w:p>
        </w:tc>
        <w:tc>
          <w:tcPr>
            <w:tcW w:w="0" w:type="dxa"/>
            <w:vAlign w:val="bottom"/>
          </w:tcPr>
          <w:p>
            <w:pPr>
              <w:spacing w:after="0"/>
              <w:rPr>
                <w:sz w:val="1"/>
                <w:szCs w:val="1"/>
                <w:color w:val="auto"/>
              </w:rPr>
            </w:pPr>
          </w:p>
        </w:tc>
      </w:tr>
      <w:tr>
        <w:trPr>
          <w:trHeight w:val="20"/>
        </w:trPr>
        <w:tc>
          <w:tcPr>
            <w:tcW w:w="87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information related to stock options outstanding and exercisable as of December 31, 2014: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5"/>
          </w:tcPr>
          <w:p>
            <w:pPr>
              <w:ind w:left="360"/>
              <w:spacing w:after="0"/>
              <w:rPr>
                <w:sz w:val="20"/>
                <w:szCs w:val="20"/>
                <w:color w:val="auto"/>
              </w:rPr>
            </w:pPr>
            <w:r>
              <w:rPr>
                <w:rFonts w:ascii="Arial" w:cs="Arial" w:eastAsia="Arial" w:hAnsi="Arial"/>
                <w:sz w:val="13"/>
                <w:szCs w:val="13"/>
                <w:b w:val="1"/>
                <w:bCs w:val="1"/>
                <w:color w:val="auto"/>
              </w:rPr>
              <w:t>Options Outstanding</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ind w:left="380"/>
              <w:spacing w:after="0"/>
              <w:rPr>
                <w:sz w:val="20"/>
                <w:szCs w:val="20"/>
                <w:color w:val="auto"/>
              </w:rPr>
            </w:pPr>
            <w:r>
              <w:rPr>
                <w:rFonts w:ascii="Arial" w:cs="Arial" w:eastAsia="Arial" w:hAnsi="Arial"/>
                <w:sz w:val="13"/>
                <w:szCs w:val="13"/>
                <w:b w:val="1"/>
                <w:bCs w:val="1"/>
                <w:color w:val="auto"/>
              </w:rPr>
              <w:t>Options Exercisable</w:t>
            </w: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r>
      <w:tr>
        <w:trPr>
          <w:trHeight w:val="254"/>
        </w:trPr>
        <w:tc>
          <w:tcPr>
            <w:tcW w:w="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Weighted</w:t>
            </w:r>
          </w:p>
        </w:tc>
        <w:tc>
          <w:tcPr>
            <w:tcW w:w="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Weighted</w:t>
            </w: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0"/>
        </w:trPr>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Average</w:t>
            </w:r>
          </w:p>
        </w:tc>
        <w:tc>
          <w:tcPr>
            <w:tcW w:w="160" w:type="dxa"/>
            <w:vAlign w:val="bottom"/>
          </w:tcPr>
          <w:p>
            <w:pPr>
              <w:spacing w:after="0"/>
              <w:rPr>
                <w:sz w:val="23"/>
                <w:szCs w:val="23"/>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Weighted</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Average</w:t>
            </w:r>
          </w:p>
        </w:tc>
        <w:tc>
          <w:tcPr>
            <w:tcW w:w="160" w:type="dxa"/>
            <w:vAlign w:val="bottom"/>
          </w:tcPr>
          <w:p>
            <w:pPr>
              <w:spacing w:after="0"/>
              <w:rPr>
                <w:sz w:val="23"/>
                <w:szCs w:val="23"/>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Weighted</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7"/>
              </w:rPr>
              <w:t>Remaining</w:t>
            </w:r>
          </w:p>
        </w:tc>
        <w:tc>
          <w:tcPr>
            <w:tcW w:w="160" w:type="dxa"/>
            <w:vAlign w:val="bottom"/>
          </w:tcPr>
          <w:p>
            <w:pPr>
              <w:spacing w:after="0"/>
              <w:rPr>
                <w:sz w:val="23"/>
                <w:szCs w:val="23"/>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Average</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Remaining</w:t>
            </w:r>
          </w:p>
        </w:tc>
        <w:tc>
          <w:tcPr>
            <w:tcW w:w="160" w:type="dxa"/>
            <w:vAlign w:val="bottom"/>
          </w:tcPr>
          <w:p>
            <w:pPr>
              <w:spacing w:after="0"/>
              <w:rPr>
                <w:sz w:val="23"/>
                <w:szCs w:val="23"/>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Average</w:t>
            </w: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70"/>
        </w:trPr>
        <w:tc>
          <w:tcPr>
            <w:tcW w:w="2180" w:type="dxa"/>
            <w:vAlign w:val="bottom"/>
            <w:gridSpan w:val="3"/>
          </w:tcPr>
          <w:p>
            <w:pPr>
              <w:ind w:left="40"/>
              <w:spacing w:after="0"/>
              <w:rPr>
                <w:sz w:val="20"/>
                <w:szCs w:val="20"/>
                <w:color w:val="auto"/>
              </w:rPr>
            </w:pPr>
            <w:r>
              <w:rPr>
                <w:rFonts w:ascii="Arial" w:cs="Arial" w:eastAsia="Arial" w:hAnsi="Arial"/>
                <w:sz w:val="13"/>
                <w:szCs w:val="13"/>
                <w:b w:val="1"/>
                <w:bCs w:val="1"/>
                <w:color w:val="auto"/>
              </w:rPr>
              <w:t>Range of</w:t>
            </w:r>
          </w:p>
        </w:tc>
        <w:tc>
          <w:tcPr>
            <w:tcW w:w="1280" w:type="dxa"/>
            <w:vAlign w:val="bottom"/>
          </w:tcPr>
          <w:p>
            <w:pPr>
              <w:jc w:val="right"/>
              <w:ind w:right="275"/>
              <w:spacing w:after="0"/>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23"/>
                <w:szCs w:val="23"/>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1"/>
              </w:rPr>
              <w:t>Contractual</w:t>
            </w:r>
          </w:p>
        </w:tc>
        <w:tc>
          <w:tcPr>
            <w:tcW w:w="160" w:type="dxa"/>
            <w:vAlign w:val="bottom"/>
          </w:tcPr>
          <w:p>
            <w:pPr>
              <w:spacing w:after="0"/>
              <w:rPr>
                <w:sz w:val="23"/>
                <w:szCs w:val="23"/>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2"/>
              </w:rPr>
              <w:t>Exercise</w:t>
            </w:r>
          </w:p>
        </w:tc>
        <w:tc>
          <w:tcPr>
            <w:tcW w:w="140" w:type="dxa"/>
            <w:vAlign w:val="bottom"/>
          </w:tcPr>
          <w:p>
            <w:pPr>
              <w:spacing w:after="0"/>
              <w:rPr>
                <w:sz w:val="23"/>
                <w:szCs w:val="23"/>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Intrinsic</w:t>
            </w:r>
          </w:p>
        </w:tc>
        <w:tc>
          <w:tcPr>
            <w:tcW w:w="1260" w:type="dxa"/>
            <w:vAlign w:val="bottom"/>
          </w:tcPr>
          <w:p>
            <w:pPr>
              <w:jc w:val="right"/>
              <w:ind w:right="255"/>
              <w:spacing w:after="0"/>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23"/>
                <w:szCs w:val="23"/>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1"/>
              </w:rPr>
              <w:t>Contractual</w:t>
            </w:r>
          </w:p>
        </w:tc>
        <w:tc>
          <w:tcPr>
            <w:tcW w:w="160" w:type="dxa"/>
            <w:vAlign w:val="bottom"/>
          </w:tcPr>
          <w:p>
            <w:pPr>
              <w:spacing w:after="0"/>
              <w:rPr>
                <w:sz w:val="23"/>
                <w:szCs w:val="23"/>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Exercise</w:t>
            </w:r>
          </w:p>
        </w:tc>
        <w:tc>
          <w:tcPr>
            <w:tcW w:w="140" w:type="dxa"/>
            <w:vAlign w:val="bottom"/>
          </w:tcPr>
          <w:p>
            <w:pPr>
              <w:spacing w:after="0"/>
              <w:rPr>
                <w:sz w:val="23"/>
                <w:szCs w:val="23"/>
                <w:color w:val="auto"/>
              </w:rPr>
            </w:pPr>
          </w:p>
        </w:tc>
        <w:tc>
          <w:tcPr>
            <w:tcW w:w="880" w:type="dxa"/>
            <w:vAlign w:val="bottom"/>
          </w:tcPr>
          <w:p>
            <w:pPr>
              <w:jc w:val="center"/>
              <w:ind w:right="57"/>
              <w:spacing w:after="0"/>
              <w:rPr>
                <w:sz w:val="20"/>
                <w:szCs w:val="20"/>
                <w:color w:val="auto"/>
              </w:rPr>
            </w:pPr>
            <w:r>
              <w:rPr>
                <w:rFonts w:ascii="Arial" w:cs="Arial" w:eastAsia="Arial" w:hAnsi="Arial"/>
                <w:sz w:val="13"/>
                <w:szCs w:val="13"/>
                <w:b w:val="1"/>
                <w:bCs w:val="1"/>
                <w:color w:val="auto"/>
                <w:w w:val="90"/>
              </w:rPr>
              <w:t>Intrinsic</w:t>
            </w:r>
          </w:p>
        </w:tc>
      </w:tr>
      <w:tr>
        <w:trPr>
          <w:trHeight w:val="246"/>
        </w:trPr>
        <w:tc>
          <w:tcPr>
            <w:tcW w:w="2180" w:type="dxa"/>
            <w:vAlign w:val="bottom"/>
            <w:gridSpan w:val="3"/>
          </w:tcPr>
          <w:p>
            <w:pPr>
              <w:ind w:left="40"/>
              <w:spacing w:after="0"/>
              <w:rPr>
                <w:sz w:val="20"/>
                <w:szCs w:val="20"/>
                <w:color w:val="auto"/>
              </w:rPr>
            </w:pPr>
            <w:r>
              <w:rPr>
                <w:rFonts w:ascii="Arial" w:cs="Arial" w:eastAsia="Arial" w:hAnsi="Arial"/>
                <w:sz w:val="13"/>
                <w:szCs w:val="13"/>
                <w:b w:val="1"/>
                <w:bCs w:val="1"/>
                <w:color w:val="auto"/>
              </w:rPr>
              <w:t>Exercise Prices</w:t>
            </w:r>
          </w:p>
        </w:tc>
        <w:tc>
          <w:tcPr>
            <w:tcW w:w="1280" w:type="dxa"/>
            <w:vAlign w:val="bottom"/>
          </w:tcPr>
          <w:p>
            <w:pPr>
              <w:jc w:val="right"/>
              <w:ind w:right="335"/>
              <w:spacing w:after="0"/>
              <w:rPr>
                <w:sz w:val="20"/>
                <w:szCs w:val="20"/>
                <w:color w:val="auto"/>
              </w:rPr>
            </w:pPr>
            <w:r>
              <w:rPr>
                <w:rFonts w:ascii="Arial" w:cs="Arial" w:eastAsia="Arial" w:hAnsi="Arial"/>
                <w:sz w:val="13"/>
                <w:szCs w:val="13"/>
                <w:b w:val="1"/>
                <w:bCs w:val="1"/>
                <w:color w:val="auto"/>
              </w:rPr>
              <w:t>Options</w:t>
            </w:r>
          </w:p>
        </w:tc>
        <w:tc>
          <w:tcPr>
            <w:tcW w:w="120" w:type="dxa"/>
            <w:vAlign w:val="bottom"/>
          </w:tcPr>
          <w:p>
            <w:pPr>
              <w:spacing w:after="0"/>
              <w:rPr>
                <w:sz w:val="21"/>
                <w:szCs w:val="21"/>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4"/>
              </w:rPr>
              <w:t>Life</w:t>
            </w:r>
          </w:p>
        </w:tc>
        <w:tc>
          <w:tcPr>
            <w:tcW w:w="160" w:type="dxa"/>
            <w:vAlign w:val="bottom"/>
          </w:tcPr>
          <w:p>
            <w:pPr>
              <w:spacing w:after="0"/>
              <w:rPr>
                <w:sz w:val="21"/>
                <w:szCs w:val="21"/>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7"/>
              </w:rPr>
              <w:t>Price</w:t>
            </w:r>
          </w:p>
        </w:tc>
        <w:tc>
          <w:tcPr>
            <w:tcW w:w="140" w:type="dxa"/>
            <w:vAlign w:val="bottom"/>
          </w:tcPr>
          <w:p>
            <w:pPr>
              <w:spacing w:after="0"/>
              <w:rPr>
                <w:sz w:val="21"/>
                <w:szCs w:val="21"/>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Value</w:t>
            </w:r>
          </w:p>
        </w:tc>
        <w:tc>
          <w:tcPr>
            <w:tcW w:w="1260" w:type="dxa"/>
            <w:vAlign w:val="bottom"/>
          </w:tcPr>
          <w:p>
            <w:pPr>
              <w:jc w:val="right"/>
              <w:ind w:right="335"/>
              <w:spacing w:after="0"/>
              <w:rPr>
                <w:sz w:val="20"/>
                <w:szCs w:val="20"/>
                <w:color w:val="auto"/>
              </w:rPr>
            </w:pPr>
            <w:r>
              <w:rPr>
                <w:rFonts w:ascii="Arial" w:cs="Arial" w:eastAsia="Arial" w:hAnsi="Arial"/>
                <w:sz w:val="13"/>
                <w:szCs w:val="13"/>
                <w:b w:val="1"/>
                <w:bCs w:val="1"/>
                <w:color w:val="auto"/>
              </w:rPr>
              <w:t>Options</w:t>
            </w:r>
          </w:p>
        </w:tc>
        <w:tc>
          <w:tcPr>
            <w:tcW w:w="100" w:type="dxa"/>
            <w:vAlign w:val="bottom"/>
          </w:tcPr>
          <w:p>
            <w:pPr>
              <w:spacing w:after="0"/>
              <w:rPr>
                <w:sz w:val="21"/>
                <w:szCs w:val="21"/>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Life</w:t>
            </w:r>
          </w:p>
        </w:tc>
        <w:tc>
          <w:tcPr>
            <w:tcW w:w="160" w:type="dxa"/>
            <w:vAlign w:val="bottom"/>
          </w:tcPr>
          <w:p>
            <w:pPr>
              <w:spacing w:after="0"/>
              <w:rPr>
                <w:sz w:val="21"/>
                <w:szCs w:val="21"/>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Price</w:t>
            </w:r>
          </w:p>
        </w:tc>
        <w:tc>
          <w:tcPr>
            <w:tcW w:w="140" w:type="dxa"/>
            <w:vAlign w:val="bottom"/>
          </w:tcPr>
          <w:p>
            <w:pPr>
              <w:spacing w:after="0"/>
              <w:rPr>
                <w:sz w:val="21"/>
                <w:szCs w:val="21"/>
                <w:color w:val="auto"/>
              </w:rPr>
            </w:pPr>
          </w:p>
        </w:tc>
        <w:tc>
          <w:tcPr>
            <w:tcW w:w="880" w:type="dxa"/>
            <w:vAlign w:val="bottom"/>
          </w:tcPr>
          <w:p>
            <w:pPr>
              <w:jc w:val="center"/>
              <w:ind w:right="57"/>
              <w:spacing w:after="0"/>
              <w:rPr>
                <w:sz w:val="20"/>
                <w:szCs w:val="20"/>
                <w:color w:val="auto"/>
              </w:rPr>
            </w:pPr>
            <w:r>
              <w:rPr>
                <w:rFonts w:ascii="Arial" w:cs="Arial" w:eastAsia="Arial" w:hAnsi="Arial"/>
                <w:sz w:val="13"/>
                <w:szCs w:val="13"/>
                <w:b w:val="1"/>
                <w:bCs w:val="1"/>
                <w:color w:val="auto"/>
                <w:w w:val="86"/>
              </w:rPr>
              <w:t>Value</w:t>
            </w:r>
          </w:p>
        </w:tc>
      </w:tr>
      <w:tr>
        <w:trPr>
          <w:trHeight w:val="21"/>
        </w:trPr>
        <w:tc>
          <w:tcPr>
            <w:tcW w:w="4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42"/>
        </w:trPr>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(In millions)</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center"/>
              <w:ind w:right="57"/>
              <w:spacing w:after="0"/>
              <w:rPr>
                <w:sz w:val="20"/>
                <w:szCs w:val="20"/>
                <w:color w:val="auto"/>
              </w:rPr>
            </w:pPr>
            <w:r>
              <w:rPr>
                <w:rFonts w:ascii="Arial" w:cs="Arial" w:eastAsia="Arial" w:hAnsi="Arial"/>
                <w:sz w:val="13"/>
                <w:szCs w:val="13"/>
                <w:b w:val="1"/>
                <w:bCs w:val="1"/>
                <w:color w:val="auto"/>
                <w:w w:val="90"/>
              </w:rPr>
              <w:t>(In millions)</w:t>
            </w:r>
          </w:p>
        </w:tc>
      </w:tr>
      <w:tr>
        <w:trPr>
          <w:trHeight w:val="258"/>
        </w:trPr>
        <w:tc>
          <w:tcPr>
            <w:tcW w:w="2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$0.00 — $6.16</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1,315,499</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6.16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1,315,499</w:t>
            </w:r>
          </w:p>
        </w:tc>
        <w:tc>
          <w:tcPr>
            <w:tcW w:w="1120" w:type="dxa"/>
            <w:vAlign w:val="bottom"/>
            <w:tcBorders>
              <w:bottom w:val="single" w:sz="8" w:color="CCEEFF"/>
            </w:tcBorders>
            <w:gridSpan w:val="2"/>
            <w:shd w:val="clear" w:color="auto" w:fill="CCEEFF"/>
          </w:tcPr>
          <w:p>
            <w:pPr>
              <w:jc w:val="right"/>
              <w:ind w:right="53"/>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6.16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w:t>
            </w:r>
          </w:p>
        </w:tc>
      </w:tr>
      <w:tr>
        <w:trPr>
          <w:trHeight w:val="243"/>
        </w:trPr>
        <w:tc>
          <w:tcPr>
            <w:tcW w:w="2180" w:type="dxa"/>
            <w:vAlign w:val="bottom"/>
            <w:gridSpan w:val="3"/>
          </w:tcPr>
          <w:p>
            <w:pPr>
              <w:ind w:left="40"/>
              <w:spacing w:after="0"/>
              <w:rPr>
                <w:sz w:val="20"/>
                <w:szCs w:val="20"/>
                <w:color w:val="auto"/>
              </w:rPr>
            </w:pPr>
            <w:r>
              <w:rPr>
                <w:rFonts w:ascii="Arial" w:cs="Arial" w:eastAsia="Arial" w:hAnsi="Arial"/>
                <w:sz w:val="18"/>
                <w:szCs w:val="18"/>
                <w:color w:val="auto"/>
              </w:rPr>
              <w:t>$6.17 — $11.85</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1,370,947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0.85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20"/>
              <w:spacing w:after="0"/>
              <w:rPr>
                <w:sz w:val="20"/>
                <w:szCs w:val="20"/>
                <w:color w:val="auto"/>
              </w:rPr>
            </w:pPr>
            <w:r>
              <w:rPr>
                <w:rFonts w:ascii="Arial" w:cs="Arial" w:eastAsia="Arial" w:hAnsi="Arial"/>
                <w:sz w:val="18"/>
                <w:szCs w:val="18"/>
                <w:color w:val="auto"/>
              </w:rPr>
              <w:t>11.85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1,370,947</w:t>
            </w:r>
          </w:p>
        </w:tc>
        <w:tc>
          <w:tcPr>
            <w:tcW w:w="1120" w:type="dxa"/>
            <w:vAlign w:val="bottom"/>
            <w:gridSpan w:val="2"/>
          </w:tcPr>
          <w:p>
            <w:pPr>
              <w:jc w:val="right"/>
              <w:ind w:right="53"/>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0"/>
              <w:spacing w:after="0"/>
              <w:rPr>
                <w:sz w:val="20"/>
                <w:szCs w:val="20"/>
                <w:color w:val="auto"/>
              </w:rPr>
            </w:pPr>
            <w:r>
              <w:rPr>
                <w:rFonts w:ascii="Arial" w:cs="Arial" w:eastAsia="Arial" w:hAnsi="Arial"/>
                <w:sz w:val="18"/>
                <w:szCs w:val="18"/>
                <w:color w:val="auto"/>
              </w:rPr>
              <w:t>11.85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31</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$11.86 — $12.22</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539,131</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12.22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539,131</w:t>
            </w:r>
          </w:p>
        </w:tc>
        <w:tc>
          <w:tcPr>
            <w:tcW w:w="1120" w:type="dxa"/>
            <w:vAlign w:val="bottom"/>
            <w:tcBorders>
              <w:bottom w:val="single" w:sz="8" w:color="CCEEFF"/>
            </w:tcBorders>
            <w:gridSpan w:val="2"/>
            <w:shd w:val="clear" w:color="auto" w:fill="CCEEFF"/>
          </w:tcPr>
          <w:p>
            <w:pPr>
              <w:jc w:val="right"/>
              <w:ind w:right="53"/>
              <w:spacing w:after="0"/>
              <w:rPr>
                <w:sz w:val="20"/>
                <w:szCs w:val="20"/>
                <w:color w:val="auto"/>
              </w:rPr>
            </w:pPr>
            <w:r>
              <w:rPr>
                <w:rFonts w:ascii="Arial" w:cs="Arial" w:eastAsia="Arial" w:hAnsi="Arial"/>
                <w:sz w:val="18"/>
                <w:szCs w:val="18"/>
                <w:color w:val="auto"/>
              </w:rPr>
              <w:t>1.90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12.22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w:t>
            </w:r>
          </w:p>
        </w:tc>
      </w:tr>
      <w:tr>
        <w:trPr>
          <w:trHeight w:val="243"/>
        </w:trPr>
        <w:tc>
          <w:tcPr>
            <w:tcW w:w="2180" w:type="dxa"/>
            <w:vAlign w:val="bottom"/>
            <w:gridSpan w:val="3"/>
          </w:tcPr>
          <w:p>
            <w:pPr>
              <w:ind w:left="40"/>
              <w:spacing w:after="0"/>
              <w:rPr>
                <w:sz w:val="20"/>
                <w:szCs w:val="20"/>
                <w:color w:val="auto"/>
              </w:rPr>
            </w:pPr>
            <w:r>
              <w:rPr>
                <w:rFonts w:ascii="Arial" w:cs="Arial" w:eastAsia="Arial" w:hAnsi="Arial"/>
                <w:sz w:val="18"/>
                <w:szCs w:val="18"/>
                <w:color w:val="auto"/>
              </w:rPr>
              <w:t>$12.23 — $15.76</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38,133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20"/>
              <w:spacing w:after="0"/>
              <w:rPr>
                <w:sz w:val="20"/>
                <w:szCs w:val="20"/>
                <w:color w:val="auto"/>
              </w:rPr>
            </w:pPr>
            <w:r>
              <w:rPr>
                <w:rFonts w:ascii="Arial" w:cs="Arial" w:eastAsia="Arial" w:hAnsi="Arial"/>
                <w:sz w:val="18"/>
                <w:szCs w:val="18"/>
                <w:color w:val="auto"/>
              </w:rPr>
              <w:t>15.21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38,133</w:t>
            </w:r>
          </w:p>
        </w:tc>
        <w:tc>
          <w:tcPr>
            <w:tcW w:w="1120" w:type="dxa"/>
            <w:vAlign w:val="bottom"/>
            <w:gridSpan w:val="2"/>
          </w:tcPr>
          <w:p>
            <w:pPr>
              <w:jc w:val="right"/>
              <w:ind w:right="53"/>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0"/>
              <w:spacing w:after="0"/>
              <w:rPr>
                <w:sz w:val="20"/>
                <w:szCs w:val="20"/>
                <w:color w:val="auto"/>
              </w:rPr>
            </w:pPr>
            <w:r>
              <w:rPr>
                <w:rFonts w:ascii="Arial" w:cs="Arial" w:eastAsia="Arial" w:hAnsi="Arial"/>
                <w:sz w:val="18"/>
                <w:szCs w:val="18"/>
                <w:color w:val="auto"/>
              </w:rPr>
              <w:t>15.21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1</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2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$15.77 — $19.62</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796,722</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19.57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534,395</w:t>
            </w:r>
          </w:p>
        </w:tc>
        <w:tc>
          <w:tcPr>
            <w:tcW w:w="1120" w:type="dxa"/>
            <w:vAlign w:val="bottom"/>
            <w:tcBorders>
              <w:bottom w:val="single" w:sz="8" w:color="CCEEFF"/>
            </w:tcBorders>
            <w:gridSpan w:val="2"/>
            <w:shd w:val="clear" w:color="auto" w:fill="CCEEFF"/>
          </w:tcPr>
          <w:p>
            <w:pPr>
              <w:jc w:val="right"/>
              <w:ind w:right="53"/>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19.54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w:t>
            </w:r>
          </w:p>
        </w:tc>
      </w:tr>
      <w:tr>
        <w:trPr>
          <w:trHeight w:val="243"/>
        </w:trPr>
        <w:tc>
          <w:tcPr>
            <w:tcW w:w="2180" w:type="dxa"/>
            <w:vAlign w:val="bottom"/>
            <w:gridSpan w:val="3"/>
          </w:tcPr>
          <w:p>
            <w:pPr>
              <w:ind w:left="40"/>
              <w:spacing w:after="0"/>
              <w:rPr>
                <w:sz w:val="20"/>
                <w:szCs w:val="20"/>
                <w:color w:val="auto"/>
              </w:rPr>
            </w:pPr>
            <w:r>
              <w:rPr>
                <w:rFonts w:ascii="Arial" w:cs="Arial" w:eastAsia="Arial" w:hAnsi="Arial"/>
                <w:sz w:val="18"/>
                <w:szCs w:val="18"/>
                <w:color w:val="auto"/>
              </w:rPr>
              <w:t>$19.63 — $24.24</w:t>
            </w: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4,220,646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20"/>
              <w:spacing w:after="0"/>
              <w:rPr>
                <w:sz w:val="20"/>
                <w:szCs w:val="20"/>
                <w:color w:val="auto"/>
              </w:rPr>
            </w:pPr>
            <w:r>
              <w:rPr>
                <w:rFonts w:ascii="Arial" w:cs="Arial" w:eastAsia="Arial" w:hAnsi="Arial"/>
                <w:sz w:val="18"/>
                <w:szCs w:val="18"/>
                <w:color w:val="auto"/>
              </w:rPr>
              <w:t>24.24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260" w:type="dxa"/>
            <w:vAlign w:val="bottom"/>
          </w:tcPr>
          <w:p>
            <w:pPr>
              <w:jc w:val="right"/>
              <w:ind w:right="35"/>
              <w:spacing w:after="0"/>
              <w:rPr>
                <w:sz w:val="20"/>
                <w:szCs w:val="20"/>
                <w:color w:val="auto"/>
              </w:rPr>
            </w:pPr>
            <w:r>
              <w:rPr>
                <w:rFonts w:ascii="Arial" w:cs="Arial" w:eastAsia="Arial" w:hAnsi="Arial"/>
                <w:sz w:val="18"/>
                <w:szCs w:val="18"/>
                <w:color w:val="auto"/>
              </w:rPr>
              <w:t>1,375,697</w:t>
            </w:r>
          </w:p>
        </w:tc>
        <w:tc>
          <w:tcPr>
            <w:tcW w:w="1120" w:type="dxa"/>
            <w:vAlign w:val="bottom"/>
            <w:gridSpan w:val="2"/>
          </w:tcPr>
          <w:p>
            <w:pPr>
              <w:jc w:val="right"/>
              <w:ind w:right="53"/>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0"/>
              <w:spacing w:after="0"/>
              <w:rPr>
                <w:sz w:val="20"/>
                <w:szCs w:val="20"/>
                <w:color w:val="auto"/>
              </w:rPr>
            </w:pPr>
            <w:r>
              <w:rPr>
                <w:rFonts w:ascii="Arial" w:cs="Arial" w:eastAsia="Arial" w:hAnsi="Arial"/>
                <w:sz w:val="18"/>
                <w:szCs w:val="18"/>
                <w:color w:val="auto"/>
              </w:rPr>
              <w:t>24.24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14</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21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$24.25 — $29.80</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1,112,133</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29.80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37"/>
        </w:trPr>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9,393,211</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5,173,802</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103</w:t>
            </w:r>
          </w:p>
        </w:tc>
      </w:tr>
      <w:tr>
        <w:trPr>
          <w:trHeight w:val="27"/>
        </w:trPr>
        <w:tc>
          <w:tcPr>
            <w:tcW w:w="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account for stock-based compensation plans in accordance with GAAP on share-based payments, which requires that compensation cost relating to share-based payments be recognized in the consolidated financial statements based on the fair value of each award. Using the fair value method of accounting, compensation cost is measured based on the fair value of the award at the grant date and recognized over the service period. Net earnings attributable to FNF Shareholders reflects stock-based compensation expense amounts of $51 million for the year ended December 31, 2014 and $35 million for the year ended December 31, 2013, and $27 million for the year ended December 31, 2012, which are included in personnel costs in the reported financial results of each period.</w:t>
      </w:r>
    </w:p>
    <w:p>
      <w:pPr>
        <w:spacing w:after="0" w:line="5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risk free interest rates used in the calculation of compensation cost on stock options are the rates that correspond to the weighted average expected life of an option. The volatility was estimated based on the historical volatility of FNF’s stock price over a term equal to the weighted average expected life of the options. For options granted in the years ended December 31, 2014, 2013, and 2012, we used risk free interest rates of 1.5%, 1.1%, and 0.6%, respectively; volatility factors for the expected market price of the common stock of 24%, 26%, and 50%, respectively; expected dividend yields of 2.6%, 2.6%, and 2.8%, respectively; and weighted average expected lives of 4.6 years, 4.4 years, and 4.6 years, respectively. The weighted average fair value of each option granted in the years ended December 31, 2014, 2013, and 2012, were $4.81, $4.67, and $7.58, respectively.</w:t>
      </w:r>
    </w:p>
    <w:p>
      <w:pPr>
        <w:spacing w:after="0" w:line="4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At December 31, 2014, the total unrecognized compensation cost related to non-vested stock option grants and restricted stock grants is $75 million, which is expected to be recognized in pre-tax income over a weighted average period of 1.68 years.</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Profits Interests Plan</w:t>
      </w:r>
    </w:p>
    <w:p>
      <w:pPr>
        <w:spacing w:after="0" w:line="9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year ended December 31, 2014, there were 11 million profits interests outstanding in each of BKFS and ServiceLink, which were issued to certain members of management, directors, and certain employees, which vest over 3 years, with 50% vesting after the second year and 50% vesting after the third year. The terms of the profits interest grants provide for the grantees to participate in any incremental value of BKFS and ServiceLink in excess of its fair value at the date of grant in proportion to the Class A member unit holders participation in the same. The fair values of BKFS and ServiceLink at the date of grant is otherwise</w:t>
      </w:r>
    </w:p>
    <w:p>
      <w:pPr>
        <w:sectPr>
          <w:pgSz w:w="11900" w:h="16838" w:orient="portrait"/>
          <w:cols w:equalWidth="0" w:num="1">
            <w:col w:w="11420"/>
          </w:cols>
          <w:pgMar w:left="240" w:top="121" w:right="239" w:bottom="1440" w:gutter="0" w:footer="0" w:header="0"/>
        </w:sect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1420"/>
          </w:cols>
          <w:pgMar w:left="240" w:top="121" w:right="239" w:bottom="1440" w:gutter="0" w:footer="0" w:header="0"/>
          <w:type w:val="continuous"/>
        </w:sectPr>
      </w:pPr>
    </w:p>
    <w:bookmarkStart w:id="109" w:name="page110"/>
    <w:bookmarkEnd w:id="109"/>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known as the hurdle amount. Profits interests granted are determined and approved by the Compensation Committee of the Board of Directors. Once vested, Class B units are not subject to expiration. The Class B units may be settled under various scenarios. According to the terms of the Profits Interest Plan (or the “Plan”) and depending on the scenario, the Class B units may be settled in shares of FNF Group common stock or cash at our election.</w:t>
      </w:r>
    </w:p>
    <w:p>
      <w:pPr>
        <w:spacing w:after="0" w:line="1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profits interest holders have an option to put their profits interests to us if no public offering of the corresponding businesses has been consummated after four years from the date of grant. The units may be settled in cash or FNF Group common stock or a combination of both at our election and will be settled at the current fair value at the time we receive notice of the put election. The fair value will be determined by the parties or by a third party appraisal under the terms of the Plan. As the profits interests provide for redemption features not solely within our control, we classify the redemption value outside of permanent equity in redeemable noncontrolling interests. The redemption value is equal to the difference in the per unit fair value of the underlying member units and the hurdle amount, based upon the proportionate required service period rendered to date.</w:t>
      </w:r>
    </w:p>
    <w:p>
      <w:pPr>
        <w:spacing w:after="0" w:line="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account for the profits interests granted to employees and directors in accordance with GAAP on share-based payments, which requires that compensation cost relating to share-based payments made to employees and directors be recognized in the consolidated financial statements based on the fair value of each award. Using the fair value method of accounting, compensation cost is measured based on the fair value of the award at the grant date and recognized over the service period. We utilized the Black-Scholes model to calculate the fair value of the profits interests’ awards on the date of grant (“Calculation”).</w:t>
      </w:r>
    </w:p>
    <w:p>
      <w:pPr>
        <w:spacing w:after="0" w:line="5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hurdle rate as of the date of grant was used to determine the per unit strike price for the Calculation. The risk free interest rates used in the calculation of the fair value of profits interests are the rates that correspond to the weighted average expected life of the profits interests. The volatility was estimated based on the historical volatility of BKFS and ServiceLink peers and of the historical LPS stock price over a term equal to the weighted average expected life of the profits interests. We used a weighted average risk free interest rate of 1.06%, a volatility factor for the expected market price of the member units of 33.3% and a weighted average expected life of 3.5 years with a discount of 22.0% for lack of marketability, resulting in a weighted average fair value of $2.04 per profits interests unit granted. The total redemption value of the outstanding profits interests as of December 31, 2014 was $88 million.</w:t>
      </w:r>
    </w:p>
    <w:p>
      <w:pPr>
        <w:spacing w:after="0" w:line="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Profits interest expense is included in Personnel costs in the Consolidated Statements of Earnings and Non-controlling interest in the Consolidated Statements of Equity. Net earnings from continuing operations reflect profits interest expense of $14 million for the year ended December 31, 2014. The redemption value of the profits interests granted is reclassified from Non-controlling interest to Redeemable non-controlling interest and was $28 million at December 31, 2014.</w:t>
      </w:r>
    </w:p>
    <w:p>
      <w:pPr>
        <w:spacing w:after="0" w:line="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As of December 31, 2014, the total unrecognized compensation cost related to non-vested profits interests grants is $30 million which is expected to be recognized in pre-tax income over a weighted average period of 2.08 years.</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Pension Plans</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2000, FNF merged with Chicago Title Corporation ("Chicago Title"). In connection with the merger, we assumed Chicago Title’s noncontributory defined contribution plan and noncontributory defined benefit pension plan (the “Pension Plan”). The Pension Plan covers certain Chicago Title employees. The benefits are based on years of service and the employee’s average monthly compensation in the highest 60 consecutive calendar months during the 120 months ending at retirement or termination. Effective December 31, 2000, the Pension Plan was frozen and there will be no future credit given for years of service or changes in salary. The accumulated benefit obligation is the same as the projected benefit obligation due to the pension plan being frozen as of December 31, 2000. Pursuant to GAAP on employers’ accounting for defined benefit pension and other post retirement plans, the measurement date is December 31.</w:t>
      </w:r>
    </w:p>
    <w:p>
      <w:pPr>
        <w:spacing w:after="0" w:line="5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net pension asset (liability) included in Prepaid expenses and other assets and Accounts payable and other accrued liabilities as of December 31, 2014, and 2013 was $14 million and $(6) million, respectively. The discount rate used to determine the benefit obligation as of the years ended December 31, 2014 and 2013 was 3.37% and 4.12%, respectively. As of the years ended December 31, 2014 and 2013 the projected benefit obligation was $185 million and $167 million, respectively, and the fair value of plan assets was $171 million and $173 million, respectively. The net periodic expense included in the results of operations relating to these plans was $6 million, $9 million, and $10 million for the years ended December 31, 2014, 2013, and 2012, respectively.</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Postretirement and Other Nonqualified Employee Benefit Plans</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assumed certain health care and life insurance benefits for retired Chicago Title employees in connection with the FNF merger with Chicago Title. Beginning on January 1, 2001, these benefits were offered to all employees who met specific eligibility requirements. Additionally, in connection with the acquisition of LandAmerica Financial Group's two principal title insurance underwriters, Commonwealth Land Title Insurance Company and Lawyers Title Insurance Corporation, as well as United Capital</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121" w:right="239" w:bottom="1440" w:gutter="0" w:footer="0" w:header="0"/>
        </w:sectPr>
      </w:pPr>
    </w:p>
    <w:bookmarkStart w:id="110" w:name="page111"/>
    <w:bookmarkEnd w:id="110"/>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Title Insurance Company (collectively, the "LFG Underwriters"), we assumed certain of the LFG Underwriters nonqualified benefit plans, which provide various postretirement benefits to certain executives and retirees. The costs of these benefit plans are accrued during the periods the employees render service. We are both self-insured and fully insured for postretirement health care and life insurance benefit plans, and the plans are not funded. The health care plans provide for insurance benefits after retirement and are generally contributory, with contributions adjusted annually. Postretirement life insurance benefits are primarily contributory, with coverage amounts declining with increases in a retiree’s age. The aggregate benefit obligation for these plans was $20 million at December 31, 2014 and 2013. The net costs relating to these plans were immaterial for the years ended December 31, 2014, 2013, and 2012.</w:t>
      </w:r>
    </w:p>
    <w:p>
      <w:pPr>
        <w:spacing w:after="0" w:line="16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P.</w:t>
      </w:r>
      <w:r>
        <w:rPr>
          <w:sz w:val="20"/>
          <w:szCs w:val="20"/>
          <w:color w:val="auto"/>
        </w:rPr>
        <w:tab/>
      </w:r>
      <w:r>
        <w:rPr>
          <w:rFonts w:ascii="Arial" w:cs="Arial" w:eastAsia="Arial" w:hAnsi="Arial"/>
          <w:sz w:val="16"/>
          <w:szCs w:val="16"/>
          <w:b w:val="1"/>
          <w:bCs w:val="1"/>
          <w:color w:val="auto"/>
        </w:rPr>
        <w:t>Supplementary Cash Flow Information</w:t>
      </w:r>
    </w:p>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supplemental cash flow information is provided with respect to interest and tax payments, as well as certain non-cash investing and financing activities.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center"/>
              <w:ind w:left="535"/>
              <w:spacing w:after="0"/>
              <w:rPr>
                <w:sz w:val="20"/>
                <w:szCs w:val="20"/>
                <w:color w:val="auto"/>
              </w:rPr>
            </w:pPr>
            <w:r>
              <w:rPr>
                <w:rFonts w:ascii="Arial" w:cs="Arial" w:eastAsia="Arial" w:hAnsi="Arial"/>
                <w:sz w:val="14"/>
                <w:szCs w:val="14"/>
                <w:b w:val="1"/>
                <w:bCs w:val="1"/>
                <w:color w:val="auto"/>
                <w:w w:val="93"/>
              </w:rPr>
              <w:t>Year Ended December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68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468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(In millions)</w:t>
            </w: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during the year:</w:t>
            </w:r>
          </w:p>
        </w:tc>
        <w:tc>
          <w:tcPr>
            <w:tcW w:w="3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Interest</w:t>
            </w:r>
          </w:p>
        </w:tc>
        <w:tc>
          <w:tcPr>
            <w:tcW w:w="3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taxes</w:t>
            </w:r>
          </w:p>
        </w:tc>
        <w:tc>
          <w:tcPr>
            <w:tcW w:w="3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3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assumed in connection with acquisitions:</w:t>
            </w:r>
          </w:p>
        </w:tc>
        <w:tc>
          <w:tcPr>
            <w:tcW w:w="3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Fair value of net assets acquired</w:t>
            </w:r>
          </w:p>
        </w:tc>
        <w:tc>
          <w:tcPr>
            <w:tcW w:w="3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5,250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7"/>
        </w:trPr>
        <w:tc>
          <w:tcPr>
            <w:tcW w:w="46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Total purchase price</w:t>
            </w:r>
          </w:p>
        </w:tc>
        <w:tc>
          <w:tcPr>
            <w:tcW w:w="3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2,363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57"/>
        </w:trPr>
        <w:tc>
          <w:tcPr>
            <w:tcW w:w="4680" w:type="dxa"/>
            <w:vAlign w:val="bottom"/>
          </w:tcPr>
          <w:p>
            <w:pPr>
              <w:ind w:left="40"/>
              <w:spacing w:after="0"/>
              <w:rPr>
                <w:sz w:val="20"/>
                <w:szCs w:val="20"/>
                <w:color w:val="auto"/>
              </w:rPr>
            </w:pPr>
            <w:r>
              <w:rPr>
                <w:rFonts w:ascii="Arial" w:cs="Arial" w:eastAsia="Arial" w:hAnsi="Arial"/>
                <w:sz w:val="18"/>
                <w:szCs w:val="18"/>
                <w:color w:val="auto"/>
              </w:rPr>
              <w:t>Liabilities assumed</w:t>
            </w:r>
          </w:p>
        </w:tc>
        <w:tc>
          <w:tcPr>
            <w:tcW w:w="3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2,887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3100" w:type="dxa"/>
            <w:vAlign w:val="bottom"/>
            <w:vMerge w:val="restart"/>
          </w:tcPr>
          <w:p>
            <w:pPr>
              <w:jc w:val="right"/>
              <w:ind w:right="1850"/>
              <w:spacing w:after="0"/>
              <w:rPr>
                <w:sz w:val="20"/>
                <w:szCs w:val="20"/>
                <w:color w:val="auto"/>
              </w:rPr>
            </w:pPr>
            <w:r>
              <w:rPr>
                <w:rFonts w:ascii="Arial" w:cs="Arial" w:eastAsia="Arial" w:hAnsi="Arial"/>
                <w:sz w:val="18"/>
                <w:szCs w:val="18"/>
                <w:color w:val="auto"/>
              </w:rPr>
              <w:t>107</w:t>
            </w: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68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1" w:name="page112"/>
    <w:bookmarkEnd w:id="111"/>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Q.</w:t>
      </w:r>
      <w:r>
        <w:rPr>
          <w:sz w:val="20"/>
          <w:szCs w:val="20"/>
          <w:color w:val="auto"/>
        </w:rPr>
        <w:tab/>
      </w:r>
      <w:r>
        <w:rPr>
          <w:rFonts w:ascii="Arial" w:cs="Arial" w:eastAsia="Arial" w:hAnsi="Arial"/>
          <w:sz w:val="16"/>
          <w:szCs w:val="16"/>
          <w:b w:val="1"/>
          <w:bCs w:val="1"/>
          <w:color w:val="auto"/>
        </w:rPr>
        <w:t>Financial Instruments with Off-Balance Sheet Risk and Concentration of Risk</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Title</w:t>
      </w:r>
    </w:p>
    <w:p>
      <w:pPr>
        <w:spacing w:after="0" w:line="90" w:lineRule="exact"/>
        <w:rPr>
          <w:sz w:val="20"/>
          <w:szCs w:val="20"/>
          <w:color w:val="auto"/>
        </w:rPr>
      </w:pPr>
    </w:p>
    <w:p>
      <w:pPr>
        <w:jc w:val="both"/>
        <w:ind w:firstLine="369"/>
        <w:spacing w:after="0" w:line="277" w:lineRule="auto"/>
        <w:rPr>
          <w:sz w:val="20"/>
          <w:szCs w:val="20"/>
          <w:color w:val="auto"/>
        </w:rPr>
      </w:pPr>
      <w:r>
        <w:rPr>
          <w:rFonts w:ascii="Arial" w:cs="Arial" w:eastAsia="Arial" w:hAnsi="Arial"/>
          <w:sz w:val="18"/>
          <w:szCs w:val="18"/>
          <w:color w:val="auto"/>
        </w:rPr>
        <w:t>In the normal course of business we and certain of our subsidiaries enter into off-balance sheet credit arrangements associated with certain aspects of the title insurance business and other activities.</w:t>
      </w:r>
    </w:p>
    <w:p>
      <w:pPr>
        <w:spacing w:after="0" w:line="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generate a significant amount of title insurance premiums in California, Texas, New York and Florida. Title insurance premiums as a percentage of the total title insurance premiums written from those four states are detailed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2012</w:t>
            </w: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Texas</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California</w:t>
            </w:r>
          </w:p>
        </w:tc>
        <w:tc>
          <w:tcPr>
            <w:tcW w:w="1200" w:type="dxa"/>
            <w:vAlign w:val="bottom"/>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7"/>
        </w:trPr>
        <w:tc>
          <w:tcPr>
            <w:tcW w:w="7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York</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Florida</w:t>
            </w:r>
          </w:p>
        </w:tc>
        <w:tc>
          <w:tcPr>
            <w:tcW w:w="12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w:t>
            </w: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BKFS generates a significant amount of revenue from large customers, including one customer that accounted for 13.5% of total revenue and another customer that accounted for 11.8% of total revenue, in the year ended December 31, 2014.</w:t>
      </w:r>
    </w:p>
    <w:p>
      <w:pPr>
        <w:spacing w:after="0" w:line="3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Financial instruments that potentially subject us to concentrations of credit risk consist primarily of cash equivalents, short-term investments, and trade receivables.</w:t>
      </w:r>
    </w:p>
    <w:p>
      <w:pPr>
        <w:spacing w:after="0" w:line="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place cash equivalents and short-term investments with high credit quality financial institutions and, by policy, limit the amount of credit exposure with any one financial institution. Investments in commercial paper of industrial firms and financial institutions are rated investment grade by nationally recognized rating agencies.</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Concentrations of credit risk with respect to trade receivables are limited because a large number of geographically diverse customers make up our customer base, thus spreading the trade receivables credit risk. We control credit risk through monitoring procedures.</w:t>
      </w:r>
    </w:p>
    <w:p>
      <w:pPr>
        <w:spacing w:after="0" w:line="35" w:lineRule="exact"/>
        <w:rPr>
          <w:sz w:val="20"/>
          <w:szCs w:val="20"/>
          <w:color w:val="auto"/>
        </w:rPr>
      </w:pPr>
    </w:p>
    <w:p>
      <w:pPr>
        <w:ind w:right="1100" w:firstLine="324"/>
        <w:spacing w:after="0" w:line="360" w:lineRule="auto"/>
        <w:rPr>
          <w:sz w:val="20"/>
          <w:szCs w:val="20"/>
          <w:color w:val="auto"/>
        </w:rPr>
      </w:pPr>
      <w:r>
        <w:rPr>
          <w:rFonts w:ascii="Arial" w:cs="Arial" w:eastAsia="Arial" w:hAnsi="Arial"/>
          <w:sz w:val="18"/>
          <w:szCs w:val="18"/>
          <w:color w:val="auto"/>
        </w:rPr>
        <w:t xml:space="preserve">Financial instruments that potentially subject us to concentrations of credit risk consist primarily of cash equivalents and trade receivables. </w:t>
      </w:r>
      <w:r>
        <w:rPr>
          <w:rFonts w:ascii="Arial" w:cs="Arial" w:eastAsia="Arial" w:hAnsi="Arial"/>
          <w:sz w:val="18"/>
          <w:szCs w:val="18"/>
          <w:b w:val="1"/>
          <w:bCs w:val="1"/>
          <w:color w:val="auto"/>
        </w:rPr>
        <w:t>Note R. Segment Information</w:t>
      </w:r>
    </w:p>
    <w:p>
      <w:pPr>
        <w:jc w:val="both"/>
        <w:ind w:firstLine="324"/>
        <w:spacing w:after="0" w:line="291" w:lineRule="auto"/>
        <w:rPr>
          <w:sz w:val="20"/>
          <w:szCs w:val="20"/>
          <w:color w:val="auto"/>
        </w:rPr>
      </w:pPr>
      <w:r>
        <w:rPr>
          <w:rFonts w:ascii="Arial" w:cs="Arial" w:eastAsia="Arial" w:hAnsi="Arial"/>
          <w:sz w:val="16"/>
          <w:szCs w:val="16"/>
          <w:color w:val="auto"/>
        </w:rPr>
        <w:t>Summarized financial information concerning our reportable segments is shown in the following tables. During the fourth quarter of 2013, we determined that the Corporate and Other segment would be split in order to differentiate operations and costs related to our FNF Core businesses from those associated with FNFV. As a result, we reorganized our reporting segments to reflect this change. On January 2, 2014, we acquired LPS. As a result we have a new segment, BKFS, which contains the technology, data and analytics operations of the former LPS company. We have combined the acquired transaction services business of LPS with our existing ServiceLink operations which reside in the Title segment. There are several intercompany corporate related arrangements between our various FNF Core businesses. The effects of these arrangements including intercompany notes and related interest and any other non-operational intercompany revenues and expenses have been eliminated in the segment presentations below.</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121" w:right="239" w:bottom="1440" w:gutter="0" w:footer="0" w:header="0"/>
        </w:sectPr>
      </w:pPr>
    </w:p>
    <w:bookmarkStart w:id="112" w:name="page113"/>
    <w:bookmarkEnd w:id="112"/>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year ended December 31, 2014: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3"/>
                <w:szCs w:val="13"/>
                <w:color w:val="auto"/>
                <w:w w:val="91"/>
              </w:rPr>
              <w:t>FNF Core</w:t>
            </w:r>
          </w:p>
        </w:tc>
        <w:tc>
          <w:tcPr>
            <w:tcW w:w="100" w:type="dxa"/>
            <w:vAlign w:val="bottom"/>
          </w:tcPr>
          <w:p>
            <w:pPr>
              <w:spacing w:after="0"/>
              <w:rPr>
                <w:sz w:val="13"/>
                <w:szCs w:val="13"/>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90"/>
              </w:rPr>
              <w:t>Total FNF</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3"/>
                <w:szCs w:val="13"/>
                <w:color w:val="auto"/>
                <w:w w:val="94"/>
              </w:rPr>
              <w:t>FNFV</w:t>
            </w:r>
          </w:p>
        </w:tc>
        <w:tc>
          <w:tcPr>
            <w:tcW w:w="140" w:type="dxa"/>
            <w:vAlign w:val="bottom"/>
          </w:tcPr>
          <w:p>
            <w:pPr>
              <w:spacing w:after="0"/>
              <w:rPr>
                <w:sz w:val="13"/>
                <w:szCs w:val="13"/>
                <w:color w:val="auto"/>
              </w:rPr>
            </w:pPr>
          </w:p>
        </w:tc>
        <w:tc>
          <w:tcPr>
            <w:tcW w:w="6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4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tcPr>
          <w:p>
            <w:pPr>
              <w:jc w:val="center"/>
              <w:ind w:right="120"/>
              <w:spacing w:after="0" w:line="131" w:lineRule="exact"/>
              <w:rPr>
                <w:sz w:val="20"/>
                <w:szCs w:val="20"/>
                <w:color w:val="auto"/>
              </w:rPr>
            </w:pPr>
            <w:r>
              <w:rPr>
                <w:rFonts w:ascii="Arial" w:cs="Arial" w:eastAsia="Arial" w:hAnsi="Arial"/>
                <w:sz w:val="13"/>
                <w:szCs w:val="13"/>
                <w:color w:val="auto"/>
                <w:w w:val="86"/>
              </w:rPr>
              <w:t>Corporate and</w:t>
            </w:r>
          </w:p>
        </w:tc>
        <w:tc>
          <w:tcPr>
            <w:tcW w:w="10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1" w:lineRule="exact"/>
              <w:rPr>
                <w:sz w:val="20"/>
                <w:szCs w:val="20"/>
                <w:color w:val="auto"/>
              </w:rPr>
            </w:pPr>
            <w:r>
              <w:rPr>
                <w:rFonts w:ascii="Arial" w:cs="Arial" w:eastAsia="Arial" w:hAnsi="Arial"/>
                <w:sz w:val="13"/>
                <w:szCs w:val="13"/>
                <w:color w:val="auto"/>
                <w:w w:val="84"/>
              </w:rPr>
              <w:t>Restaurant</w:t>
            </w: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1" w:lineRule="exact"/>
              <w:rPr>
                <w:sz w:val="20"/>
                <w:szCs w:val="20"/>
                <w:color w:val="auto"/>
              </w:rPr>
            </w:pPr>
            <w:r>
              <w:rPr>
                <w:rFonts w:ascii="Arial" w:cs="Arial" w:eastAsia="Arial" w:hAnsi="Arial"/>
                <w:sz w:val="13"/>
                <w:szCs w:val="13"/>
                <w:color w:val="auto"/>
                <w:w w:val="86"/>
              </w:rPr>
              <w:t>Corporate</w:t>
            </w:r>
          </w:p>
        </w:tc>
        <w:tc>
          <w:tcPr>
            <w:tcW w:w="1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color w:val="auto"/>
              </w:rPr>
              <w:t>Title</w:t>
            </w: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color w:val="auto"/>
              </w:rPr>
              <w:t>BKFS</w:t>
            </w: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color w:val="auto"/>
                <w:w w:val="85"/>
              </w:rPr>
              <w:t>Other</w:t>
            </w: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7"/>
              </w:rPr>
              <w:t>Core</w:t>
            </w: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color w:val="auto"/>
                <w:w w:val="88"/>
              </w:rPr>
              <w:t>Group</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86"/>
              </w:rPr>
              <w:t>and Other</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rPr>
              <w:t>FNFV</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1"/>
        </w:trPr>
        <w:tc>
          <w:tcPr>
            <w:tcW w:w="4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5"/>
          </w:tcPr>
          <w:p>
            <w:pPr>
              <w:ind w:left="34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3,671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3,671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3,671</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Other revenues</w:t>
            </w:r>
          </w:p>
        </w:tc>
        <w:tc>
          <w:tcPr>
            <w:tcW w:w="2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1,855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852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b w:val="1"/>
                <w:bCs w:val="1"/>
                <w:color w:val="auto"/>
              </w:rPr>
              <w:t>2,694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110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2,804</w:t>
            </w:r>
          </w:p>
        </w:tc>
        <w:tc>
          <w:tcPr>
            <w:tcW w:w="0" w:type="dxa"/>
            <w:vAlign w:val="bottom"/>
          </w:tcPr>
          <w:p>
            <w:pPr>
              <w:spacing w:after="0"/>
              <w:rPr>
                <w:sz w:val="1"/>
                <w:szCs w:val="1"/>
                <w:color w:val="auto"/>
              </w:rPr>
            </w:pPr>
          </w:p>
        </w:tc>
      </w:tr>
      <w:tr>
        <w:trPr>
          <w:trHeight w:val="270"/>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Restaurant revenues</w:t>
            </w:r>
          </w:p>
        </w:tc>
        <w:tc>
          <w:tcPr>
            <w:tcW w:w="2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1,436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1,436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1,436</w:t>
            </w:r>
          </w:p>
        </w:tc>
        <w:tc>
          <w:tcPr>
            <w:tcW w:w="0" w:type="dxa"/>
            <w:vAlign w:val="bottom"/>
          </w:tcPr>
          <w:p>
            <w:pPr>
              <w:spacing w:after="0"/>
              <w:rPr>
                <w:sz w:val="1"/>
                <w:szCs w:val="1"/>
                <w:color w:val="auto"/>
              </w:rPr>
            </w:pPr>
          </w:p>
        </w:tc>
      </w:tr>
      <w:tr>
        <w:trPr>
          <w:trHeight w:val="250"/>
        </w:trPr>
        <w:tc>
          <w:tcPr>
            <w:tcW w:w="4240" w:type="dxa"/>
            <w:vAlign w:val="bottom"/>
          </w:tcPr>
          <w:p>
            <w:pPr>
              <w:ind w:left="40"/>
              <w:spacing w:after="0"/>
              <w:rPr>
                <w:sz w:val="20"/>
                <w:szCs w:val="20"/>
                <w:color w:val="auto"/>
              </w:rPr>
            </w:pPr>
            <w:r>
              <w:rPr>
                <w:rFonts w:ascii="Arial" w:cs="Arial" w:eastAsia="Arial" w:hAnsi="Arial"/>
                <w:sz w:val="14"/>
                <w:szCs w:val="14"/>
                <w:color w:val="auto"/>
              </w:rPr>
              <w:t>Revenues from external customers</w:t>
            </w:r>
          </w:p>
        </w:tc>
        <w:tc>
          <w:tcPr>
            <w:tcW w:w="2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5,526</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852</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4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6,365</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1,436</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110</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1,546</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7,911</w:t>
            </w:r>
          </w:p>
        </w:tc>
        <w:tc>
          <w:tcPr>
            <w:tcW w:w="0" w:type="dxa"/>
            <w:vAlign w:val="bottom"/>
          </w:tcPr>
          <w:p>
            <w:pPr>
              <w:spacing w:after="0"/>
              <w:rPr>
                <w:sz w:val="1"/>
                <w:szCs w:val="1"/>
                <w:color w:val="auto"/>
              </w:rPr>
            </w:pPr>
          </w:p>
        </w:tc>
      </w:tr>
      <w:tr>
        <w:trPr>
          <w:trHeight w:val="163"/>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and investment income (loss), including realized gains and</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125</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(12)</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113</w:t>
            </w:r>
          </w:p>
        </w:tc>
        <w:tc>
          <w:tcPr>
            <w:tcW w:w="0" w:type="dxa"/>
            <w:vAlign w:val="bottom"/>
          </w:tcPr>
          <w:p>
            <w:pPr>
              <w:spacing w:after="0"/>
              <w:rPr>
                <w:sz w:val="1"/>
                <w:szCs w:val="1"/>
                <w:color w:val="auto"/>
              </w:rPr>
            </w:pPr>
          </w:p>
        </w:tc>
      </w:tr>
      <w:tr>
        <w:trPr>
          <w:trHeight w:val="188"/>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losses</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revenues</w:t>
            </w:r>
          </w:p>
        </w:tc>
        <w:tc>
          <w:tcPr>
            <w:tcW w:w="20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5,652</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852</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6,490</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1,423</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111</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1,534</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8,024</w:t>
            </w:r>
          </w:p>
        </w:tc>
        <w:tc>
          <w:tcPr>
            <w:tcW w:w="0" w:type="dxa"/>
            <w:vAlign w:val="bottom"/>
          </w:tcPr>
          <w:p>
            <w:pPr>
              <w:spacing w:after="0"/>
              <w:rPr>
                <w:sz w:val="1"/>
                <w:szCs w:val="1"/>
                <w:color w:val="auto"/>
              </w:rPr>
            </w:pPr>
          </w:p>
        </w:tc>
      </w:tr>
      <w:tr>
        <w:trPr>
          <w:trHeight w:val="25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336</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67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403</w:t>
            </w: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22"/>
                <w:szCs w:val="2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91</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b w:val="1"/>
                <w:bCs w:val="1"/>
                <w:color w:val="auto"/>
              </w:rPr>
              <w:t>122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127</w:t>
            </w:r>
          </w:p>
        </w:tc>
        <w:tc>
          <w:tcPr>
            <w:tcW w:w="0" w:type="dxa"/>
            <w:vAlign w:val="bottom"/>
          </w:tcPr>
          <w:p>
            <w:pPr>
              <w:spacing w:after="0"/>
              <w:rPr>
                <w:sz w:val="1"/>
                <w:szCs w:val="1"/>
                <w:color w:val="auto"/>
              </w:rPr>
            </w:pPr>
          </w:p>
        </w:tc>
      </w:tr>
      <w:tr>
        <w:trPr>
          <w:trHeight w:val="163"/>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w w:val="98"/>
              </w:rPr>
              <w:t>Earnings (loss) from continuing operations, before income taxes and</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406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(14)</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392</w:t>
            </w:r>
          </w:p>
        </w:tc>
        <w:tc>
          <w:tcPr>
            <w:tcW w:w="0" w:type="dxa"/>
            <w:vAlign w:val="bottom"/>
          </w:tcPr>
          <w:p>
            <w:pPr>
              <w:spacing w:after="0"/>
              <w:rPr>
                <w:sz w:val="1"/>
                <w:szCs w:val="1"/>
                <w:color w:val="auto"/>
              </w:rPr>
            </w:pPr>
          </w:p>
        </w:tc>
      </w:tr>
      <w:tr>
        <w:trPr>
          <w:trHeight w:val="194"/>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earnings of unconsolidated affiliates</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542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Income tax expense (benefit)</w:t>
            </w: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196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auto"/>
              </w:rPr>
              <w:t>162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149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150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312</w:t>
            </w:r>
          </w:p>
        </w:tc>
        <w:tc>
          <w:tcPr>
            <w:tcW w:w="0" w:type="dxa"/>
            <w:vAlign w:val="bottom"/>
          </w:tcPr>
          <w:p>
            <w:pPr>
              <w:spacing w:after="0"/>
              <w:rPr>
                <w:sz w:val="1"/>
                <w:szCs w:val="1"/>
                <w:color w:val="auto"/>
              </w:rPr>
            </w:pPr>
          </w:p>
        </w:tc>
      </w:tr>
      <w:tr>
        <w:trPr>
          <w:trHeight w:val="143"/>
        </w:trPr>
        <w:tc>
          <w:tcPr>
            <w:tcW w:w="424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w w:val="95"/>
              </w:rPr>
              <w:t>Earnings (loss) from continuing operations, before equity in earnings of</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244</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(164)</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80</w:t>
            </w:r>
          </w:p>
        </w:tc>
        <w:tc>
          <w:tcPr>
            <w:tcW w:w="0" w:type="dxa"/>
            <w:vAlign w:val="bottom"/>
          </w:tcPr>
          <w:p>
            <w:pPr>
              <w:spacing w:after="0"/>
              <w:rPr>
                <w:sz w:val="1"/>
                <w:szCs w:val="1"/>
                <w:color w:val="auto"/>
              </w:rPr>
            </w:pPr>
          </w:p>
        </w:tc>
      </w:tr>
      <w:tr>
        <w:trPr>
          <w:trHeight w:val="194"/>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unconsolidated affiliates</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346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240" w:type="dxa"/>
            <w:vAlign w:val="bottom"/>
          </w:tcPr>
          <w:p>
            <w:pPr>
              <w:ind w:left="40"/>
              <w:spacing w:after="0"/>
              <w:rPr>
                <w:sz w:val="20"/>
                <w:szCs w:val="20"/>
                <w:color w:val="auto"/>
              </w:rPr>
            </w:pPr>
            <w:r>
              <w:rPr>
                <w:rFonts w:ascii="Arial" w:cs="Arial" w:eastAsia="Arial" w:hAnsi="Arial"/>
                <w:sz w:val="14"/>
                <w:szCs w:val="14"/>
                <w:color w:val="auto"/>
              </w:rPr>
              <w:t>Equity in earnings of unconsolidated affiliates</w:t>
            </w:r>
          </w:p>
        </w:tc>
        <w:tc>
          <w:tcPr>
            <w:tcW w:w="2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680" w:type="dxa"/>
            <w:vAlign w:val="bottom"/>
          </w:tcPr>
          <w:p>
            <w:pPr>
              <w:jc w:val="right"/>
              <w:ind w:right="30"/>
              <w:spacing w:after="0"/>
              <w:rPr>
                <w:sz w:val="20"/>
                <w:szCs w:val="20"/>
                <w:color w:val="auto"/>
              </w:rPr>
            </w:pPr>
            <w:r>
              <w:rPr>
                <w:rFonts w:ascii="Arial" w:cs="Arial" w:eastAsia="Arial" w:hAnsi="Arial"/>
                <w:sz w:val="14"/>
                <w:szCs w:val="14"/>
                <w:b w:val="1"/>
                <w:bCs w:val="1"/>
                <w:color w:val="auto"/>
              </w:rPr>
              <w:t>4</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428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428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432</w:t>
            </w:r>
          </w:p>
        </w:tc>
        <w:tc>
          <w:tcPr>
            <w:tcW w:w="0" w:type="dxa"/>
            <w:vAlign w:val="bottom"/>
          </w:tcPr>
          <w:p>
            <w:pPr>
              <w:spacing w:after="0"/>
              <w:rPr>
                <w:sz w:val="1"/>
                <w:szCs w:val="1"/>
                <w:color w:val="auto"/>
              </w:rPr>
            </w:pPr>
          </w:p>
        </w:tc>
      </w:tr>
      <w:tr>
        <w:trPr>
          <w:trHeight w:val="243"/>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Earnings (loss) from continuing operations</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248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252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264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512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240" w:type="dxa"/>
            <w:vAlign w:val="bottom"/>
          </w:tcPr>
          <w:p>
            <w:pPr>
              <w:ind w:left="40"/>
              <w:spacing w:after="0"/>
              <w:rPr>
                <w:sz w:val="20"/>
                <w:szCs w:val="20"/>
                <w:color w:val="auto"/>
              </w:rPr>
            </w:pPr>
            <w:r>
              <w:rPr>
                <w:rFonts w:ascii="Arial" w:cs="Arial" w:eastAsia="Arial" w:hAnsi="Arial"/>
                <w:sz w:val="14"/>
                <w:szCs w:val="14"/>
                <w:color w:val="auto"/>
              </w:rPr>
              <w:t>Assets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8,280</w:t>
            </w:r>
          </w:p>
        </w:tc>
        <w:tc>
          <w:tcPr>
            <w:tcW w:w="12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49"/>
              <w:spacing w:after="0"/>
              <w:rPr>
                <w:sz w:val="20"/>
                <w:szCs w:val="20"/>
                <w:color w:val="auto"/>
              </w:rPr>
            </w:pPr>
            <w:r>
              <w:rPr>
                <w:rFonts w:ascii="Arial" w:cs="Arial" w:eastAsia="Arial" w:hAnsi="Arial"/>
                <w:sz w:val="14"/>
                <w:szCs w:val="14"/>
                <w:color w:val="auto"/>
              </w:rPr>
              <w:t>3,598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9"/>
              <w:spacing w:after="0"/>
              <w:rPr>
                <w:sz w:val="20"/>
                <w:szCs w:val="20"/>
                <w:color w:val="auto"/>
              </w:rPr>
            </w:pPr>
            <w:r>
              <w:rPr>
                <w:rFonts w:ascii="Arial" w:cs="Arial" w:eastAsia="Arial" w:hAnsi="Arial"/>
                <w:sz w:val="14"/>
                <w:szCs w:val="14"/>
                <w:color w:val="auto"/>
              </w:rPr>
              <w:t>67</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30"/>
              <w:spacing w:after="0"/>
              <w:rPr>
                <w:sz w:val="20"/>
                <w:szCs w:val="20"/>
                <w:color w:val="auto"/>
              </w:rPr>
            </w:pPr>
            <w:r>
              <w:rPr>
                <w:rFonts w:ascii="Arial" w:cs="Arial" w:eastAsia="Arial" w:hAnsi="Arial"/>
                <w:sz w:val="14"/>
                <w:szCs w:val="14"/>
                <w:b w:val="1"/>
                <w:bCs w:val="1"/>
                <w:color w:val="auto"/>
              </w:rPr>
              <w:t>11,945</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662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1,261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1,923</w:t>
            </w:r>
          </w:p>
        </w:tc>
        <w:tc>
          <w:tcPr>
            <w:tcW w:w="12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13,868</w:t>
            </w:r>
          </w:p>
        </w:tc>
        <w:tc>
          <w:tcPr>
            <w:tcW w:w="0" w:type="dxa"/>
            <w:vAlign w:val="bottom"/>
          </w:tcPr>
          <w:p>
            <w:pPr>
              <w:spacing w:after="0"/>
              <w:rPr>
                <w:sz w:val="1"/>
                <w:szCs w:val="1"/>
                <w:color w:val="auto"/>
              </w:rPr>
            </w:pPr>
          </w:p>
        </w:tc>
      </w:tr>
      <w:tr>
        <w:trPr>
          <w:trHeight w:val="276"/>
        </w:trPr>
        <w:tc>
          <w:tcPr>
            <w:tcW w:w="4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2,289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2,223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0"/>
              <w:spacing w:after="0"/>
              <w:rPr>
                <w:sz w:val="20"/>
                <w:szCs w:val="20"/>
                <w:color w:val="auto"/>
              </w:rPr>
            </w:pPr>
            <w:r>
              <w:rPr>
                <w:rFonts w:ascii="Arial" w:cs="Arial" w:eastAsia="Arial" w:hAnsi="Arial"/>
                <w:sz w:val="14"/>
                <w:szCs w:val="14"/>
                <w:b w:val="1"/>
                <w:bCs w:val="1"/>
                <w:color w:val="auto"/>
              </w:rPr>
              <w:t>4,515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206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4,721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year ended December 31, 2013:</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3"/>
                <w:szCs w:val="13"/>
                <w:color w:val="auto"/>
                <w:w w:val="94"/>
              </w:rPr>
              <w:t>FNFV</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240"/>
              <w:spacing w:after="0" w:line="135" w:lineRule="exact"/>
              <w:rPr>
                <w:sz w:val="20"/>
                <w:szCs w:val="20"/>
                <w:color w:val="auto"/>
              </w:rPr>
            </w:pPr>
            <w:r>
              <w:rPr>
                <w:rFonts w:ascii="Arial" w:cs="Arial" w:eastAsia="Arial" w:hAnsi="Arial"/>
                <w:sz w:val="13"/>
                <w:szCs w:val="13"/>
                <w:color w:val="auto"/>
                <w:w w:val="87"/>
              </w:rPr>
              <w:t>FNF Core</w:t>
            </w:r>
          </w:p>
        </w:tc>
        <w:tc>
          <w:tcPr>
            <w:tcW w:w="120" w:type="dxa"/>
            <w:vAlign w:val="bottom"/>
          </w:tcPr>
          <w:p>
            <w:pPr>
              <w:spacing w:after="0"/>
              <w:rPr>
                <w:sz w:val="11"/>
                <w:szCs w:val="11"/>
                <w:color w:val="auto"/>
              </w:rPr>
            </w:pPr>
          </w:p>
        </w:tc>
        <w:tc>
          <w:tcPr>
            <w:tcW w:w="70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w w:val="93"/>
              </w:rPr>
              <w:t>Total FNF</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86"/>
              </w:rPr>
              <w:t>Corporate</w:t>
            </w:r>
          </w:p>
        </w:tc>
        <w:tc>
          <w:tcPr>
            <w:tcW w:w="140" w:type="dxa"/>
            <w:vAlign w:val="bottom"/>
          </w:tcPr>
          <w:p>
            <w:pPr>
              <w:spacing w:after="0"/>
              <w:rPr>
                <w:sz w:val="11"/>
                <w:szCs w:val="11"/>
                <w:color w:val="auto"/>
              </w:rPr>
            </w:pPr>
          </w:p>
        </w:tc>
        <w:tc>
          <w:tcPr>
            <w:tcW w:w="6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center"/>
              <w:ind w:right="120"/>
              <w:spacing w:after="0" w:line="131" w:lineRule="exact"/>
              <w:rPr>
                <w:sz w:val="20"/>
                <w:szCs w:val="20"/>
                <w:color w:val="auto"/>
              </w:rPr>
            </w:pPr>
            <w:r>
              <w:rPr>
                <w:rFonts w:ascii="Arial" w:cs="Arial" w:eastAsia="Arial" w:hAnsi="Arial"/>
                <w:sz w:val="13"/>
                <w:szCs w:val="13"/>
                <w:color w:val="auto"/>
                <w:w w:val="84"/>
              </w:rPr>
              <w:t>Corporate and</w:t>
            </w: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1" w:lineRule="exact"/>
              <w:rPr>
                <w:sz w:val="20"/>
                <w:szCs w:val="20"/>
                <w:color w:val="auto"/>
              </w:rPr>
            </w:pPr>
            <w:r>
              <w:rPr>
                <w:rFonts w:ascii="Arial" w:cs="Arial" w:eastAsia="Arial" w:hAnsi="Arial"/>
                <w:sz w:val="13"/>
                <w:szCs w:val="13"/>
                <w:color w:val="auto"/>
                <w:w w:val="84"/>
              </w:rPr>
              <w:t>Restaurant</w:t>
            </w:r>
          </w:p>
        </w:tc>
        <w:tc>
          <w:tcPr>
            <w:tcW w:w="880" w:type="dxa"/>
            <w:vAlign w:val="bottom"/>
            <w:gridSpan w:val="3"/>
          </w:tcPr>
          <w:p>
            <w:pPr>
              <w:ind w:left="40"/>
              <w:spacing w:after="0" w:line="131" w:lineRule="exact"/>
              <w:rPr>
                <w:sz w:val="20"/>
                <w:szCs w:val="20"/>
                <w:color w:val="auto"/>
              </w:rPr>
            </w:pPr>
            <w:r>
              <w:rPr>
                <w:rFonts w:ascii="Arial" w:cs="Arial" w:eastAsia="Arial" w:hAnsi="Arial"/>
                <w:sz w:val="13"/>
                <w:szCs w:val="13"/>
                <w:color w:val="auto"/>
              </w:rPr>
              <w:t>and Other (1),</w:t>
            </w:r>
          </w:p>
        </w:tc>
        <w:tc>
          <w:tcPr>
            <w:tcW w:w="1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5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color w:val="auto"/>
              </w:rPr>
              <w:t>Title</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color w:val="auto"/>
                <w:w w:val="92"/>
              </w:rPr>
              <w:t>Other</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Core</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color w:val="auto"/>
                <w:w w:val="88"/>
              </w:rPr>
              <w:t>Group</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color w:val="auto"/>
                <w:w w:val="87"/>
              </w:rPr>
              <w:t>(2)</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rPr>
              <w:t>FNFV</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1"/>
        </w:trPr>
        <w:tc>
          <w:tcPr>
            <w:tcW w:w="5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gridSpan w:val="4"/>
          </w:tcPr>
          <w:p>
            <w:pPr>
              <w:ind w:left="10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4,152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4,152</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4,152</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Other revenues</w:t>
            </w:r>
          </w:p>
        </w:tc>
        <w:tc>
          <w:tcPr>
            <w:tcW w:w="2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1,597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b w:val="1"/>
                <w:bCs w:val="1"/>
                <w:color w:val="auto"/>
              </w:rPr>
              <w:t>1,650</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87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1,737</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Restaurant revenues</w:t>
            </w:r>
          </w:p>
        </w:tc>
        <w:tc>
          <w:tcPr>
            <w:tcW w:w="2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1,408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1,408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1,408</w:t>
            </w:r>
          </w:p>
        </w:tc>
        <w:tc>
          <w:tcPr>
            <w:tcW w:w="0" w:type="dxa"/>
            <w:vAlign w:val="bottom"/>
          </w:tcPr>
          <w:p>
            <w:pPr>
              <w:spacing w:after="0"/>
              <w:rPr>
                <w:sz w:val="1"/>
                <w:szCs w:val="1"/>
                <w:color w:val="auto"/>
              </w:rPr>
            </w:pPr>
          </w:p>
        </w:tc>
      </w:tr>
      <w:tr>
        <w:trPr>
          <w:trHeight w:val="250"/>
        </w:trPr>
        <w:tc>
          <w:tcPr>
            <w:tcW w:w="5160" w:type="dxa"/>
            <w:vAlign w:val="bottom"/>
          </w:tcPr>
          <w:p>
            <w:pPr>
              <w:ind w:left="40"/>
              <w:spacing w:after="0"/>
              <w:rPr>
                <w:sz w:val="20"/>
                <w:szCs w:val="20"/>
                <w:color w:val="auto"/>
              </w:rPr>
            </w:pPr>
            <w:r>
              <w:rPr>
                <w:rFonts w:ascii="Arial" w:cs="Arial" w:eastAsia="Arial" w:hAnsi="Arial"/>
                <w:sz w:val="14"/>
                <w:szCs w:val="14"/>
                <w:color w:val="auto"/>
              </w:rPr>
              <w:t>Revenues from external customers</w:t>
            </w:r>
          </w:p>
        </w:tc>
        <w:tc>
          <w:tcPr>
            <w:tcW w:w="2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5,749</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5,802</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1,408</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1,495</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7,297</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and investment income (loss), including realized gains and losses</w:t>
            </w:r>
          </w:p>
        </w:tc>
        <w:tc>
          <w:tcPr>
            <w:tcW w:w="2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145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141</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143</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revenues</w:t>
            </w:r>
          </w:p>
        </w:tc>
        <w:tc>
          <w:tcPr>
            <w:tcW w:w="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5,894</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49</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5,943</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1,407</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90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1,497</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7,440</w:t>
            </w:r>
          </w:p>
        </w:tc>
        <w:tc>
          <w:tcPr>
            <w:tcW w:w="0" w:type="dxa"/>
            <w:vAlign w:val="bottom"/>
          </w:tcPr>
          <w:p>
            <w:pPr>
              <w:spacing w:after="0"/>
              <w:rPr>
                <w:sz w:val="1"/>
                <w:szCs w:val="1"/>
                <w:color w:val="auto"/>
              </w:rPr>
            </w:pP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68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65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133</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22"/>
                <w:szCs w:val="2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b w:val="1"/>
                <w:bCs w:val="1"/>
                <w:color w:val="auto"/>
              </w:rPr>
              <w:t>68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73</w:t>
            </w:r>
          </w:p>
        </w:tc>
        <w:tc>
          <w:tcPr>
            <w:tcW w:w="0" w:type="dxa"/>
            <w:vAlign w:val="bottom"/>
          </w:tcPr>
          <w:p>
            <w:pPr>
              <w:spacing w:after="0"/>
              <w:rPr>
                <w:sz w:val="1"/>
                <w:szCs w:val="1"/>
                <w:color w:val="auto"/>
              </w:rPr>
            </w:pPr>
          </w:p>
        </w:tc>
      </w:tr>
      <w:tr>
        <w:trPr>
          <w:trHeight w:val="163"/>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4"/>
              </w:rPr>
              <w:t>Earnings (loss) from continuing operations, before income taxes and equity in earnings</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656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616</w:t>
            </w:r>
          </w:p>
        </w:tc>
        <w:tc>
          <w:tcPr>
            <w:tcW w:w="0" w:type="dxa"/>
            <w:vAlign w:val="bottom"/>
          </w:tcPr>
          <w:p>
            <w:pPr>
              <w:spacing w:after="0"/>
              <w:rPr>
                <w:sz w:val="1"/>
                <w:szCs w:val="1"/>
                <w:color w:val="auto"/>
              </w:rPr>
            </w:pPr>
          </w:p>
        </w:tc>
      </w:tr>
      <w:tr>
        <w:trPr>
          <w:trHeight w:val="194"/>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of unconsolidated affiliates</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808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(152)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Income tax expense (benefit)</w:t>
            </w: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297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(60)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237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195</w:t>
            </w:r>
          </w:p>
        </w:tc>
        <w:tc>
          <w:tcPr>
            <w:tcW w:w="0" w:type="dxa"/>
            <w:vAlign w:val="bottom"/>
          </w:tcPr>
          <w:p>
            <w:pPr>
              <w:spacing w:after="0"/>
              <w:rPr>
                <w:sz w:val="1"/>
                <w:szCs w:val="1"/>
                <w:color w:val="auto"/>
              </w:rPr>
            </w:pPr>
          </w:p>
        </w:tc>
      </w:tr>
      <w:tr>
        <w:trPr>
          <w:trHeight w:val="143"/>
        </w:trPr>
        <w:tc>
          <w:tcPr>
            <w:tcW w:w="51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rPr>
              <w:t>Earnings (loss) from continuing operations, before equity in earnings (loss) of</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419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421</w:t>
            </w:r>
          </w:p>
        </w:tc>
        <w:tc>
          <w:tcPr>
            <w:tcW w:w="0" w:type="dxa"/>
            <w:vAlign w:val="bottom"/>
          </w:tcPr>
          <w:p>
            <w:pPr>
              <w:spacing w:after="0"/>
              <w:rPr>
                <w:sz w:val="1"/>
                <w:szCs w:val="1"/>
                <w:color w:val="auto"/>
              </w:rPr>
            </w:pPr>
          </w:p>
        </w:tc>
      </w:tr>
      <w:tr>
        <w:trPr>
          <w:trHeight w:val="194"/>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unconsolidated affiliates</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511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Equity in earnings (loss) of unconsolidated affiliates</w:t>
            </w: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4</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w:t>
            </w: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Earnings (loss) from continuing operations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516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423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395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160" w:type="dxa"/>
            <w:vAlign w:val="bottom"/>
          </w:tcPr>
          <w:p>
            <w:pPr>
              <w:ind w:left="40"/>
              <w:spacing w:after="0"/>
              <w:rPr>
                <w:sz w:val="20"/>
                <w:szCs w:val="20"/>
                <w:color w:val="auto"/>
              </w:rPr>
            </w:pPr>
            <w:r>
              <w:rPr>
                <w:rFonts w:ascii="Arial" w:cs="Arial" w:eastAsia="Arial" w:hAnsi="Arial"/>
                <w:sz w:val="14"/>
                <w:szCs w:val="14"/>
                <w:color w:val="auto"/>
              </w:rPr>
              <w:t>Assets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6,762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1,150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b w:val="1"/>
                <w:bCs w:val="1"/>
                <w:color w:val="auto"/>
              </w:rPr>
              <w:t>7,912</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670</w:t>
            </w:r>
          </w:p>
        </w:tc>
        <w:tc>
          <w:tcPr>
            <w:tcW w:w="1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1,946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2,616</w:t>
            </w:r>
          </w:p>
        </w:tc>
        <w:tc>
          <w:tcPr>
            <w:tcW w:w="12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10,528</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1,435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1,439</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343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462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1,901</w:t>
            </w:r>
          </w:p>
        </w:tc>
        <w:tc>
          <w:tcPr>
            <w:tcW w:w="0" w:type="dxa"/>
            <w:vAlign w:val="bottom"/>
          </w:tcPr>
          <w:p>
            <w:pPr>
              <w:spacing w:after="0"/>
              <w:rPr>
                <w:sz w:val="1"/>
                <w:szCs w:val="1"/>
                <w:color w:val="auto"/>
              </w:rPr>
            </w:pPr>
          </w:p>
        </w:tc>
      </w:tr>
      <w:tr>
        <w:trPr>
          <w:trHeight w:val="218"/>
        </w:trPr>
        <w:tc>
          <w:tcPr>
            <w:tcW w:w="5160" w:type="dxa"/>
            <w:vAlign w:val="bottom"/>
          </w:tcPr>
          <w:p>
            <w:pPr>
              <w:ind w:left="340"/>
              <w:spacing w:after="0"/>
              <w:rPr>
                <w:sz w:val="20"/>
                <w:szCs w:val="20"/>
                <w:color w:val="auto"/>
              </w:rPr>
            </w:pPr>
            <w:r>
              <w:rPr>
                <w:rFonts w:ascii="Arial" w:cs="Arial" w:eastAsia="Arial" w:hAnsi="Arial"/>
                <w:sz w:val="18"/>
                <w:szCs w:val="18"/>
                <w:color w:val="auto"/>
              </w:rPr>
              <w:t>______________</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580" w:hanging="248"/>
        <w:spacing w:after="0"/>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Assets in 2013 includes $1,255 million for Remy, which is now presented as discontinued operations.</w:t>
      </w:r>
    </w:p>
    <w:p>
      <w:pPr>
        <w:spacing w:after="0" w:line="7" w:lineRule="exact"/>
        <w:rPr>
          <w:rFonts w:ascii="Arial" w:cs="Arial" w:eastAsia="Arial" w:hAnsi="Arial"/>
          <w:sz w:val="18"/>
          <w:szCs w:val="18"/>
          <w:color w:val="auto"/>
        </w:rPr>
      </w:pPr>
    </w:p>
    <w:p>
      <w:pPr>
        <w:ind w:left="580" w:hanging="248"/>
        <w:spacing w:after="0"/>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Goodwill in 2013 includes $248 million or Remy, which is now presented as discontinued operations.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year ended December 31, 2012: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21" w:right="239" w:bottom="1440" w:gutter="0" w:footer="0" w:header="0"/>
        </w:sectPr>
      </w:pPr>
    </w:p>
    <w:bookmarkStart w:id="113" w:name="page114"/>
    <w:bookmarkEnd w:id="113"/>
    <w:p>
      <w:pPr>
        <w:spacing w:after="0" w:line="73"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3"/>
                <w:szCs w:val="13"/>
                <w:color w:val="auto"/>
                <w:w w:val="94"/>
              </w:rPr>
              <w:t>FNFV</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240"/>
              <w:spacing w:after="0" w:line="135" w:lineRule="exact"/>
              <w:rPr>
                <w:sz w:val="20"/>
                <w:szCs w:val="20"/>
                <w:color w:val="auto"/>
              </w:rPr>
            </w:pPr>
            <w:r>
              <w:rPr>
                <w:rFonts w:ascii="Arial" w:cs="Arial" w:eastAsia="Arial" w:hAnsi="Arial"/>
                <w:sz w:val="13"/>
                <w:szCs w:val="13"/>
                <w:color w:val="auto"/>
                <w:w w:val="87"/>
              </w:rPr>
              <w:t>FNF Core</w:t>
            </w:r>
          </w:p>
        </w:tc>
        <w:tc>
          <w:tcPr>
            <w:tcW w:w="120" w:type="dxa"/>
            <w:vAlign w:val="bottom"/>
          </w:tcPr>
          <w:p>
            <w:pPr>
              <w:spacing w:after="0"/>
              <w:rPr>
                <w:sz w:val="11"/>
                <w:szCs w:val="11"/>
                <w:color w:val="auto"/>
              </w:rPr>
            </w:pPr>
          </w:p>
        </w:tc>
        <w:tc>
          <w:tcPr>
            <w:tcW w:w="700" w:type="dxa"/>
            <w:vAlign w:val="bottom"/>
            <w:vMerge w:val="restart"/>
          </w:tcPr>
          <w:p>
            <w:pPr>
              <w:jc w:val="right"/>
              <w:ind w:right="49"/>
              <w:spacing w:after="0"/>
              <w:rPr>
                <w:sz w:val="20"/>
                <w:szCs w:val="20"/>
                <w:color w:val="auto"/>
              </w:rPr>
            </w:pPr>
            <w:r>
              <w:rPr>
                <w:rFonts w:ascii="Arial" w:cs="Arial" w:eastAsia="Arial" w:hAnsi="Arial"/>
                <w:sz w:val="13"/>
                <w:szCs w:val="13"/>
                <w:b w:val="1"/>
                <w:bCs w:val="1"/>
                <w:color w:val="auto"/>
                <w:w w:val="93"/>
              </w:rPr>
              <w:t>Total FNF</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center"/>
              <w:ind w:right="220"/>
              <w:spacing w:after="0" w:line="135" w:lineRule="exact"/>
              <w:rPr>
                <w:sz w:val="20"/>
                <w:szCs w:val="20"/>
                <w:color w:val="auto"/>
              </w:rPr>
            </w:pPr>
            <w:r>
              <w:rPr>
                <w:rFonts w:ascii="Arial" w:cs="Arial" w:eastAsia="Arial" w:hAnsi="Arial"/>
                <w:sz w:val="13"/>
                <w:szCs w:val="13"/>
                <w:color w:val="auto"/>
                <w:w w:val="86"/>
              </w:rPr>
              <w:t>Corporate</w:t>
            </w:r>
          </w:p>
        </w:tc>
        <w:tc>
          <w:tcPr>
            <w:tcW w:w="140" w:type="dxa"/>
            <w:vAlign w:val="bottom"/>
          </w:tcPr>
          <w:p>
            <w:pPr>
              <w:spacing w:after="0"/>
              <w:rPr>
                <w:sz w:val="11"/>
                <w:szCs w:val="11"/>
                <w:color w:val="auto"/>
              </w:rPr>
            </w:pPr>
          </w:p>
        </w:tc>
        <w:tc>
          <w:tcPr>
            <w:tcW w:w="64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9"/>
              </w:rPr>
              <w:t>Total</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center"/>
              <w:ind w:right="120"/>
              <w:spacing w:after="0" w:line="131" w:lineRule="exact"/>
              <w:rPr>
                <w:sz w:val="20"/>
                <w:szCs w:val="20"/>
                <w:color w:val="auto"/>
              </w:rPr>
            </w:pPr>
            <w:r>
              <w:rPr>
                <w:rFonts w:ascii="Arial" w:cs="Arial" w:eastAsia="Arial" w:hAnsi="Arial"/>
                <w:sz w:val="13"/>
                <w:szCs w:val="13"/>
                <w:color w:val="auto"/>
                <w:w w:val="84"/>
              </w:rPr>
              <w:t>Corporate and</w:t>
            </w: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center"/>
              <w:ind w:right="240"/>
              <w:spacing w:after="0" w:line="131" w:lineRule="exact"/>
              <w:rPr>
                <w:sz w:val="20"/>
                <w:szCs w:val="20"/>
                <w:color w:val="auto"/>
              </w:rPr>
            </w:pPr>
            <w:r>
              <w:rPr>
                <w:rFonts w:ascii="Arial" w:cs="Arial" w:eastAsia="Arial" w:hAnsi="Arial"/>
                <w:sz w:val="13"/>
                <w:szCs w:val="13"/>
                <w:color w:val="auto"/>
                <w:w w:val="84"/>
              </w:rPr>
              <w:t>Restaurant</w:t>
            </w:r>
          </w:p>
        </w:tc>
        <w:tc>
          <w:tcPr>
            <w:tcW w:w="880" w:type="dxa"/>
            <w:vAlign w:val="bottom"/>
            <w:gridSpan w:val="3"/>
          </w:tcPr>
          <w:p>
            <w:pPr>
              <w:ind w:left="40"/>
              <w:spacing w:after="0" w:line="131" w:lineRule="exact"/>
              <w:rPr>
                <w:sz w:val="20"/>
                <w:szCs w:val="20"/>
                <w:color w:val="auto"/>
              </w:rPr>
            </w:pPr>
            <w:r>
              <w:rPr>
                <w:rFonts w:ascii="Arial" w:cs="Arial" w:eastAsia="Arial" w:hAnsi="Arial"/>
                <w:sz w:val="13"/>
                <w:szCs w:val="13"/>
                <w:color w:val="auto"/>
              </w:rPr>
              <w:t>and Other (1),</w:t>
            </w:r>
          </w:p>
        </w:tc>
        <w:tc>
          <w:tcPr>
            <w:tcW w:w="14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51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3"/>
                <w:szCs w:val="13"/>
                <w:color w:val="auto"/>
              </w:rPr>
              <w:t>Title</w:t>
            </w: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color w:val="auto"/>
                <w:w w:val="92"/>
              </w:rPr>
              <w:t>Other</w:t>
            </w: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Core</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color w:val="auto"/>
                <w:w w:val="88"/>
              </w:rPr>
              <w:t>Group</w:t>
            </w: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color w:val="auto"/>
                <w:w w:val="87"/>
              </w:rPr>
              <w:t>(2)</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3"/>
                <w:szCs w:val="13"/>
                <w:b w:val="1"/>
                <w:bCs w:val="1"/>
                <w:color w:val="auto"/>
              </w:rPr>
              <w:t>FNFV</w:t>
            </w:r>
          </w:p>
        </w:tc>
        <w:tc>
          <w:tcPr>
            <w:tcW w:w="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1"/>
        </w:trPr>
        <w:tc>
          <w:tcPr>
            <w:tcW w:w="5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gridSpan w:val="4"/>
          </w:tcPr>
          <w:p>
            <w:pPr>
              <w:ind w:left="100"/>
              <w:spacing w:after="0"/>
              <w:rPr>
                <w:sz w:val="20"/>
                <w:szCs w:val="20"/>
                <w:color w:val="auto"/>
              </w:rPr>
            </w:pPr>
            <w:r>
              <w:rPr>
                <w:rFonts w:ascii="Arial" w:cs="Arial" w:eastAsia="Arial" w:hAnsi="Arial"/>
                <w:sz w:val="13"/>
                <w:szCs w:val="13"/>
                <w:b w:val="1"/>
                <w:bCs w:val="1"/>
                <w:color w:val="auto"/>
              </w:rPr>
              <w:t>(In millions)</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Title premiums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3,833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3,833</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3,833</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Other revenues</w:t>
            </w:r>
          </w:p>
        </w:tc>
        <w:tc>
          <w:tcPr>
            <w:tcW w:w="2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1,613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b w:val="1"/>
                <w:bCs w:val="1"/>
                <w:color w:val="auto"/>
              </w:rPr>
              <w:t>1,661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15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1,676</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Restaurant revenues</w:t>
            </w:r>
          </w:p>
        </w:tc>
        <w:tc>
          <w:tcPr>
            <w:tcW w:w="20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908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908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908</w:t>
            </w:r>
          </w:p>
        </w:tc>
        <w:tc>
          <w:tcPr>
            <w:tcW w:w="0" w:type="dxa"/>
            <w:vAlign w:val="bottom"/>
          </w:tcPr>
          <w:p>
            <w:pPr>
              <w:spacing w:after="0"/>
              <w:rPr>
                <w:sz w:val="1"/>
                <w:szCs w:val="1"/>
                <w:color w:val="auto"/>
              </w:rPr>
            </w:pPr>
          </w:p>
        </w:tc>
      </w:tr>
      <w:tr>
        <w:trPr>
          <w:trHeight w:val="250"/>
        </w:trPr>
        <w:tc>
          <w:tcPr>
            <w:tcW w:w="5160" w:type="dxa"/>
            <w:vAlign w:val="bottom"/>
          </w:tcPr>
          <w:p>
            <w:pPr>
              <w:ind w:left="40"/>
              <w:spacing w:after="0"/>
              <w:rPr>
                <w:sz w:val="20"/>
                <w:szCs w:val="20"/>
                <w:color w:val="auto"/>
              </w:rPr>
            </w:pPr>
            <w:r>
              <w:rPr>
                <w:rFonts w:ascii="Arial" w:cs="Arial" w:eastAsia="Arial" w:hAnsi="Arial"/>
                <w:sz w:val="14"/>
                <w:szCs w:val="14"/>
                <w:color w:val="auto"/>
              </w:rPr>
              <w:t>Revenues from external customers</w:t>
            </w:r>
          </w:p>
        </w:tc>
        <w:tc>
          <w:tcPr>
            <w:tcW w:w="20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5,446</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5,494</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908</w:t>
            </w:r>
          </w:p>
        </w:tc>
        <w:tc>
          <w:tcPr>
            <w:tcW w:w="1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2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923</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6,417</w:t>
            </w:r>
          </w:p>
        </w:tc>
        <w:tc>
          <w:tcPr>
            <w:tcW w:w="0" w:type="dxa"/>
            <w:vAlign w:val="bottom"/>
          </w:tcPr>
          <w:p>
            <w:pPr>
              <w:spacing w:after="0"/>
              <w:rPr>
                <w:sz w:val="1"/>
                <w:szCs w:val="1"/>
                <w:color w:val="auto"/>
              </w:rPr>
            </w:pPr>
          </w:p>
        </w:tc>
      </w:tr>
      <w:tr>
        <w:trPr>
          <w:trHeight w:val="270"/>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and investment income (loss), including realized gains and losses</w:t>
            </w:r>
          </w:p>
        </w:tc>
        <w:tc>
          <w:tcPr>
            <w:tcW w:w="2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140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137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119</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114</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251</w:t>
            </w: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revenues</w:t>
            </w:r>
          </w:p>
        </w:tc>
        <w:tc>
          <w:tcPr>
            <w:tcW w:w="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5,586</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45</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5,631</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1,027</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1,037</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6,668</w:t>
            </w:r>
          </w:p>
        </w:tc>
        <w:tc>
          <w:tcPr>
            <w:tcW w:w="0" w:type="dxa"/>
            <w:vAlign w:val="bottom"/>
          </w:tcPr>
          <w:p>
            <w:pPr>
              <w:spacing w:after="0"/>
              <w:rPr>
                <w:sz w:val="1"/>
                <w:szCs w:val="1"/>
                <w:color w:val="auto"/>
              </w:rPr>
            </w:pPr>
          </w:p>
        </w:tc>
      </w:tr>
      <w:tr>
        <w:trPr>
          <w:trHeight w:val="25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2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68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35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103</w:t>
            </w:r>
          </w:p>
        </w:tc>
        <w:tc>
          <w:tcPr>
            <w:tcW w:w="0" w:type="dxa"/>
            <w:vAlign w:val="bottom"/>
          </w:tcPr>
          <w:p>
            <w:pPr>
              <w:spacing w:after="0"/>
              <w:rPr>
                <w:sz w:val="1"/>
                <w:szCs w:val="1"/>
                <w:color w:val="auto"/>
              </w:rPr>
            </w:pPr>
          </w:p>
        </w:tc>
      </w:tr>
      <w:tr>
        <w:trPr>
          <w:trHeight w:val="264"/>
        </w:trPr>
        <w:tc>
          <w:tcPr>
            <w:tcW w:w="5160" w:type="dxa"/>
            <w:vAlign w:val="bottom"/>
          </w:tcPr>
          <w:p>
            <w:pPr>
              <w:ind w:left="40"/>
              <w:spacing w:after="0"/>
              <w:rPr>
                <w:sz w:val="20"/>
                <w:szCs w:val="20"/>
                <w:color w:val="auto"/>
              </w:rPr>
            </w:pPr>
            <w:r>
              <w:rPr>
                <w:rFonts w:ascii="Arial" w:cs="Arial" w:eastAsia="Arial" w:hAnsi="Arial"/>
                <w:sz w:val="14"/>
                <w:szCs w:val="14"/>
                <w:color w:val="auto"/>
              </w:rPr>
              <w:t>Interest expense</w:t>
            </w:r>
          </w:p>
        </w:tc>
        <w:tc>
          <w:tcPr>
            <w:tcW w:w="200" w:type="dxa"/>
            <w:vAlign w:val="bottom"/>
          </w:tcPr>
          <w:p>
            <w:pPr>
              <w:spacing w:after="0"/>
              <w:rPr>
                <w:sz w:val="22"/>
                <w:szCs w:val="22"/>
                <w:color w:val="auto"/>
              </w:rPr>
            </w:pP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9"/>
              <w:spacing w:after="0"/>
              <w:rPr>
                <w:sz w:val="20"/>
                <w:szCs w:val="20"/>
                <w:color w:val="auto"/>
              </w:rPr>
            </w:pPr>
            <w:r>
              <w:rPr>
                <w:rFonts w:ascii="Arial" w:cs="Arial" w:eastAsia="Arial" w:hAnsi="Arial"/>
                <w:sz w:val="14"/>
                <w:szCs w:val="14"/>
                <w:b w:val="1"/>
                <w:bCs w:val="1"/>
                <w:color w:val="auto"/>
              </w:rPr>
              <w:t>61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64</w:t>
            </w:r>
          </w:p>
        </w:tc>
        <w:tc>
          <w:tcPr>
            <w:tcW w:w="0" w:type="dxa"/>
            <w:vAlign w:val="bottom"/>
          </w:tcPr>
          <w:p>
            <w:pPr>
              <w:spacing w:after="0"/>
              <w:rPr>
                <w:sz w:val="1"/>
                <w:szCs w:val="1"/>
                <w:color w:val="auto"/>
              </w:rPr>
            </w:pPr>
          </w:p>
        </w:tc>
      </w:tr>
      <w:tr>
        <w:trPr>
          <w:trHeight w:val="163"/>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4"/>
              </w:rPr>
              <w:t>Earnings (loss) from continuing operations, before income taxes and equity in earnings</w:t>
            </w: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669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746</w:t>
            </w:r>
          </w:p>
        </w:tc>
        <w:tc>
          <w:tcPr>
            <w:tcW w:w="0" w:type="dxa"/>
            <w:vAlign w:val="bottom"/>
          </w:tcPr>
          <w:p>
            <w:pPr>
              <w:spacing w:after="0"/>
              <w:rPr>
                <w:sz w:val="1"/>
                <w:szCs w:val="1"/>
                <w:color w:val="auto"/>
              </w:rPr>
            </w:pPr>
          </w:p>
        </w:tc>
      </w:tr>
      <w:tr>
        <w:trPr>
          <w:trHeight w:val="194"/>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of unconsolidated affiliates</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776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(107)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102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Income tax expense (benefit)</w:t>
            </w: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282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(52)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230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242</w:t>
            </w:r>
          </w:p>
        </w:tc>
        <w:tc>
          <w:tcPr>
            <w:tcW w:w="0" w:type="dxa"/>
            <w:vAlign w:val="bottom"/>
          </w:tcPr>
          <w:p>
            <w:pPr>
              <w:spacing w:after="0"/>
              <w:rPr>
                <w:sz w:val="1"/>
                <w:szCs w:val="1"/>
                <w:color w:val="auto"/>
              </w:rPr>
            </w:pPr>
          </w:p>
        </w:tc>
      </w:tr>
      <w:tr>
        <w:trPr>
          <w:trHeight w:val="143"/>
        </w:trPr>
        <w:tc>
          <w:tcPr>
            <w:tcW w:w="5160" w:type="dxa"/>
            <w:vAlign w:val="bottom"/>
            <w:shd w:val="clear" w:color="auto" w:fill="CCEEFF"/>
          </w:tcPr>
          <w:p>
            <w:pPr>
              <w:ind w:left="40"/>
              <w:spacing w:after="0" w:line="143" w:lineRule="exact"/>
              <w:rPr>
                <w:sz w:val="20"/>
                <w:szCs w:val="20"/>
                <w:color w:val="auto"/>
              </w:rPr>
            </w:pPr>
            <w:r>
              <w:rPr>
                <w:rFonts w:ascii="Arial" w:cs="Arial" w:eastAsia="Arial" w:hAnsi="Arial"/>
                <w:sz w:val="14"/>
                <w:szCs w:val="14"/>
                <w:color w:val="auto"/>
                <w:w w:val="94"/>
              </w:rPr>
              <w:t>Earnings (loss) from continuing operations, before equity in earnings of unconsolidated</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439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65</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504</w:t>
            </w:r>
          </w:p>
        </w:tc>
        <w:tc>
          <w:tcPr>
            <w:tcW w:w="0" w:type="dxa"/>
            <w:vAlign w:val="bottom"/>
          </w:tcPr>
          <w:p>
            <w:pPr>
              <w:spacing w:after="0"/>
              <w:rPr>
                <w:sz w:val="1"/>
                <w:szCs w:val="1"/>
                <w:color w:val="auto"/>
              </w:rPr>
            </w:pPr>
          </w:p>
        </w:tc>
      </w:tr>
      <w:tr>
        <w:trPr>
          <w:trHeight w:val="194"/>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affiliates</w:t>
            </w:r>
          </w:p>
        </w:tc>
        <w:tc>
          <w:tcPr>
            <w:tcW w:w="2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494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Equity in earnings (loss) of unconsolidated affiliates</w:t>
            </w:r>
          </w:p>
        </w:tc>
        <w:tc>
          <w:tcPr>
            <w:tcW w:w="2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Earnings (loss) from continuing operations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499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444</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70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514</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160" w:type="dxa"/>
            <w:vAlign w:val="bottom"/>
          </w:tcPr>
          <w:p>
            <w:pPr>
              <w:ind w:left="40"/>
              <w:spacing w:after="0"/>
              <w:rPr>
                <w:sz w:val="20"/>
                <w:szCs w:val="20"/>
                <w:color w:val="auto"/>
              </w:rPr>
            </w:pPr>
            <w:r>
              <w:rPr>
                <w:rFonts w:ascii="Arial" w:cs="Arial" w:eastAsia="Arial" w:hAnsi="Arial"/>
                <w:sz w:val="14"/>
                <w:szCs w:val="14"/>
                <w:color w:val="auto"/>
              </w:rPr>
              <w:t>Assets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9"/>
              <w:spacing w:after="0"/>
              <w:rPr>
                <w:sz w:val="20"/>
                <w:szCs w:val="20"/>
                <w:color w:val="auto"/>
              </w:rPr>
            </w:pPr>
            <w:r>
              <w:rPr>
                <w:rFonts w:ascii="Arial" w:cs="Arial" w:eastAsia="Arial" w:hAnsi="Arial"/>
                <w:sz w:val="14"/>
                <w:szCs w:val="14"/>
                <w:color w:val="auto"/>
              </w:rPr>
              <w:t>6,929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color w:val="auto"/>
              </w:rPr>
              <w:t>337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49"/>
              <w:spacing w:after="0"/>
              <w:rPr>
                <w:sz w:val="20"/>
                <w:szCs w:val="20"/>
                <w:color w:val="auto"/>
              </w:rPr>
            </w:pPr>
            <w:r>
              <w:rPr>
                <w:rFonts w:ascii="Arial" w:cs="Arial" w:eastAsia="Arial" w:hAnsi="Arial"/>
                <w:sz w:val="14"/>
                <w:szCs w:val="14"/>
                <w:b w:val="1"/>
                <w:bCs w:val="1"/>
                <w:color w:val="auto"/>
              </w:rPr>
              <w:t>7,266</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9"/>
              <w:spacing w:after="0"/>
              <w:rPr>
                <w:sz w:val="20"/>
                <w:szCs w:val="20"/>
                <w:color w:val="auto"/>
              </w:rPr>
            </w:pPr>
            <w:r>
              <w:rPr>
                <w:rFonts w:ascii="Arial" w:cs="Arial" w:eastAsia="Arial" w:hAnsi="Arial"/>
                <w:sz w:val="14"/>
                <w:szCs w:val="14"/>
                <w:color w:val="auto"/>
              </w:rPr>
              <w:t>689</w:t>
            </w:r>
          </w:p>
        </w:tc>
        <w:tc>
          <w:tcPr>
            <w:tcW w:w="12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30"/>
              <w:spacing w:after="0"/>
              <w:rPr>
                <w:sz w:val="20"/>
                <w:szCs w:val="20"/>
                <w:color w:val="auto"/>
              </w:rPr>
            </w:pPr>
            <w:r>
              <w:rPr>
                <w:rFonts w:ascii="Arial" w:cs="Arial" w:eastAsia="Arial" w:hAnsi="Arial"/>
                <w:sz w:val="14"/>
                <w:szCs w:val="14"/>
                <w:color w:val="auto"/>
              </w:rPr>
              <w:t>1,948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520" w:type="dxa"/>
            <w:vAlign w:val="bottom"/>
          </w:tcPr>
          <w:p>
            <w:pPr>
              <w:jc w:val="right"/>
              <w:ind w:right="29"/>
              <w:spacing w:after="0"/>
              <w:rPr>
                <w:sz w:val="20"/>
                <w:szCs w:val="20"/>
                <w:color w:val="auto"/>
              </w:rPr>
            </w:pPr>
            <w:r>
              <w:rPr>
                <w:rFonts w:ascii="Arial" w:cs="Arial" w:eastAsia="Arial" w:hAnsi="Arial"/>
                <w:sz w:val="14"/>
                <w:szCs w:val="14"/>
                <w:b w:val="1"/>
                <w:bCs w:val="1"/>
                <w:color w:val="auto"/>
              </w:rPr>
              <w:t>2,637</w:t>
            </w:r>
          </w:p>
        </w:tc>
        <w:tc>
          <w:tcPr>
            <w:tcW w:w="12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00" w:type="dxa"/>
            <w:vAlign w:val="bottom"/>
          </w:tcPr>
          <w:p>
            <w:pPr>
              <w:jc w:val="right"/>
              <w:ind w:right="29"/>
              <w:spacing w:after="0"/>
              <w:rPr>
                <w:sz w:val="20"/>
                <w:szCs w:val="20"/>
                <w:color w:val="auto"/>
              </w:rPr>
            </w:pPr>
            <w:r>
              <w:rPr>
                <w:rFonts w:ascii="Arial" w:cs="Arial" w:eastAsia="Arial" w:hAnsi="Arial"/>
                <w:sz w:val="14"/>
                <w:szCs w:val="14"/>
                <w:b w:val="1"/>
                <w:bCs w:val="1"/>
                <w:color w:val="auto"/>
              </w:rPr>
              <w:t>9,903</w:t>
            </w:r>
          </w:p>
        </w:tc>
        <w:tc>
          <w:tcPr>
            <w:tcW w:w="0" w:type="dxa"/>
            <w:vAlign w:val="bottom"/>
          </w:tcPr>
          <w:p>
            <w:pPr>
              <w:spacing w:after="0"/>
              <w:rPr>
                <w:sz w:val="1"/>
                <w:szCs w:val="1"/>
                <w:color w:val="auto"/>
              </w:rPr>
            </w:pPr>
          </w:p>
        </w:tc>
      </w:tr>
      <w:tr>
        <w:trPr>
          <w:trHeight w:val="276"/>
        </w:trPr>
        <w:tc>
          <w:tcPr>
            <w:tcW w:w="5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2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1,434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49"/>
              <w:spacing w:after="0"/>
              <w:rPr>
                <w:sz w:val="20"/>
                <w:szCs w:val="20"/>
                <w:color w:val="auto"/>
              </w:rPr>
            </w:pPr>
            <w:r>
              <w:rPr>
                <w:rFonts w:ascii="Arial" w:cs="Arial" w:eastAsia="Arial" w:hAnsi="Arial"/>
                <w:sz w:val="14"/>
                <w:szCs w:val="14"/>
                <w:b w:val="1"/>
                <w:bCs w:val="1"/>
                <w:color w:val="auto"/>
              </w:rPr>
              <w:t>1,437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351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470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1,907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______________</w:t>
      </w:r>
    </w:p>
    <w:p>
      <w:pPr>
        <w:spacing w:after="0" w:line="23" w:lineRule="exact"/>
        <w:rPr>
          <w:sz w:val="20"/>
          <w:szCs w:val="20"/>
          <w:color w:val="auto"/>
        </w:rPr>
      </w:pPr>
    </w:p>
    <w:p>
      <w:pPr>
        <w:ind w:left="580" w:hanging="248"/>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Assets in 2012 also included $1,270 million for Remy, which is now presented as discontinued operations.</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Goodwill in 2012 also included $246 million or Remy, which is now presented as discontinued operations.</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activities in our segments include the following:</w:t>
      </w:r>
    </w:p>
    <w:p>
      <w:pPr>
        <w:spacing w:after="0" w:line="8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FNF Core Operations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Title</w:t>
      </w:r>
    </w:p>
    <w:p>
      <w:pPr>
        <w:spacing w:after="0" w:line="9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This segment consists of the operations of our title insurance underwriters and related businesses. This segment provides core title insurance and escrow and other title related services including collection and trust activities, trustee sales guarantees, recordings and reconveyances, and home warranty insurance. This segment also includes the transaction services business acquired from LPS, now combined with our ServiceLink business. Transaction services include other title related services used in production and management of mortgage loans, including mortgage loans that go into default.</w:t>
      </w:r>
    </w:p>
    <w:p>
      <w:pPr>
        <w:spacing w:after="0" w:line="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BKFS</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segment consists of the operations of BKFS. This segment provides core technology and data and analytics services through leading software systems and information solutions that facilitate and automate many of the business processes across the life cycle of a mortgage.</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FNF Core Corporate and Other</w:t>
      </w:r>
    </w:p>
    <w:p>
      <w:pPr>
        <w:spacing w:after="0" w:line="9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FNF Core Corporate and Other segment consists of the operations of the parent holding company, certain other unallocated corporate overhead expenses, and other smaller real estate and insurance related operations.</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FNFV</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Restaurant Group</w:t>
      </w:r>
    </w:p>
    <w:p>
      <w:pPr>
        <w:spacing w:after="0" w:line="9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Restaurant Group segment consists of the operations of ABRH, in which we have a 55% ownership interest. ABRH is the owner and operator of the O'Charley's, Ninety Nine Restaurants, Max &amp; Erma's, Village Inn and Bakers Square concepts. This segment also includes J. Alexander's, which also includes the Stoney River Steakhouse and Grill concept.</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FNFV Corporate and Other</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FNFV Corporate and Other segment primarily consists of our share in the operations of certain equity investments, including Ceridian, Digital Insurance and other smaller operations which are not title related.</w:t>
      </w:r>
    </w:p>
    <w:p>
      <w:pPr>
        <w:spacing w:after="0" w:line="3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Note S.</w:t>
      </w:r>
      <w:r>
        <w:rPr>
          <w:sz w:val="20"/>
          <w:szCs w:val="20"/>
          <w:color w:val="auto"/>
        </w:rPr>
        <w:tab/>
      </w:r>
      <w:r>
        <w:rPr>
          <w:rFonts w:ascii="Arial" w:cs="Arial" w:eastAsia="Arial" w:hAnsi="Arial"/>
          <w:sz w:val="15"/>
          <w:szCs w:val="15"/>
          <w:b w:val="1"/>
          <w:bCs w:val="1"/>
          <w:color w:val="auto"/>
        </w:rPr>
        <w:t>Recent Accounting Pronouncements</w:t>
      </w:r>
    </w:p>
    <w:p>
      <w:pPr>
        <w:spacing w:after="0" w:line="20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April 2014, the FASB issued Accounting Standards Update ("ASU") No. 2014-08, Presentation of Financial Statements (Topic 205) and Property, Plant, and Equipment (Topic 360): Reporting Discontinued Operations and Disclosures of Disposals of Components of an Entity. This ASU raises the threshold for a disposal to qualify as a discontinued operation and requires new disclosures of both discontinued operations and certain other disposals that do not meet the definition of a discontinued operation. This ASU is effective for annual periods beginning after December 15, 2014, and interim periods within annual periods beginning on or after December 15, 2015, with early adoption permitted. We early adopted this ASU in the third quarter of 2014.</w:t>
      </w:r>
    </w:p>
    <w:p>
      <w:pPr>
        <w:spacing w:after="0" w:line="5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May 2014, the FASB issued ASU No. 2014-09, Revenue from Contracts with Customers (Topic 606). This ASU provides a new comprehensive revenue recognition model that requires companies to recognize revenue to depict the transfer of goods or services to a customer at an amount that reflects the consideration it expects to receive in exchange for those goods or services. This update also requires additional disclosure about the nature, amount, timing and uncertainty of revenue and cash flows arising from customer contracts. This update permits the use of either the retrospective or cumulative effect transition method. We are evaluating the effect this new guidance will have on our consolidated financial statements and related disclosures. We have not yet selected a transition method nor have we determined the effect of the standard on our ongoing financial reporting. This update is effective for annual and interim periods beginning on or after December 15, 2016, with early application not permitted.</w:t>
      </w:r>
    </w:p>
    <w:p>
      <w:pPr>
        <w:spacing w:after="0" w:line="7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November 2014, the FASB issued ASU No. 2014-17, Business Combinations (Topic 805). This ASU provides an acquired entity with an option to apply pushdown accounting in its separate financial statements upon occurrence of an event in which an acquirer obtains control of the acquired entity. An acquired entity may elect the option to apply pushdown accounting in the reporting period in which the change-in-control event occurs. An acquired entity</w:t>
      </w:r>
    </w:p>
    <w:p>
      <w:pPr>
        <w:sectPr>
          <w:pgSz w:w="11900" w:h="16912" w:orient="portrait"/>
          <w:cols w:equalWidth="0" w:num="1">
            <w:col w:w="11420"/>
          </w:cols>
          <w:pgMar w:left="240" w:top="121" w:right="239" w:bottom="0" w:gutter="0" w:footer="0" w:header="0"/>
        </w:sectPr>
      </w:pPr>
    </w:p>
    <w:bookmarkStart w:id="114" w:name="page115"/>
    <w:bookmarkEnd w:id="114"/>
    <w:p>
      <w:pPr>
        <w:jc w:val="both"/>
        <w:spacing w:after="0" w:line="259" w:lineRule="auto"/>
        <w:rPr>
          <w:sz w:val="20"/>
          <w:szCs w:val="20"/>
          <w:color w:val="auto"/>
        </w:rPr>
      </w:pPr>
      <w:r>
        <w:rPr>
          <w:rFonts w:ascii="Arial" w:cs="Arial" w:eastAsia="Arial" w:hAnsi="Arial"/>
          <w:sz w:val="18"/>
          <w:szCs w:val="18"/>
          <w:color w:val="auto"/>
        </w:rPr>
        <w:t>should determine whether to elect to apply pushdown accounting for each individual change-in-control event in which an acquirer obtains control of the acquired entity. If pushdown accounting is not applied in the reporting period in which the change-in-control event occurs, an acquired entity will have the option to elect to apply pushdown accounting in a subsequent reporting period to the acquired entity’s most recent change-in-control event.The amendments in this Update are effective on November 18, 2014. After the effective date, an acquired entity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20"/>
          </w:cols>
          <w:pgMar w:left="240" w:top="125" w:right="239" w:bottom="1440" w:gutter="0" w:footer="0" w:header="0"/>
        </w:sectPr>
      </w:pPr>
    </w:p>
    <w:bookmarkStart w:id="115" w:name="page116"/>
    <w:bookmarkEnd w:id="115"/>
    <w:p>
      <w:pPr>
        <w:ind w:left="312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71"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can make an election to apply the guidance to future change-in-control events or to its most recent change-in-control event. However, if the financial statements for the period in which the most recent change-in-control event occurred already have been issued or made available to be issued, the application of this guidance would be a change in accounting principle. We plan to adopt this ASU for the annual period beginning January 1, 2015 and do not expect this update to have a material impact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21"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9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None.</w:t>
      </w:r>
    </w:p>
    <w:p>
      <w:pPr>
        <w:spacing w:after="0" w:line="8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94"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As of the end of the year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or 15d-15(e) under the Exchange Act. Based on this evaluation, our principal executive officer and principal financial officer concluded that our disclosure controls and procedures are effective to ensure that information required to be disclosed by the Company in the reports that we file or submit under the Act is: (a) recorded, processed, summarized and reported, within the time periods specified in the Commission’s rules and forms; and</w:t>
      </w:r>
    </w:p>
    <w:p>
      <w:pPr>
        <w:spacing w:after="0" w:line="2" w:lineRule="exact"/>
        <w:rPr>
          <w:sz w:val="20"/>
          <w:szCs w:val="20"/>
          <w:color w:val="auto"/>
        </w:rPr>
      </w:pPr>
    </w:p>
    <w:p>
      <w:pPr>
        <w:ind w:firstLine="8"/>
        <w:spacing w:after="0" w:line="261" w:lineRule="auto"/>
        <w:tabs>
          <w:tab w:leader="none" w:pos="2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accumulated and communicated to management, including our principal executive and principal financial officers, as appropriate to allow timely decisions regarding required disclosure.</w:t>
      </w:r>
    </w:p>
    <w:p>
      <w:pPr>
        <w:spacing w:after="0" w:line="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December 31, 2014 that have materially affected, or are reasonably likely to materially affect, our internal control over financial reporting.</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Management is responsible for establishing and maintaining adequate internal control over financial reporting, as such term is defined in Exchange Act Rule 13a-15(f) or 15d-15(f). Under the supervision and with the participation of our management, including our principal executive officer and principal financial officer, we conducted an evaluation of the effectiveness of our internal control over financial reporting. Management has adopted the framework in </w:t>
      </w:r>
      <w:r>
        <w:rPr>
          <w:rFonts w:ascii="Arial" w:cs="Arial" w:eastAsia="Arial" w:hAnsi="Arial"/>
          <w:sz w:val="17"/>
          <w:szCs w:val="17"/>
          <w:i w:val="1"/>
          <w:iCs w:val="1"/>
          <w:color w:val="auto"/>
        </w:rPr>
        <w:t xml:space="preserve">Internal Control-Integrated Framework </w:t>
      </w:r>
      <w:r>
        <w:rPr>
          <w:rFonts w:ascii="Arial" w:cs="Arial" w:eastAsia="Arial" w:hAnsi="Arial"/>
          <w:sz w:val="17"/>
          <w:szCs w:val="17"/>
          <w:color w:val="auto"/>
        </w:rPr>
        <w:t>issued by the Committee of Sponsoring Organizations of the Treadway Commission 2013 framework (COSO). Based</w:t>
      </w:r>
      <w:r>
        <w:rPr>
          <w:rFonts w:ascii="Arial" w:cs="Arial" w:eastAsia="Arial" w:hAnsi="Arial"/>
          <w:sz w:val="17"/>
          <w:szCs w:val="17"/>
          <w:i w:val="1"/>
          <w:iCs w:val="1"/>
          <w:color w:val="auto"/>
        </w:rPr>
        <w:t xml:space="preserve"> </w:t>
      </w:r>
      <w:r>
        <w:rPr>
          <w:rFonts w:ascii="Arial" w:cs="Arial" w:eastAsia="Arial" w:hAnsi="Arial"/>
          <w:sz w:val="17"/>
          <w:szCs w:val="17"/>
          <w:color w:val="auto"/>
        </w:rPr>
        <w:t>on our evaluation under this framework, our management concluded that our internal control over financial reporting was effective as of December 31, 2014. The effectiveness of our internal control over financial reporting as of December 31, 2014 has been audited by KPMG LLP, an independent registered public accounting firm, as stated in their report which is included herein.</w:t>
      </w:r>
    </w:p>
    <w:p>
      <w:pPr>
        <w:spacing w:after="0" w:line="200" w:lineRule="exact"/>
        <w:rPr>
          <w:sz w:val="20"/>
          <w:szCs w:val="20"/>
          <w:color w:val="auto"/>
        </w:rPr>
      </w:pPr>
    </w:p>
    <w:p>
      <w:pPr>
        <w:spacing w:after="0" w:line="21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10-14.</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Within 120 days after the close of our fiscal year, we intend to file with the Securities and Exchange Commission the matters required by these items.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25"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9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 and Reports on Form 8-K</w:t>
      </w:r>
    </w:p>
    <w:p>
      <w:pPr>
        <w:spacing w:after="0" w:line="94" w:lineRule="exact"/>
        <w:rPr>
          <w:sz w:val="20"/>
          <w:szCs w:val="20"/>
          <w:color w:val="auto"/>
        </w:rPr>
      </w:pPr>
    </w:p>
    <w:p>
      <w:pPr>
        <w:ind w:firstLine="332"/>
        <w:spacing w:after="0" w:line="277" w:lineRule="auto"/>
        <w:tabs>
          <w:tab w:leader="none" w:pos="582"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Financial Statements.</w:t>
      </w:r>
      <w:r>
        <w:rPr>
          <w:rFonts w:ascii="Arial" w:cs="Arial" w:eastAsia="Arial" w:hAnsi="Arial"/>
          <w:sz w:val="18"/>
          <w:szCs w:val="18"/>
          <w:color w:val="auto"/>
        </w:rPr>
        <w:t xml:space="preserve"> The following is a list of the Consolidated Financial Statements of Fidelity National Financial, Inc. and its subsidiaries included in Item 8 of Part II:</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1080" w:type="dxa"/>
            <w:vAlign w:val="bottom"/>
            <w:gridSpan w:val="9"/>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Report of Independent Registered Public Accounting Firm on Effectiveness of Internal Control over Financial Reporting</w:t>
              </w:r>
            </w:hyperlink>
          </w:p>
        </w:tc>
        <w:tc>
          <w:tcPr>
            <w:tcW w:w="280" w:type="dxa"/>
            <w:vAlign w:val="bottom"/>
            <w:gridSpan w:val="2"/>
          </w:tcPr>
          <w:p>
            <w:pPr>
              <w:jc w:val="right"/>
              <w:spacing w:after="0"/>
              <w:rPr>
                <w:rFonts w:ascii="Arial" w:cs="Arial" w:eastAsia="Arial" w:hAnsi="Arial"/>
                <w:sz w:val="18"/>
                <w:szCs w:val="18"/>
                <w:color w:val="0000EE"/>
              </w:rPr>
            </w:pPr>
            <w:hyperlink w:anchor="page62">
              <w:r>
                <w:rPr>
                  <w:rFonts w:ascii="Arial" w:cs="Arial" w:eastAsia="Arial" w:hAnsi="Arial"/>
                  <w:sz w:val="18"/>
                  <w:szCs w:val="18"/>
                  <w:color w:val="0000EE"/>
                </w:rPr>
                <w:t>61</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8680" w:type="dxa"/>
            <w:vAlign w:val="bottom"/>
            <w:gridSpan w:val="8"/>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Report of Independent Registered Public Accounting Firm on Financial Statements</w:t>
              </w:r>
            </w:hyperlink>
          </w:p>
        </w:tc>
        <w:tc>
          <w:tcPr>
            <w:tcW w:w="2400" w:type="dxa"/>
            <w:vAlign w:val="bottom"/>
          </w:tcPr>
          <w:p>
            <w:pPr>
              <w:spacing w:after="0"/>
              <w:rPr>
                <w:sz w:val="21"/>
                <w:szCs w:val="21"/>
                <w:color w:val="auto"/>
              </w:rPr>
            </w:pPr>
          </w:p>
        </w:tc>
        <w:tc>
          <w:tcPr>
            <w:tcW w:w="280" w:type="dxa"/>
            <w:vAlign w:val="bottom"/>
            <w:gridSpan w:val="2"/>
          </w:tcPr>
          <w:p>
            <w:pPr>
              <w:jc w:val="right"/>
              <w:spacing w:after="0"/>
              <w:rPr>
                <w:rFonts w:ascii="Arial" w:cs="Arial" w:eastAsia="Arial" w:hAnsi="Arial"/>
                <w:sz w:val="18"/>
                <w:szCs w:val="18"/>
                <w:color w:val="0000EE"/>
              </w:rPr>
            </w:pPr>
            <w:hyperlink w:anchor="page63">
              <w:r>
                <w:rPr>
                  <w:rFonts w:ascii="Arial" w:cs="Arial" w:eastAsia="Arial" w:hAnsi="Arial"/>
                  <w:sz w:val="18"/>
                  <w:szCs w:val="18"/>
                  <w:color w:val="0000EE"/>
                </w:rPr>
                <w:t>62</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5980" w:type="dxa"/>
            <w:vAlign w:val="bottom"/>
            <w:gridSpan w:val="3"/>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Consolidated Balance Sheets as of December 31, 2014 and 2013</w:t>
              </w:r>
            </w:hyperlink>
          </w:p>
        </w:tc>
        <w:tc>
          <w:tcPr>
            <w:tcW w:w="5100" w:type="dxa"/>
            <w:vAlign w:val="bottom"/>
            <w:gridSpan w:val="6"/>
          </w:tcPr>
          <w:p>
            <w:pPr>
              <w:spacing w:after="0"/>
              <w:rPr>
                <w:sz w:val="21"/>
                <w:szCs w:val="21"/>
                <w:color w:val="auto"/>
              </w:rPr>
            </w:pPr>
          </w:p>
        </w:tc>
        <w:tc>
          <w:tcPr>
            <w:tcW w:w="280" w:type="dxa"/>
            <w:vAlign w:val="bottom"/>
            <w:gridSpan w:val="2"/>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63</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6700" w:type="dxa"/>
            <w:vAlign w:val="bottom"/>
            <w:gridSpan w:val="5"/>
          </w:tcPr>
          <w:p>
            <w:pPr>
              <w:spacing w:after="0"/>
              <w:rPr>
                <w:rFonts w:ascii="Arial" w:cs="Arial" w:eastAsia="Arial" w:hAnsi="Arial"/>
                <w:sz w:val="18"/>
                <w:szCs w:val="18"/>
                <w:color w:val="0000EE"/>
                <w:w w:val="89"/>
              </w:rPr>
            </w:pPr>
            <w:hyperlink w:anchor="page65">
              <w:r>
                <w:rPr>
                  <w:rFonts w:ascii="Arial" w:cs="Arial" w:eastAsia="Arial" w:hAnsi="Arial"/>
                  <w:sz w:val="18"/>
                  <w:szCs w:val="18"/>
                  <w:color w:val="0000EE"/>
                  <w:w w:val="89"/>
                </w:rPr>
                <w:t>Consolidated Statements of Earnings for the years ended December 31, 2014, 2013 and 2012</w:t>
              </w:r>
            </w:hyperlink>
          </w:p>
        </w:tc>
        <w:tc>
          <w:tcPr>
            <w:tcW w:w="4380" w:type="dxa"/>
            <w:vAlign w:val="bottom"/>
            <w:gridSpan w:val="4"/>
          </w:tcPr>
          <w:p>
            <w:pPr>
              <w:spacing w:after="0"/>
              <w:rPr>
                <w:sz w:val="21"/>
                <w:szCs w:val="21"/>
                <w:color w:val="auto"/>
              </w:rPr>
            </w:pPr>
          </w:p>
        </w:tc>
        <w:tc>
          <w:tcPr>
            <w:tcW w:w="280" w:type="dxa"/>
            <w:vAlign w:val="bottom"/>
            <w:gridSpan w:val="2"/>
          </w:tcPr>
          <w:p>
            <w:pPr>
              <w:jc w:val="right"/>
              <w:spacing w:after="0"/>
              <w:rPr>
                <w:rFonts w:ascii="Arial" w:cs="Arial" w:eastAsia="Arial" w:hAnsi="Arial"/>
                <w:sz w:val="18"/>
                <w:szCs w:val="18"/>
                <w:color w:val="0000EE"/>
              </w:rPr>
            </w:pPr>
            <w:hyperlink w:anchor="page65">
              <w:r>
                <w:rPr>
                  <w:rFonts w:ascii="Arial" w:cs="Arial" w:eastAsia="Arial" w:hAnsi="Arial"/>
                  <w:sz w:val="18"/>
                  <w:szCs w:val="18"/>
                  <w:color w:val="0000EE"/>
                </w:rPr>
                <w:t>64</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7880" w:type="dxa"/>
            <w:vAlign w:val="bottom"/>
            <w:gridSpan w:val="7"/>
          </w:tcPr>
          <w:p>
            <w:pPr>
              <w:spacing w:after="0"/>
              <w:rPr>
                <w:rFonts w:ascii="Arial" w:cs="Arial" w:eastAsia="Arial" w:hAnsi="Arial"/>
                <w:sz w:val="18"/>
                <w:szCs w:val="18"/>
                <w:color w:val="0000EE"/>
                <w:w w:val="89"/>
              </w:rPr>
            </w:pPr>
            <w:hyperlink w:anchor="page67">
              <w:r>
                <w:rPr>
                  <w:rFonts w:ascii="Arial" w:cs="Arial" w:eastAsia="Arial" w:hAnsi="Arial"/>
                  <w:sz w:val="18"/>
                  <w:szCs w:val="18"/>
                  <w:color w:val="0000EE"/>
                  <w:w w:val="89"/>
                </w:rPr>
                <w:t>Consolidated Statements of Comprehensive Earnings for the years ended December 31, 2014, 2013 and 2012</w:t>
              </w:r>
            </w:hyperlink>
          </w:p>
        </w:tc>
        <w:tc>
          <w:tcPr>
            <w:tcW w:w="3200" w:type="dxa"/>
            <w:vAlign w:val="bottom"/>
            <w:gridSpan w:val="2"/>
          </w:tcPr>
          <w:p>
            <w:pPr>
              <w:spacing w:after="0"/>
              <w:rPr>
                <w:sz w:val="21"/>
                <w:szCs w:val="21"/>
                <w:color w:val="auto"/>
              </w:rPr>
            </w:pPr>
          </w:p>
        </w:tc>
        <w:tc>
          <w:tcPr>
            <w:tcW w:w="280" w:type="dxa"/>
            <w:vAlign w:val="bottom"/>
            <w:gridSpan w:val="2"/>
          </w:tcPr>
          <w:p>
            <w:pPr>
              <w:jc w:val="right"/>
              <w:spacing w:after="0"/>
              <w:rPr>
                <w:rFonts w:ascii="Arial" w:cs="Arial" w:eastAsia="Arial" w:hAnsi="Arial"/>
                <w:sz w:val="18"/>
                <w:szCs w:val="18"/>
                <w:color w:val="0000EE"/>
              </w:rPr>
            </w:pPr>
            <w:hyperlink w:anchor="page67">
              <w:r>
                <w:rPr>
                  <w:rFonts w:ascii="Arial" w:cs="Arial" w:eastAsia="Arial" w:hAnsi="Arial"/>
                  <w:sz w:val="18"/>
                  <w:szCs w:val="18"/>
                  <w:color w:val="0000EE"/>
                </w:rPr>
                <w:t>66</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6540" w:type="dxa"/>
            <w:vAlign w:val="bottom"/>
            <w:gridSpan w:val="4"/>
          </w:tcPr>
          <w:p>
            <w:pPr>
              <w:spacing w:after="0"/>
              <w:rPr>
                <w:rFonts w:ascii="Arial" w:cs="Arial" w:eastAsia="Arial" w:hAnsi="Arial"/>
                <w:sz w:val="18"/>
                <w:szCs w:val="18"/>
                <w:color w:val="0000EE"/>
                <w:w w:val="89"/>
              </w:rPr>
            </w:pPr>
            <w:hyperlink w:anchor="page68">
              <w:r>
                <w:rPr>
                  <w:rFonts w:ascii="Arial" w:cs="Arial" w:eastAsia="Arial" w:hAnsi="Arial"/>
                  <w:sz w:val="18"/>
                  <w:szCs w:val="18"/>
                  <w:color w:val="0000EE"/>
                  <w:w w:val="89"/>
                </w:rPr>
                <w:t>Consolidated Statements of Equity for the years ended December 31, 2014, 2013 and 2012</w:t>
              </w:r>
            </w:hyperlink>
          </w:p>
        </w:tc>
        <w:tc>
          <w:tcPr>
            <w:tcW w:w="1340" w:type="dxa"/>
            <w:vAlign w:val="bottom"/>
            <w:gridSpan w:val="3"/>
          </w:tcPr>
          <w:p>
            <w:pPr>
              <w:spacing w:after="0"/>
              <w:rPr>
                <w:sz w:val="21"/>
                <w:szCs w:val="21"/>
                <w:color w:val="auto"/>
              </w:rPr>
            </w:pPr>
          </w:p>
        </w:tc>
        <w:tc>
          <w:tcPr>
            <w:tcW w:w="3200" w:type="dxa"/>
            <w:vAlign w:val="bottom"/>
            <w:gridSpan w:val="2"/>
          </w:tcPr>
          <w:p>
            <w:pPr>
              <w:spacing w:after="0"/>
              <w:rPr>
                <w:sz w:val="21"/>
                <w:szCs w:val="21"/>
                <w:color w:val="auto"/>
              </w:rPr>
            </w:pPr>
          </w:p>
        </w:tc>
        <w:tc>
          <w:tcPr>
            <w:tcW w:w="280" w:type="dxa"/>
            <w:vAlign w:val="bottom"/>
            <w:gridSpan w:val="2"/>
          </w:tcPr>
          <w:p>
            <w:pPr>
              <w:jc w:val="right"/>
              <w:spacing w:after="0"/>
              <w:rPr>
                <w:rFonts w:ascii="Arial" w:cs="Arial" w:eastAsia="Arial" w:hAnsi="Arial"/>
                <w:sz w:val="18"/>
                <w:szCs w:val="18"/>
                <w:color w:val="0000EE"/>
              </w:rPr>
            </w:pPr>
            <w:hyperlink w:anchor="page68">
              <w:r>
                <w:rPr>
                  <w:rFonts w:ascii="Arial" w:cs="Arial" w:eastAsia="Arial" w:hAnsi="Arial"/>
                  <w:sz w:val="18"/>
                  <w:szCs w:val="18"/>
                  <w:color w:val="0000EE"/>
                </w:rPr>
                <w:t>67</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40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11080" w:type="dxa"/>
            <w:vAlign w:val="bottom"/>
            <w:gridSpan w:val="9"/>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Consolidated Statements of Cash Flows for the years ended December 31, 2014, 2013 and 2012</w:t>
              </w:r>
            </w:hyperlink>
          </w:p>
        </w:tc>
        <w:tc>
          <w:tcPr>
            <w:tcW w:w="280" w:type="dxa"/>
            <w:vAlign w:val="bottom"/>
            <w:gridSpan w:val="2"/>
          </w:tcPr>
          <w:p>
            <w:pPr>
              <w:jc w:val="right"/>
              <w:spacing w:after="0"/>
              <w:rPr>
                <w:rFonts w:ascii="Arial" w:cs="Arial" w:eastAsia="Arial" w:hAnsi="Arial"/>
                <w:sz w:val="18"/>
                <w:szCs w:val="18"/>
                <w:color w:val="0000EE"/>
              </w:rPr>
            </w:pPr>
            <w:hyperlink w:anchor="page70">
              <w:r>
                <w:rPr>
                  <w:rFonts w:ascii="Arial" w:cs="Arial" w:eastAsia="Arial" w:hAnsi="Arial"/>
                  <w:sz w:val="18"/>
                  <w:szCs w:val="18"/>
                  <w:color w:val="0000EE"/>
                </w:rPr>
                <w:t>69</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3760" w:type="dxa"/>
            <w:vAlign w:val="bottom"/>
            <w:gridSpan w:val="5"/>
            <w:shd w:val="clear" w:color="auto" w:fill="0000EE"/>
          </w:tcPr>
          <w:p>
            <w:pPr>
              <w:spacing w:after="0" w:line="20" w:lineRule="exact"/>
              <w:rPr>
                <w:sz w:val="1"/>
                <w:szCs w:val="1"/>
                <w:color w:val="auto"/>
              </w:rPr>
            </w:pPr>
          </w:p>
        </w:tc>
        <w:tc>
          <w:tcPr>
            <w:tcW w:w="4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6900" w:type="dxa"/>
            <w:vAlign w:val="bottom"/>
            <w:gridSpan w:val="6"/>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Notes to Consolidated Financial Statements</w:t>
              </w:r>
            </w:hyperlink>
          </w:p>
        </w:tc>
        <w:tc>
          <w:tcPr>
            <w:tcW w:w="4180" w:type="dxa"/>
            <w:vAlign w:val="bottom"/>
            <w:gridSpan w:val="3"/>
          </w:tcPr>
          <w:p>
            <w:pPr>
              <w:spacing w:after="0"/>
              <w:rPr>
                <w:sz w:val="21"/>
                <w:szCs w:val="21"/>
                <w:color w:val="auto"/>
              </w:rPr>
            </w:pPr>
          </w:p>
        </w:tc>
        <w:tc>
          <w:tcPr>
            <w:tcW w:w="280" w:type="dxa"/>
            <w:vAlign w:val="bottom"/>
            <w:gridSpan w:val="2"/>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70</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794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345"/>
        </w:trPr>
        <w:tc>
          <w:tcPr>
            <w:tcW w:w="11080" w:type="dxa"/>
            <w:vAlign w:val="bottom"/>
            <w:gridSpan w:val="9"/>
          </w:tcPr>
          <w:p>
            <w:pPr>
              <w:ind w:left="300"/>
              <w:spacing w:after="0"/>
              <w:rPr>
                <w:sz w:val="20"/>
                <w:szCs w:val="20"/>
                <w:color w:val="auto"/>
              </w:rPr>
            </w:pPr>
            <w:r>
              <w:rPr>
                <w:rFonts w:ascii="Arial" w:cs="Arial" w:eastAsia="Arial" w:hAnsi="Arial"/>
                <w:sz w:val="18"/>
                <w:szCs w:val="18"/>
                <w:color w:val="auto"/>
                <w:w w:val="95"/>
              </w:rPr>
              <w:t xml:space="preserve">(a) (2) </w:t>
            </w:r>
            <w:r>
              <w:rPr>
                <w:rFonts w:ascii="Arial" w:cs="Arial" w:eastAsia="Arial" w:hAnsi="Arial"/>
                <w:sz w:val="18"/>
                <w:szCs w:val="18"/>
                <w:i w:val="1"/>
                <w:iCs w:val="1"/>
                <w:color w:val="auto"/>
                <w:w w:val="95"/>
              </w:rPr>
              <w:t>Financial Statement Schedules.</w:t>
            </w:r>
            <w:r>
              <w:rPr>
                <w:rFonts w:ascii="Arial" w:cs="Arial" w:eastAsia="Arial" w:hAnsi="Arial"/>
                <w:sz w:val="18"/>
                <w:szCs w:val="18"/>
                <w:color w:val="auto"/>
                <w:w w:val="95"/>
              </w:rPr>
              <w:t xml:space="preserve">  The following is a list of financial statement schedules filed as part of this annual report on Form 10-K:</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19"/>
        </w:trPr>
        <w:tc>
          <w:tcPr>
            <w:tcW w:w="11080" w:type="dxa"/>
            <w:vAlign w:val="bottom"/>
            <w:gridSpan w:val="9"/>
          </w:tcPr>
          <w:p>
            <w:pPr>
              <w:spacing w:after="0"/>
              <w:rPr>
                <w:sz w:val="20"/>
                <w:szCs w:val="20"/>
                <w:color w:val="auto"/>
              </w:rPr>
            </w:pPr>
            <w:r>
              <w:rPr>
                <w:rFonts w:ascii="Arial" w:cs="Arial" w:eastAsia="Arial" w:hAnsi="Arial"/>
                <w:sz w:val="18"/>
                <w:szCs w:val="18"/>
                <w:i w:val="1"/>
                <w:iCs w:val="1"/>
                <w:color w:val="auto"/>
              </w:rPr>
              <w:t xml:space="preserve">Schedule II: </w:t>
            </w:r>
            <w:r>
              <w:rPr>
                <w:rFonts w:ascii="Arial" w:cs="Arial" w:eastAsia="Arial" w:hAnsi="Arial"/>
                <w:sz w:val="18"/>
                <w:szCs w:val="18"/>
                <w:color w:val="auto"/>
              </w:rPr>
              <w:t>Fidelity National Financial, Inc. (Parent Company Financial Statements)</w:t>
            </w:r>
          </w:p>
        </w:tc>
        <w:tc>
          <w:tcPr>
            <w:tcW w:w="280" w:type="dxa"/>
            <w:vAlign w:val="bottom"/>
            <w:tcBorders>
              <w:bottom w:val="single" w:sz="8" w:color="0000EE"/>
            </w:tcBorders>
            <w:gridSpan w:val="2"/>
          </w:tcPr>
          <w:p>
            <w:pPr>
              <w:jc w:val="right"/>
              <w:spacing w:after="0"/>
              <w:rPr>
                <w:rFonts w:ascii="Arial" w:cs="Arial" w:eastAsia="Arial" w:hAnsi="Arial"/>
                <w:sz w:val="18"/>
                <w:szCs w:val="18"/>
                <w:color w:val="0000EE"/>
                <w:w w:val="86"/>
              </w:rPr>
            </w:pPr>
            <w:hyperlink w:anchor="page124">
              <w:r>
                <w:rPr>
                  <w:rFonts w:ascii="Arial" w:cs="Arial" w:eastAsia="Arial" w:hAnsi="Arial"/>
                  <w:sz w:val="18"/>
                  <w:szCs w:val="18"/>
                  <w:color w:val="0000EE"/>
                  <w:w w:val="86"/>
                </w:rPr>
                <w:t>120</w:t>
              </w:r>
            </w:hyperlink>
          </w:p>
        </w:tc>
      </w:tr>
      <w:tr>
        <w:trPr>
          <w:trHeight w:val="250"/>
        </w:trPr>
        <w:tc>
          <w:tcPr>
            <w:tcW w:w="11080" w:type="dxa"/>
            <w:vAlign w:val="bottom"/>
            <w:gridSpan w:val="9"/>
          </w:tcPr>
          <w:p>
            <w:pPr>
              <w:spacing w:after="0"/>
              <w:rPr>
                <w:sz w:val="20"/>
                <w:szCs w:val="20"/>
                <w:color w:val="auto"/>
              </w:rPr>
            </w:pPr>
            <w:r>
              <w:rPr>
                <w:rFonts w:ascii="Arial" w:cs="Arial" w:eastAsia="Arial" w:hAnsi="Arial"/>
                <w:sz w:val="18"/>
                <w:szCs w:val="18"/>
                <w:i w:val="1"/>
                <w:iCs w:val="1"/>
                <w:color w:val="auto"/>
              </w:rPr>
              <w:t xml:space="preserve">Schedule V: </w:t>
            </w:r>
            <w:r>
              <w:rPr>
                <w:rFonts w:ascii="Arial" w:cs="Arial" w:eastAsia="Arial" w:hAnsi="Arial"/>
                <w:sz w:val="18"/>
                <w:szCs w:val="18"/>
                <w:color w:val="auto"/>
              </w:rPr>
              <w:t>Valuation and Qualifying Accounts</w:t>
            </w:r>
          </w:p>
        </w:tc>
        <w:tc>
          <w:tcPr>
            <w:tcW w:w="280" w:type="dxa"/>
            <w:vAlign w:val="bottom"/>
            <w:tcBorders>
              <w:bottom w:val="single" w:sz="8" w:color="0000EE"/>
            </w:tcBorders>
            <w:gridSpan w:val="2"/>
          </w:tcPr>
          <w:p>
            <w:pPr>
              <w:jc w:val="right"/>
              <w:spacing w:after="0"/>
              <w:rPr>
                <w:rFonts w:ascii="Arial" w:cs="Arial" w:eastAsia="Arial" w:hAnsi="Arial"/>
                <w:sz w:val="18"/>
                <w:szCs w:val="18"/>
                <w:color w:val="0000EE"/>
                <w:w w:val="86"/>
              </w:rPr>
            </w:pPr>
            <w:hyperlink w:anchor="page128">
              <w:r>
                <w:rPr>
                  <w:rFonts w:ascii="Arial" w:cs="Arial" w:eastAsia="Arial" w:hAnsi="Arial"/>
                  <w:sz w:val="18"/>
                  <w:szCs w:val="18"/>
                  <w:color w:val="0000EE"/>
                  <w:w w:val="86"/>
                </w:rPr>
                <w:t>124</w:t>
              </w:r>
            </w:hyperlink>
          </w:p>
        </w:tc>
      </w:tr>
    </w:tbl>
    <w:p>
      <w:pPr>
        <w:spacing w:after="0" w:line="12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All other schedules are omitted because they are not applicable or not required, or because the required information is included in the Consolidated Financial Statements or notes thereto.</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00"/>
          </w:cols>
          <w:pgMar w:left="240" w:top="125" w:right="25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(3) The following exhibits are incorporated by reference or are set forth on pages to this Form 10-K:</w:t>
      </w:r>
    </w:p>
    <w:p>
      <w:pPr>
        <w:spacing w:after="0" w:line="258"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4980" w:type="dxa"/>
            <w:vAlign w:val="bottom"/>
          </w:tcPr>
          <w:p>
            <w:pPr>
              <w:spacing w:after="0"/>
              <w:rPr>
                <w:sz w:val="14"/>
                <w:szCs w:val="14"/>
                <w:color w:val="auto"/>
              </w:rPr>
            </w:pPr>
          </w:p>
        </w:tc>
        <w:tc>
          <w:tcPr>
            <w:tcW w:w="5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62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Number</w:t>
            </w:r>
          </w:p>
        </w:tc>
        <w:tc>
          <w:tcPr>
            <w:tcW w:w="4980" w:type="dxa"/>
            <w:vAlign w:val="bottom"/>
          </w:tcPr>
          <w:p>
            <w:pPr>
              <w:spacing w:after="0"/>
              <w:rPr>
                <w:sz w:val="13"/>
                <w:szCs w:val="13"/>
                <w:color w:val="auto"/>
              </w:rPr>
            </w:pPr>
          </w:p>
        </w:tc>
        <w:tc>
          <w:tcPr>
            <w:tcW w:w="55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50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20" w:type="dxa"/>
            <w:vAlign w:val="bottom"/>
          </w:tcPr>
          <w:p>
            <w:pPr>
              <w:spacing w:after="0"/>
              <w:rPr>
                <w:sz w:val="24"/>
                <w:szCs w:val="24"/>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89"/>
              </w:rPr>
              <w:t>Securities Exchange and Distribution Agreement between Old FNF and the Registrant, dated as of June 25, 2006, as amended and restated as of</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September 18, 2006 (incorporated by reference to Annex A to the Registrant’s Schedule 14C filed on September 19, 2006 (the “Information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Statement”))</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9"/>
              </w:rPr>
              <w:t>Agreement and Plan of Merger, dated as of May 28, 2013, among Fidelity National Financial, Inc., Lion Merger Sub, Inc. and Lender</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4"/>
              </w:rPr>
              <w:t>Processing Services, Inc. (incorporated by reference to Exhibit 2.1 to Fidelity National Financial, Inc.’s Current Report on Form 8-K, filed 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May 28, 2013)</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4"/>
              </w:rPr>
              <w:t>Form of Fourth Amended and Restated Certificate of Incorporation (incorporated by reference to Annex C to the Registrant’s Schedule 14A</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filed on May 9, 2014)</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Second Amended and Restated Bylaws of Fidelity National Financial, Inc., as adopted on July 22, 2013 (incorporated by reference to Exhibit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3.1 to Fidelity National Financial, Inc.’s Current Report on Form 8-K, dated July 25, 2013)</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2"/>
              </w:rPr>
              <w:t>Supplemental Indenture, dated as of January 2, 2014, among Lender Processing Services, Inc., Fidelity National Financial, Inc., Black Knight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Lending Solutions, Inc. and U.S. Bank National Association, as trustee (incorporated by reference to Exhibit 3.2 to the Registrant’s Quarterly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Report on Form 10-Q for the quarter ended September 30, 2013)</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5"/>
              </w:rPr>
              <w:t>Indenture between the Registrant and The Bank of New York Trust Company, N.A., dated December 8, 2005, relating to the 5.25% notes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referred to below (incorporated by reference to Exhibit 4.1 to the Registrant’s Annual Report on Form 10-K for the year ended December 31,</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80" w:type="dxa"/>
            <w:vAlign w:val="bottom"/>
          </w:tcPr>
          <w:p>
            <w:pPr>
              <w:ind w:left="120"/>
              <w:spacing w:after="0"/>
              <w:rPr>
                <w:sz w:val="20"/>
                <w:szCs w:val="20"/>
                <w:color w:val="auto"/>
              </w:rPr>
            </w:pPr>
            <w:r>
              <w:rPr>
                <w:rFonts w:ascii="Arial" w:cs="Arial" w:eastAsia="Arial" w:hAnsi="Arial"/>
                <w:sz w:val="18"/>
                <w:szCs w:val="18"/>
                <w:color w:val="auto"/>
              </w:rPr>
              <w:t>2005)</w:t>
            </w:r>
          </w:p>
        </w:tc>
        <w:tc>
          <w:tcPr>
            <w:tcW w:w="7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0"/>
              </w:rPr>
              <w:t>First Supplemental Indenture between the Registrant and the Bank of New York Trust Company, N.A., dated as of January 6, 2006 (incorporated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by reference to Exhibit 4.1 to the Registrant’s Current Report on Form 8-K filed on January 24, 2006)</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Second Supplemental Indenture, dated May 5, 2010, between the Registrant and The Bank of New York Mellon Trust Company, N.A., dated as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4"/>
              </w:rPr>
              <w:t>of May 5, 2010, relating to the 6.60% notes referred to below (incorporated by reference to Exhibit 4.1 to the Registrant's Current Report 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Form 8-K filed on May 5, 2010)</w:t>
            </w:r>
          </w:p>
        </w:tc>
        <w:tc>
          <w:tcPr>
            <w:tcW w:w="0" w:type="dxa"/>
            <w:vAlign w:val="bottom"/>
          </w:tcPr>
          <w:p>
            <w:pPr>
              <w:spacing w:after="0"/>
              <w:rPr>
                <w:sz w:val="1"/>
                <w:szCs w:val="1"/>
                <w:color w:val="auto"/>
              </w:rPr>
            </w:pPr>
          </w:p>
        </w:tc>
      </w:tr>
      <w:tr>
        <w:trPr>
          <w:trHeight w:val="472"/>
        </w:trPr>
        <w:tc>
          <w:tcPr>
            <w:tcW w:w="50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120" w:type="dxa"/>
            <w:vAlign w:val="bottom"/>
          </w:tcPr>
          <w:p>
            <w:pPr>
              <w:spacing w:after="0"/>
              <w:rPr>
                <w:sz w:val="24"/>
                <w:szCs w:val="24"/>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7"/>
              </w:rPr>
              <w:t>Form of Subordinated Indenture between the Registrant and the Bank of New York Trust Company, N.A. (incorporated by reference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Exhibit 4.2 (A) to the Registrant’s Registration Statement on Form S-3 filed on November 14, 2007)</w:t>
            </w: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120" w:type="dxa"/>
            <w:vAlign w:val="bottom"/>
          </w:tcPr>
          <w:p>
            <w:pPr>
              <w:spacing w:after="0"/>
              <w:rPr>
                <w:sz w:val="23"/>
                <w:szCs w:val="23"/>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Form of 6.60% Note due 2017 (incorporated by reference to Exhibit 4.3 to the Registrant's Current Report on Form 8-K filed on May 5, 2010)</w:t>
            </w:r>
          </w:p>
        </w:tc>
        <w:tc>
          <w:tcPr>
            <w:tcW w:w="0" w:type="dxa"/>
            <w:vAlign w:val="bottom"/>
          </w:tcPr>
          <w:p>
            <w:pPr>
              <w:spacing w:after="0"/>
              <w:rPr>
                <w:sz w:val="1"/>
                <w:szCs w:val="1"/>
                <w:color w:val="auto"/>
              </w:rPr>
            </w:pPr>
          </w:p>
        </w:tc>
      </w:tr>
      <w:tr>
        <w:trPr>
          <w:trHeight w:val="472"/>
        </w:trPr>
        <w:tc>
          <w:tcPr>
            <w:tcW w:w="50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120" w:type="dxa"/>
            <w:vAlign w:val="bottom"/>
          </w:tcPr>
          <w:p>
            <w:pPr>
              <w:spacing w:after="0"/>
              <w:rPr>
                <w:sz w:val="24"/>
                <w:szCs w:val="24"/>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4"/>
              </w:rPr>
              <w:t>Form of 4.25% Convertible Note due August 2018 (incorporated by reference to Exhibit 4.5 to the Registrant's Current Report on Form 8-K</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filed on August 2, 2011)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7"/>
              </w:rPr>
              <w:t>4.8</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0"/>
              </w:rPr>
              <w:t>Specimen certificate for shares of the Registrant’s FNF Group common stock, par value $0.0001 per Share (incorporated by reference to Exhibit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4.1 to the Registrant’s Registration Statement on Form S-4/A filed on May 5, 2014)</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Amendment and Restatement Agreement dated as of April 16, 2012 to the Credit Agreement among the Registrant, Bank of America, N.A.,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certain agents and other lenders party thereto, dated as of September 12, 2006 (incorporated by reference to Exhibit 10.1 to the Registrant’s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Current Report on Form 8-K filed on April 19, 2012)</w:t>
            </w:r>
          </w:p>
        </w:tc>
        <w:tc>
          <w:tcPr>
            <w:tcW w:w="0" w:type="dxa"/>
            <w:vAlign w:val="bottom"/>
          </w:tcPr>
          <w:p>
            <w:pPr>
              <w:spacing w:after="0"/>
              <w:rPr>
                <w:sz w:val="1"/>
                <w:szCs w:val="1"/>
                <w:color w:val="auto"/>
              </w:rPr>
            </w:pPr>
          </w:p>
        </w:tc>
      </w:tr>
      <w:tr>
        <w:trPr>
          <w:trHeight w:val="472"/>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24"/>
                <w:szCs w:val="24"/>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0"/>
              </w:rPr>
              <w:t>Amendment and Restatement Agreement dated as of March 5, 2010 to the Credit Agreement among the Registrant, Bank of America, N.A., and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certain agents and other lenders party thereto (incorporated by reference to Exhibit 10.1 to the Registrant’s Current Report on Form 8-K filed 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March 10, 2010)</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4"/>
              </w:rPr>
              <w:t>Amended and Restated Fidelity National Financial, Inc. 2005 Omnibus Incentive Plan, effective as of September 26, 2005 (incorporated by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reference to Appendix A to the Registrant’s Schedule 14A filed on April 12, 2013)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2"/>
              </w:rPr>
              <w:t>Bridge Loan Commitment Letter (incorporated by reference to Exhibit 10.1 to the Registrant’s Current Report on Form 8-K filed on October 24,</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80" w:type="dxa"/>
            <w:vAlign w:val="bottom"/>
          </w:tcPr>
          <w:p>
            <w:pPr>
              <w:ind w:left="120"/>
              <w:spacing w:after="0"/>
              <w:rPr>
                <w:sz w:val="20"/>
                <w:szCs w:val="20"/>
                <w:color w:val="auto"/>
              </w:rPr>
            </w:pPr>
            <w:r>
              <w:rPr>
                <w:rFonts w:ascii="Arial" w:cs="Arial" w:eastAsia="Arial" w:hAnsi="Arial"/>
                <w:sz w:val="18"/>
                <w:szCs w:val="18"/>
                <w:color w:val="auto"/>
              </w:rPr>
              <w:t>2014)</w:t>
            </w:r>
          </w:p>
        </w:tc>
        <w:tc>
          <w:tcPr>
            <w:tcW w:w="7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2"/>
              </w:rPr>
              <w:t>Amended Revolving Credit Facility (incorporated by reference to Exhibit 10.2 to the Registrant’s Current Report on Form 8-K filed on October</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80" w:type="dxa"/>
            <w:vAlign w:val="bottom"/>
          </w:tcPr>
          <w:p>
            <w:pPr>
              <w:ind w:left="120"/>
              <w:spacing w:after="0"/>
              <w:rPr>
                <w:sz w:val="20"/>
                <w:szCs w:val="20"/>
                <w:color w:val="auto"/>
              </w:rPr>
            </w:pPr>
            <w:r>
              <w:rPr>
                <w:rFonts w:ascii="Arial" w:cs="Arial" w:eastAsia="Arial" w:hAnsi="Arial"/>
                <w:sz w:val="18"/>
                <w:szCs w:val="18"/>
                <w:color w:val="auto"/>
              </w:rPr>
              <w:t>24, 2014)</w:t>
            </w:r>
          </w:p>
        </w:tc>
        <w:tc>
          <w:tcPr>
            <w:tcW w:w="7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Amended Term Loan Agreement (incorporated by reference to Exhibit 10.3 to the Registrant’s Current Report on Form 8-K filed on October 24,</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980" w:type="dxa"/>
            <w:vAlign w:val="bottom"/>
          </w:tcPr>
          <w:p>
            <w:pPr>
              <w:ind w:left="120"/>
              <w:spacing w:after="0"/>
              <w:rPr>
                <w:sz w:val="20"/>
                <w:szCs w:val="20"/>
                <w:color w:val="auto"/>
              </w:rPr>
            </w:pPr>
            <w:r>
              <w:rPr>
                <w:rFonts w:ascii="Arial" w:cs="Arial" w:eastAsia="Arial" w:hAnsi="Arial"/>
                <w:sz w:val="18"/>
                <w:szCs w:val="18"/>
                <w:color w:val="auto"/>
              </w:rPr>
              <w:t>2014)</w:t>
            </w:r>
          </w:p>
        </w:tc>
        <w:tc>
          <w:tcPr>
            <w:tcW w:w="70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Amendment, dated as of June 25, 2013, to the Second Amended and Restated Credit Agreement, dated as of April 16, 2012, among Fidelity</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9"/>
              </w:rPr>
              <w:t>National Financial, Inc., the lenders party thereto, Bank of America, N.A., as administrative agent, and the other agents party thereto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(incorporated by reference to Registrant’s Current Report on Form 8-K filed on July 12, 2013)</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Term Loan Credit Agreement, dated as of July 11, 2013, among Fidelity National Financial, Inc., the lenders party thereto, Bank of America,</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N.A., as administrative agent, and the other agents party thereto (incorporated by reference to Registrant’s Current Report on Form 8-K filed 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July 12, 2013)</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10.9</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2"/>
              </w:rPr>
              <w:t>Fidelity National Financial, Inc. 2013 Employee Stock Purchase Plan (incorporated by reference to Annex D to the Registrant’s Schedule 14A</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filed on May 9, 2014)(1)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1400"/>
          </w:cols>
          <w:pgMar w:left="240" w:top="125" w:right="259" w:bottom="1440" w:gutter="0" w:footer="0" w:header="0"/>
          <w:type w:val="continuous"/>
        </w:sectPr>
      </w:pPr>
    </w:p>
    <w:bookmarkStart w:id="119" w:name="page120"/>
    <w:bookmarkEnd w:id="1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4980" w:type="dxa"/>
            <w:vAlign w:val="bottom"/>
          </w:tcPr>
          <w:p>
            <w:pPr>
              <w:spacing w:after="0"/>
              <w:rPr>
                <w:sz w:val="14"/>
                <w:szCs w:val="14"/>
                <w:color w:val="auto"/>
              </w:rPr>
            </w:pPr>
          </w:p>
        </w:tc>
        <w:tc>
          <w:tcPr>
            <w:tcW w:w="5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8"/>
        </w:trPr>
        <w:tc>
          <w:tcPr>
            <w:tcW w:w="6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4"/>
              </w:rPr>
              <w:t>Number</w:t>
            </w:r>
          </w:p>
        </w:tc>
        <w:tc>
          <w:tcPr>
            <w:tcW w:w="4980" w:type="dxa"/>
            <w:vAlign w:val="bottom"/>
          </w:tcPr>
          <w:p>
            <w:pPr>
              <w:spacing w:after="0"/>
              <w:rPr>
                <w:sz w:val="13"/>
                <w:szCs w:val="13"/>
                <w:color w:val="auto"/>
              </w:rPr>
            </w:pPr>
          </w:p>
        </w:tc>
        <w:tc>
          <w:tcPr>
            <w:tcW w:w="55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20" w:type="dxa"/>
            <w:vAlign w:val="bottom"/>
          </w:tcPr>
          <w:p>
            <w:pPr>
              <w:spacing w:after="0"/>
              <w:rPr>
                <w:sz w:val="24"/>
                <w:szCs w:val="24"/>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Form of Notice of FNF Group Restricted Stock Grant and FNF Group Restricted Stock Award Agreement under Amended and Restated Fidelity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National Financial, Inc. 2005 Omnibus Incentive Plan for November 2014 Awards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5"/>
              </w:rPr>
              <w:t>Form of Notice of FNF Group Stock Option Award and FNF Group Stock Option Award Agreement under Amended and Restated Fidelity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National Financial, Inc. 2005 Omnibus Incentive Plan for November 2014 Awards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4"/>
              </w:rPr>
              <w:t>Form of Notice of FNFV Group Restricted Stock Grant and FNFV Group Restricted Stock Award Agreement under Amended and Restated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4"/>
              </w:rPr>
              <w:t>Fidelity National Financial, Inc. 2005 Omnibus Incentive Plan for September 2014 Awards (incorporated by reference to Exhibit 10.1 to the</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Registrant’s Quarterly Report on Form 10-Q for the quarter ended September 30, 2014)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Form of Notice of Restricted Stock Grant and FNF Group Restricted Stock Award Agreement under Amended and Restated Fidelity National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2"/>
              </w:rPr>
              <w:t>Financial, Inc. 2005 Omnibus Incentive Plan for November 2013 Awards (incorporated by reference to Exhibit 10.11 to the Registrant’s Annual</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Report on Form 10-K for the year ended December 31, 2013)(1)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Form of Notice of Stock Option Award and Stock Option Award Agreement under Amended and Restated Fidelity National Financial, Inc. 2005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2"/>
              </w:rPr>
              <w:t>Omnibus Incentive Plan for November 2013 Awards (incorporated by reference to Exhibit 10.12 to the Registrant’s Annual Report on Form 10-</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K for the year ended December 31, 2013)(1)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Form of Notice of Restricted Stock Grant and Restricted Stock Award Agreement under Amended and Restated Fidelity National Financial, Inc.</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2005 Omnibus Incentive Plan for October 2012 awards (incorporated by reference to Exhibit 10.6 to the Registrant's Annual Report on Form</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10-K for the year ended December 31, 2012)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Form of Notice of Restricted Stock Grant and Restricted Stock Award Agreement under Amended and Restated Fidelity National Financial, Inc.</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2005 Omnibus Incentive Plan for October 2011 awards (incorporated by reference to Exhibit 10.6 to the Registrant's Annual Report on Form</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10-K for the year ended December 31, 2011)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Form of Notice of Restricted Stock Grant and Restricted Stock Award Agreement under Amended and Restated Fidelity National Financial, Inc.</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2005 Omnibus Incentive Plan for November 2010 awards (incorporated by reference to Exhibit 10.7 to the Registrant's Annual Report on Form</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10-K for the year ended December 31, 2010)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Form of Notice of Restricted Stock Grant and Restricted Stock Award Agreement under Amended and Restated Fidelity National Financial, Inc.</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2005 Omnibus Incentive Plan for November 2009 awards (incorporated by reference to Exhibit 10.6 to the Registrant's Annual Report on Form</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10-K for the year ended December 31, 2009)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2"/>
              </w:rPr>
              <w:t>Form of Notice of Stock Option Grant and Stock Option Award Agreement under Amended and Restated Fidelity National Financial, Inc. 2005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7"/>
              </w:rPr>
              <w:t>Omnibus Incentive Plan (incorporated by reference to Exhibit 10.10 to the Registrant's Annual Report on Form 10-K for the year ended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December 31, 2012)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2"/>
              </w:rPr>
              <w:t>Form of Notice of Stock Option Grant and Stock Option Award Agreement under Amended and Restated Fidelity National Financial, Inc. 2005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8"/>
              </w:rPr>
              <w:t>Omnibus Incentive Plan (incorporated by reference to Exhibit 10.6 to the Registrant’s Annual Report on Form 10-K for the year ended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December 31, 2008)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5"/>
              </w:rPr>
              <w:t>Tax Disaffiliation Agreement by and among Old FNF, the Registrant and FIS, dated as of October 23, 2006 (incorporated by reference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Exhibit 99.1 to Old FNF’s Form 8-K, filed on October 27, 2006)</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Cross-Indemnity Agreement by and between the Registrant and FIS, dated as of October 23, 2006 (incorporated by reference to Exhibit 99.2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FIS’s Form 8-K, filed on October 27, 2006)</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Amended and Restated Employment Agreement between the Registrant and Anthony J. Park, effective as of October 10, 2008 (incorporated by</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reference to Exhibit 10.11 to Registrant’s Annual Report on Form 10-K for the year ended December 31, 2008)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5"/>
              </w:rPr>
              <w:t>Amendment effective February 4, 2010 to Amended and Restated Employment Agreement between the Registrant and Anthony J. Park,</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effective as of October 10, 2008 (incorporated by reference to Exhibit 10.13 to the Registrant's Annual Report on Form 10-K for the year ended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December 31, 2009)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6"/>
              </w:rPr>
              <w:t>Amendment effective as of July 1, 2012 to Amended and Restated Employment Agreement between the Registrant and Brent B. Bickett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7"/>
              </w:rPr>
              <w:t>(incorporated by reference to Exhibit 10.11 to the Registrant’s Quarterly Report on Form 10-Q for the quarter ended June 30, 2012)(1)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Amendment effective as of January 2, 2012 to Amended and Restated Employment Agreement between the Registrant and Brent B. Bickett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7"/>
              </w:rPr>
              <w:t>(incorporated by reference to Exhibit 10.16 to the Registrant’s Annual Report on Form 10-K for the year ended December 31, 2011)(1)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6"/>
              </w:rPr>
              <w:t>Amendment effective February 4, 2010 to Amended and Restated Employment Agreement between the Registrant and Brent B. Bickett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9"/>
              </w:rPr>
              <w:t>(incorporated by reference to Exhibit 10.15 to the Registrant’s Annual Report on Form 10-K for the year ended December 31, 2009)</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10.28</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5"/>
              </w:rPr>
              <w:t>Amended and Restated Employment Agreement between Fidelity National Financial, Inc. and Brent B. Bickett, effective as of July 2, 2008</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7"/>
              </w:rPr>
              <w:t>(incorporated by reference to Exhibit 10.14 to the Registrant’s Annual Report on Form 10-K for the year ended December 31, 2008)(1)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1400"/>
          </w:cols>
          <w:pgMar w:left="240" w:top="125" w:right="259" w:bottom="1440" w:gutter="0" w:footer="0" w:header="0"/>
          <w:type w:val="continuous"/>
        </w:sectPr>
      </w:pPr>
    </w:p>
    <w:bookmarkStart w:id="120" w:name="page121"/>
    <w:bookmarkEnd w:id="1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4880" w:type="dxa"/>
            <w:vAlign w:val="bottom"/>
          </w:tcPr>
          <w:p>
            <w:pPr>
              <w:spacing w:after="0"/>
              <w:rPr>
                <w:sz w:val="14"/>
                <w:szCs w:val="14"/>
                <w:color w:val="auto"/>
              </w:rPr>
            </w:pPr>
          </w:p>
        </w:tc>
        <w:tc>
          <w:tcPr>
            <w:tcW w:w="900" w:type="dxa"/>
            <w:vAlign w:val="bottom"/>
            <w:vMerge w:val="restart"/>
          </w:tcPr>
          <w:p>
            <w:pPr>
              <w:spacing w:after="0"/>
              <w:rPr>
                <w:sz w:val="20"/>
                <w:szCs w:val="20"/>
                <w:color w:val="auto"/>
              </w:rPr>
            </w:pPr>
            <w:r>
              <w:rPr>
                <w:rFonts w:ascii="Arial" w:cs="Arial" w:eastAsia="Arial" w:hAnsi="Arial"/>
                <w:sz w:val="18"/>
                <w:szCs w:val="18"/>
                <w:b w:val="1"/>
                <w:bCs w:val="1"/>
                <w:color w:val="auto"/>
                <w:w w:val="88"/>
              </w:rPr>
              <w:t>Description</w:t>
            </w:r>
          </w:p>
        </w:tc>
        <w:tc>
          <w:tcPr>
            <w:tcW w:w="4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20" w:type="dxa"/>
            <w:vAlign w:val="bottom"/>
            <w:gridSpan w:val="2"/>
          </w:tcPr>
          <w:p>
            <w:pPr>
              <w:jc w:val="center"/>
              <w:ind w:right="120"/>
              <w:spacing w:after="0" w:line="125" w:lineRule="exact"/>
              <w:rPr>
                <w:sz w:val="20"/>
                <w:szCs w:val="20"/>
                <w:color w:val="auto"/>
              </w:rPr>
            </w:pPr>
            <w:r>
              <w:rPr>
                <w:rFonts w:ascii="Arial" w:cs="Arial" w:eastAsia="Arial" w:hAnsi="Arial"/>
                <w:sz w:val="14"/>
                <w:szCs w:val="14"/>
                <w:b w:val="1"/>
                <w:bCs w:val="1"/>
                <w:color w:val="auto"/>
                <w:w w:val="94"/>
              </w:rPr>
              <w:t>Number</w:t>
            </w:r>
          </w:p>
        </w:tc>
        <w:tc>
          <w:tcPr>
            <w:tcW w:w="4880" w:type="dxa"/>
            <w:vAlign w:val="bottom"/>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4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10.29</w:t>
            </w:r>
          </w:p>
        </w:tc>
        <w:tc>
          <w:tcPr>
            <w:tcW w:w="120" w:type="dxa"/>
            <w:vAlign w:val="bottom"/>
          </w:tcPr>
          <w:p>
            <w:pPr>
              <w:spacing w:after="0"/>
              <w:rPr>
                <w:sz w:val="24"/>
                <w:szCs w:val="24"/>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5"/>
              </w:rPr>
              <w:t>Amendment effective August 27, 2013 to Amended and Restated Employment Agreement between BKFS II Management and William P.</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Foley, II, effective as of July 2, 2008 (incorporated by reference to Exhibit 10.9 to Registrant’s Current Report on Form 8-K filed on January 15,</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80" w:type="dxa"/>
            <w:vAlign w:val="bottom"/>
          </w:tcPr>
          <w:p>
            <w:pPr>
              <w:ind w:left="120"/>
              <w:spacing w:after="0"/>
              <w:rPr>
                <w:sz w:val="20"/>
                <w:szCs w:val="20"/>
                <w:color w:val="auto"/>
              </w:rPr>
            </w:pPr>
            <w:r>
              <w:rPr>
                <w:rFonts w:ascii="Arial" w:cs="Arial" w:eastAsia="Arial" w:hAnsi="Arial"/>
                <w:sz w:val="18"/>
                <w:szCs w:val="18"/>
                <w:color w:val="auto"/>
              </w:rPr>
              <w:t>2014) (1)</w:t>
            </w:r>
          </w:p>
        </w:tc>
        <w:tc>
          <w:tcPr>
            <w:tcW w:w="90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10.30</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Amended and Restated Employment Agreement between Fidelity National Financial, Inc. and William P. Foley, II, effective as of January 10,</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2014 (incorporated by reference to Exhibit 10.7 to the Registrant’s Current Report on Form 8-K filed on January 15, 2014)(1)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10.31</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8"/>
              </w:rPr>
              <w:t>Amended and Restated Employment Agreement between the Registrant and Raymond R. Quirk, effective as of October 10, 2008 (1)</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(incorporated by reference to Exhibit 10.16 to Registrant’s Annual Report on Form 10-K for the year ended December 31, 2008)</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10.32</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4"/>
              </w:rPr>
              <w:t>Amendment effective February 4, 2010 to Amended and Restated Employment Agreement between the Registrant and Raymond R. Quirk,</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effective as of October 10, 2008 (incorporated by reference to Exhibit 10.21 to the Registrant's Annual Report on Form 10-K for the year ended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December 31, 2009)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10.33</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0"/>
              </w:rPr>
              <w:t>Amended and Restated Employment Agreement between the Registrant and Michael L. Gravelle, effective as of January 30, 2013 (incorporated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by reference to Exhibit 10.6 to the Registrant's Annual Report on Form 10-K for the year ended December 31, 2012)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10.34</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Fidelity National Title Group, Inc. Annual Incentive Plan (incorporated by reference to Annex B to the Registrant's Schedule 14A filed on April</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80" w:type="dxa"/>
            <w:vAlign w:val="bottom"/>
          </w:tcPr>
          <w:p>
            <w:pPr>
              <w:ind w:left="120"/>
              <w:spacing w:after="0"/>
              <w:rPr>
                <w:sz w:val="20"/>
                <w:szCs w:val="20"/>
                <w:color w:val="auto"/>
              </w:rPr>
            </w:pPr>
            <w:r>
              <w:rPr>
                <w:rFonts w:ascii="Arial" w:cs="Arial" w:eastAsia="Arial" w:hAnsi="Arial"/>
                <w:sz w:val="18"/>
                <w:szCs w:val="18"/>
                <w:color w:val="auto"/>
              </w:rPr>
              <w:t>11, 2011) (1)</w:t>
            </w:r>
          </w:p>
        </w:tc>
        <w:tc>
          <w:tcPr>
            <w:tcW w:w="90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10.35</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Fidelity National Financial, Inc. Deferred Compensation Plan, as amended and restated, effective January 1, 2009 (incorporated by reference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Exhibit 10.18 to the Registrant’s Annual Report on Form 10-K for the year ended December 31, 2008)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10.36</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Amended and Restated Employment Agreement between the Registrant and Peter T. Sadowski, effective as of February 4, 2010 (incorporated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by reference to Exhibit 10.25 to the Registrant's Annual Report on Form 10-K for the year ended December 31, 2012)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10.37</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5"/>
              </w:rPr>
              <w:t>Form of Notice of Long-Term Investment Success Performance Award Agreement - Tier 1 under Amended and Restated Fidelity National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Financial, Inc. 2005 Omnibus Incentive Plan (incorporated by reference to Exhibit 10.3 to the Registrant's Quarterly Report on Form 10-Q for</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the quarter ended March 31, 2013)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10.38</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5"/>
              </w:rPr>
              <w:t>Form of Notice of Long-Term Investment Success Performance Award Agreement - Tier 2 under Amended and Restated Fidelity National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Financial, Inc. 2005 Omnibus Incentive Plan (incorporated by reference to Exhibit 10.3 to the Registrant's Quarterly Report on Form 10-Q for</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the quarter ended March 31, 2013)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10.39</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4"/>
              </w:rPr>
              <w:t>Black Knight Financial Services, LLC 2013 Management Incentive Plan (incorporated by reference to Exhibit 10.1 to the to the Registrant’s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Current Report on Form 8-K filed on January 9, 2014)(1)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10.40</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6"/>
              </w:rPr>
              <w:t>ServiceLink Holdings, LLC 2013 Management Incentive Plan (incorporated by reference to Exhibit 10.2 to the to the Registrant’s Current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Report on Form 8-K filed on January 9, 2014)(1)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10.41</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5"/>
              </w:rPr>
              <w:t>Form of Black Knight Financial Services, LLC Unit Grant Agreement (incorporated by reference to Exhibit 10.3 to the Registrant's Current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Report on Form 8-K filed on January 9, 2014)(1)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10.42</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5"/>
              </w:rPr>
              <w:t>Form of ServiceLink Holdings, LLC Unit Grant Agreement (incorporated by reference to Exhibit 10.4 to the Registrant's Current Report 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Form 8-K filed on January 9, 2014)(1)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10.43</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5"/>
              </w:rPr>
              <w:t>Black Knight Financial Services, LLC Incentive Plan (incorporated by reference to Exhibit 10.5 to the to the Registrant’s Current Report 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Form 8-K filed on January 9, 2014)(1)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10.44</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5"/>
              </w:rPr>
              <w:t>ServiceLink Holdings, LLC Incentive Plan (incorporated by reference to Exhibit 10.6 to the to the Registrant’s Current Report on Form 8-K</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filed on January 9, 2014)(1)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1400"/>
          </w:cols>
          <w:pgMar w:left="240" w:top="125" w:right="259" w:bottom="1440" w:gutter="0" w:footer="0" w:header="0"/>
          <w:type w:val="continuous"/>
        </w:sectPr>
      </w:pPr>
    </w:p>
    <w:bookmarkStart w:id="121" w:name="page122"/>
    <w:bookmarkEnd w:id="12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4880" w:type="dxa"/>
            <w:vAlign w:val="bottom"/>
          </w:tcPr>
          <w:p>
            <w:pPr>
              <w:spacing w:after="0"/>
              <w:rPr>
                <w:sz w:val="14"/>
                <w:szCs w:val="14"/>
                <w:color w:val="auto"/>
              </w:rPr>
            </w:pPr>
          </w:p>
        </w:tc>
        <w:tc>
          <w:tcPr>
            <w:tcW w:w="900" w:type="dxa"/>
            <w:vAlign w:val="bottom"/>
            <w:vMerge w:val="restart"/>
          </w:tcPr>
          <w:p>
            <w:pPr>
              <w:spacing w:after="0"/>
              <w:rPr>
                <w:sz w:val="20"/>
                <w:szCs w:val="20"/>
                <w:color w:val="auto"/>
              </w:rPr>
            </w:pPr>
            <w:r>
              <w:rPr>
                <w:rFonts w:ascii="Arial" w:cs="Arial" w:eastAsia="Arial" w:hAnsi="Arial"/>
                <w:sz w:val="18"/>
                <w:szCs w:val="18"/>
                <w:b w:val="1"/>
                <w:bCs w:val="1"/>
                <w:color w:val="auto"/>
                <w:w w:val="88"/>
              </w:rPr>
              <w:t>Description</w:t>
            </w:r>
          </w:p>
        </w:tc>
        <w:tc>
          <w:tcPr>
            <w:tcW w:w="4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20" w:type="dxa"/>
            <w:vAlign w:val="bottom"/>
            <w:gridSpan w:val="2"/>
          </w:tcPr>
          <w:p>
            <w:pPr>
              <w:jc w:val="center"/>
              <w:ind w:right="120"/>
              <w:spacing w:after="0" w:line="125" w:lineRule="exact"/>
              <w:rPr>
                <w:sz w:val="20"/>
                <w:szCs w:val="20"/>
                <w:color w:val="auto"/>
              </w:rPr>
            </w:pPr>
            <w:r>
              <w:rPr>
                <w:rFonts w:ascii="Arial" w:cs="Arial" w:eastAsia="Arial" w:hAnsi="Arial"/>
                <w:sz w:val="14"/>
                <w:szCs w:val="14"/>
                <w:b w:val="1"/>
                <w:bCs w:val="1"/>
                <w:color w:val="auto"/>
                <w:w w:val="94"/>
              </w:rPr>
              <w:t>Number</w:t>
            </w:r>
          </w:p>
        </w:tc>
        <w:tc>
          <w:tcPr>
            <w:tcW w:w="4880" w:type="dxa"/>
            <w:vAlign w:val="bottom"/>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4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0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20" w:type="dxa"/>
            <w:vAlign w:val="bottom"/>
          </w:tcPr>
          <w:p>
            <w:pPr>
              <w:spacing w:after="0"/>
              <w:rPr>
                <w:sz w:val="21"/>
                <w:szCs w:val="21"/>
                <w:color w:val="auto"/>
              </w:rPr>
            </w:pPr>
          </w:p>
        </w:tc>
        <w:tc>
          <w:tcPr>
            <w:tcW w:w="10540" w:type="dxa"/>
            <w:vAlign w:val="bottom"/>
            <w:gridSpan w:val="3"/>
          </w:tcPr>
          <w:p>
            <w:pPr>
              <w:ind w:left="120"/>
              <w:spacing w:after="0"/>
              <w:rPr>
                <w:sz w:val="20"/>
                <w:szCs w:val="20"/>
                <w:color w:val="auto"/>
              </w:rPr>
            </w:pPr>
            <w:r>
              <w:rPr>
                <w:rFonts w:ascii="Arial" w:cs="Arial" w:eastAsia="Arial" w:hAnsi="Arial"/>
                <w:sz w:val="18"/>
                <w:szCs w:val="18"/>
                <w:color w:val="auto"/>
              </w:rPr>
              <w:t>Subsidiaries of the Registrant</w:t>
            </w: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20" w:type="dxa"/>
            <w:vAlign w:val="bottom"/>
          </w:tcPr>
          <w:p>
            <w:pPr>
              <w:spacing w:after="0"/>
              <w:rPr>
                <w:sz w:val="23"/>
                <w:szCs w:val="23"/>
                <w:color w:val="auto"/>
              </w:rPr>
            </w:pPr>
          </w:p>
        </w:tc>
        <w:tc>
          <w:tcPr>
            <w:tcW w:w="10540" w:type="dxa"/>
            <w:vAlign w:val="bottom"/>
            <w:gridSpan w:val="3"/>
          </w:tcPr>
          <w:p>
            <w:pPr>
              <w:ind w:left="120"/>
              <w:spacing w:after="0"/>
              <w:rPr>
                <w:sz w:val="20"/>
                <w:szCs w:val="20"/>
                <w:color w:val="auto"/>
              </w:rPr>
            </w:pPr>
            <w:r>
              <w:rPr>
                <w:rFonts w:ascii="Arial" w:cs="Arial" w:eastAsia="Arial" w:hAnsi="Arial"/>
                <w:sz w:val="18"/>
                <w:szCs w:val="18"/>
                <w:color w:val="auto"/>
              </w:rPr>
              <w:t>Consent of KPMG LLP, Independent Registered Public Accounting Firm</w:t>
            </w: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3"/>
                <w:szCs w:val="23"/>
                <w:color w:val="auto"/>
              </w:rPr>
            </w:pPr>
          </w:p>
        </w:tc>
        <w:tc>
          <w:tcPr>
            <w:tcW w:w="10540" w:type="dxa"/>
            <w:vAlign w:val="bottom"/>
            <w:gridSpan w:val="3"/>
          </w:tcPr>
          <w:p>
            <w:pPr>
              <w:ind w:left="12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3"/>
                <w:szCs w:val="23"/>
                <w:color w:val="auto"/>
              </w:rPr>
            </w:pPr>
          </w:p>
        </w:tc>
        <w:tc>
          <w:tcPr>
            <w:tcW w:w="10540" w:type="dxa"/>
            <w:vAlign w:val="bottom"/>
            <w:gridSpan w:val="3"/>
          </w:tcPr>
          <w:p>
            <w:pPr>
              <w:ind w:left="12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2"/>
                <w:szCs w:val="22"/>
                <w:color w:val="auto"/>
              </w:rPr>
            </w:pPr>
          </w:p>
        </w:tc>
        <w:tc>
          <w:tcPr>
            <w:tcW w:w="10540" w:type="dxa"/>
            <w:vAlign w:val="bottom"/>
            <w:gridSpan w:val="3"/>
          </w:tcPr>
          <w:p>
            <w:pPr>
              <w:ind w:left="120"/>
              <w:spacing w:after="0"/>
              <w:rPr>
                <w:sz w:val="20"/>
                <w:szCs w:val="20"/>
                <w:color w:val="auto"/>
              </w:rPr>
            </w:pPr>
            <w:r>
              <w:rPr>
                <w:rFonts w:ascii="Arial" w:cs="Arial" w:eastAsia="Arial" w:hAnsi="Arial"/>
                <w:sz w:val="18"/>
                <w:szCs w:val="18"/>
                <w:color w:val="auto"/>
                <w:w w:val="94"/>
              </w:rPr>
              <w:t>Certification by Chief Executive Officer of Periodic Financial Reports pursuant to Section 906 of the Sarbanes-Oxley Act of 2002, 18 U.S.C.</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40" w:type="dxa"/>
            <w:vAlign w:val="bottom"/>
            <w:gridSpan w:val="3"/>
          </w:tcPr>
          <w:p>
            <w:pPr>
              <w:ind w:left="120"/>
              <w:spacing w:after="0"/>
              <w:rPr>
                <w:sz w:val="20"/>
                <w:szCs w:val="20"/>
                <w:color w:val="auto"/>
              </w:rPr>
            </w:pPr>
            <w:r>
              <w:rPr>
                <w:rFonts w:ascii="Arial" w:cs="Arial" w:eastAsia="Arial" w:hAnsi="Arial"/>
                <w:sz w:val="18"/>
                <w:szCs w:val="18"/>
                <w:color w:val="auto"/>
              </w:rPr>
              <w:t>Section 1350</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20" w:type="dxa"/>
            <w:vAlign w:val="bottom"/>
          </w:tcPr>
          <w:p>
            <w:pPr>
              <w:spacing w:after="0"/>
              <w:rPr>
                <w:sz w:val="22"/>
                <w:szCs w:val="22"/>
                <w:color w:val="auto"/>
              </w:rPr>
            </w:pPr>
          </w:p>
        </w:tc>
        <w:tc>
          <w:tcPr>
            <w:tcW w:w="10540" w:type="dxa"/>
            <w:vAlign w:val="bottom"/>
            <w:gridSpan w:val="3"/>
          </w:tcPr>
          <w:p>
            <w:pPr>
              <w:ind w:left="120"/>
              <w:spacing w:after="0"/>
              <w:rPr>
                <w:sz w:val="20"/>
                <w:szCs w:val="20"/>
                <w:color w:val="auto"/>
              </w:rPr>
            </w:pPr>
            <w:r>
              <w:rPr>
                <w:rFonts w:ascii="Arial" w:cs="Arial" w:eastAsia="Arial" w:hAnsi="Arial"/>
                <w:sz w:val="18"/>
                <w:szCs w:val="18"/>
                <w:color w:val="auto"/>
                <w:w w:val="94"/>
              </w:rPr>
              <w:t>Certification by Chief Financial Officer of Periodic Financial Reports pursuant to Section 906 of the Sarbanes-Oxley Act of 2002, 18 U.S.C.</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40" w:type="dxa"/>
            <w:vAlign w:val="bottom"/>
            <w:gridSpan w:val="3"/>
          </w:tcPr>
          <w:p>
            <w:pPr>
              <w:ind w:left="120"/>
              <w:spacing w:after="0"/>
              <w:rPr>
                <w:sz w:val="20"/>
                <w:szCs w:val="20"/>
                <w:color w:val="auto"/>
              </w:rPr>
            </w:pPr>
            <w:r>
              <w:rPr>
                <w:rFonts w:ascii="Arial" w:cs="Arial" w:eastAsia="Arial" w:hAnsi="Arial"/>
                <w:sz w:val="18"/>
                <w:szCs w:val="18"/>
                <w:color w:val="auto"/>
              </w:rPr>
              <w:t>Section 1350</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 management or compensatory plan or arrangement required to be filed as an exhibit to this report pursuant to Item 15(c) of Form 10-K</w:t>
      </w:r>
    </w:p>
    <w:p>
      <w:pPr>
        <w:spacing w:after="0" w:line="200" w:lineRule="exact"/>
        <w:rPr>
          <w:rFonts w:ascii="Arial" w:cs="Arial" w:eastAsia="Arial" w:hAnsi="Arial"/>
          <w:sz w:val="17"/>
          <w:szCs w:val="17"/>
          <w:color w:val="auto"/>
        </w:rPr>
      </w:pPr>
    </w:p>
    <w:p>
      <w:pPr>
        <w:spacing w:after="0" w:line="279"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8"/>
          <w:szCs w:val="18"/>
          <w:color w:val="auto"/>
        </w:rPr>
        <w:t>117</w:t>
      </w:r>
    </w:p>
    <w:p>
      <w:pPr>
        <w:sectPr>
          <w:pgSz w:w="11900" w:h="16838" w:orient="portrait"/>
          <w:cols w:equalWidth="0" w:num="1">
            <w:col w:w="11380"/>
          </w:cols>
          <w:pgMar w:left="240" w:top="125" w:right="27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Fidelity National Financial, Inc.</w:t>
      </w:r>
    </w:p>
    <w:p>
      <w:pPr>
        <w:spacing w:after="0" w:line="63" w:lineRule="exact"/>
        <w:rPr>
          <w:sz w:val="20"/>
          <w:szCs w:val="20"/>
          <w:color w:val="auto"/>
        </w:rPr>
      </w:pPr>
    </w:p>
    <w:p>
      <w:pPr>
        <w:ind w:left="6320"/>
        <w:spacing w:after="0"/>
        <w:tabs>
          <w:tab w:leader="none" w:pos="7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31750</wp:posOffset>
            </wp:positionV>
            <wp:extent cx="23755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57"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Raymond R. Quirk</w:t>
      </w:r>
    </w:p>
    <w:p>
      <w:pPr>
        <w:spacing w:after="0" w:line="63" w:lineRule="exact"/>
        <w:rPr>
          <w:sz w:val="20"/>
          <w:szCs w:val="20"/>
          <w:color w:val="auto"/>
        </w:rPr>
      </w:pPr>
    </w:p>
    <w:p>
      <w:pPr>
        <w:jc w:val="center"/>
        <w:ind w:left="5820"/>
        <w:spacing w:after="0"/>
        <w:rPr>
          <w:sz w:val="20"/>
          <w:szCs w:val="20"/>
          <w:color w:val="auto"/>
        </w:rPr>
      </w:pPr>
      <w:r>
        <w:rPr>
          <w:rFonts w:ascii="Arial" w:cs="Arial" w:eastAsia="Arial" w:hAnsi="Arial"/>
          <w:sz w:val="18"/>
          <w:szCs w:val="18"/>
          <w:color w:val="auto"/>
        </w:rPr>
        <w:t>Chief Executive Officer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2015</w:t>
      </w:r>
    </w:p>
    <w:p>
      <w:pPr>
        <w:spacing w:after="0" w:line="266" w:lineRule="exact"/>
        <w:rPr>
          <w:sz w:val="20"/>
          <w:szCs w:val="20"/>
          <w:color w:val="auto"/>
        </w:rPr>
      </w:pPr>
    </w:p>
    <w:p>
      <w:pPr>
        <w:ind w:left="40" w:right="680" w:firstLine="27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460" w:type="dxa"/>
            <w:vAlign w:val="bottom"/>
          </w:tcPr>
          <w:p>
            <w:pPr>
              <w:spacing w:after="0"/>
              <w:rPr>
                <w:sz w:val="14"/>
                <w:szCs w:val="14"/>
                <w:color w:val="auto"/>
              </w:rPr>
            </w:pPr>
          </w:p>
        </w:tc>
        <w:tc>
          <w:tcPr>
            <w:tcW w:w="5240" w:type="dxa"/>
            <w:vAlign w:val="bottom"/>
            <w:gridSpan w:val="3"/>
          </w:tcPr>
          <w:p>
            <w:pPr>
              <w:jc w:val="center"/>
              <w:ind w:left="191"/>
              <w:spacing w:after="0"/>
              <w:rPr>
                <w:sz w:val="20"/>
                <w:szCs w:val="20"/>
                <w:color w:val="auto"/>
              </w:rPr>
            </w:pPr>
            <w:r>
              <w:rPr>
                <w:rFonts w:ascii="Arial" w:cs="Arial" w:eastAsia="Arial" w:hAnsi="Arial"/>
                <w:sz w:val="14"/>
                <w:szCs w:val="14"/>
                <w:b w:val="1"/>
                <w:bCs w:val="1"/>
                <w:color w:val="auto"/>
                <w:w w:val="97"/>
              </w:rPr>
              <w:t>Title</w:t>
            </w:r>
          </w:p>
        </w:tc>
        <w:tc>
          <w:tcPr>
            <w:tcW w:w="1860" w:type="dxa"/>
            <w:vAlign w:val="bottom"/>
            <w:gridSpan w:val="3"/>
          </w:tcPr>
          <w:p>
            <w:pPr>
              <w:jc w:val="center"/>
              <w:ind w:left="711"/>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85"/>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2"/>
              </w:rPr>
              <w:t>/s/ Raymond R. Quirk</w:t>
            </w:r>
          </w:p>
        </w:tc>
        <w:tc>
          <w:tcPr>
            <w:tcW w:w="5240" w:type="dxa"/>
            <w:vAlign w:val="bottom"/>
            <w:gridSpan w:val="3"/>
          </w:tcPr>
          <w:p>
            <w:pPr>
              <w:jc w:val="center"/>
              <w:ind w:left="191"/>
              <w:spacing w:after="0"/>
              <w:rPr>
                <w:sz w:val="20"/>
                <w:szCs w:val="20"/>
                <w:color w:val="auto"/>
              </w:rPr>
            </w:pPr>
            <w:r>
              <w:rPr>
                <w:rFonts w:ascii="Arial" w:cs="Arial" w:eastAsia="Arial" w:hAnsi="Arial"/>
                <w:sz w:val="18"/>
                <w:szCs w:val="18"/>
                <w:color w:val="auto"/>
                <w:w w:val="93"/>
              </w:rPr>
              <w:t>Chief Executive Officer</w:t>
            </w:r>
          </w:p>
        </w:tc>
        <w:tc>
          <w:tcPr>
            <w:tcW w:w="1860" w:type="dxa"/>
            <w:vAlign w:val="bottom"/>
            <w:gridSpan w:val="3"/>
          </w:tcPr>
          <w:p>
            <w:pPr>
              <w:jc w:val="center"/>
              <w:ind w:left="711"/>
              <w:spacing w:after="0"/>
              <w:rPr>
                <w:sz w:val="20"/>
                <w:szCs w:val="20"/>
                <w:color w:val="auto"/>
              </w:rPr>
            </w:pPr>
            <w:r>
              <w:rPr>
                <w:rFonts w:ascii="Arial" w:cs="Arial" w:eastAsia="Arial" w:hAnsi="Arial"/>
                <w:sz w:val="18"/>
                <w:szCs w:val="18"/>
                <w:color w:val="auto"/>
                <w:w w:val="92"/>
              </w:rPr>
              <w:t>March 2, 2015</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3"/>
              </w:rPr>
              <w:t>Raymond R. Quirk</w:t>
            </w:r>
          </w:p>
        </w:tc>
        <w:tc>
          <w:tcPr>
            <w:tcW w:w="5240" w:type="dxa"/>
            <w:vAlign w:val="bottom"/>
            <w:gridSpan w:val="3"/>
          </w:tcPr>
          <w:p>
            <w:pPr>
              <w:jc w:val="center"/>
              <w:ind w:left="171"/>
              <w:spacing w:after="0"/>
              <w:rPr>
                <w:sz w:val="20"/>
                <w:szCs w:val="20"/>
                <w:color w:val="auto"/>
              </w:rPr>
            </w:pPr>
            <w:r>
              <w:rPr>
                <w:rFonts w:ascii="Arial" w:cs="Arial" w:eastAsia="Arial" w:hAnsi="Arial"/>
                <w:sz w:val="18"/>
                <w:szCs w:val="18"/>
                <w:color w:val="auto"/>
                <w:w w:val="94"/>
              </w:rPr>
              <w:t>(Principal Executive Officer)</w:t>
            </w: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/s/ Anthony J. Park</w:t>
            </w:r>
          </w:p>
        </w:tc>
        <w:tc>
          <w:tcPr>
            <w:tcW w:w="5240" w:type="dxa"/>
            <w:vAlign w:val="bottom"/>
            <w:gridSpan w:val="3"/>
          </w:tcPr>
          <w:p>
            <w:pPr>
              <w:jc w:val="center"/>
              <w:ind w:left="191"/>
              <w:spacing w:after="0"/>
              <w:rPr>
                <w:sz w:val="20"/>
                <w:szCs w:val="20"/>
                <w:color w:val="auto"/>
              </w:rPr>
            </w:pPr>
            <w:r>
              <w:rPr>
                <w:rFonts w:ascii="Arial" w:cs="Arial" w:eastAsia="Arial" w:hAnsi="Arial"/>
                <w:sz w:val="18"/>
                <w:szCs w:val="18"/>
                <w:color w:val="auto"/>
                <w:w w:val="94"/>
              </w:rPr>
              <w:t>Chief Financial Officer</w:t>
            </w:r>
          </w:p>
        </w:tc>
        <w:tc>
          <w:tcPr>
            <w:tcW w:w="1860" w:type="dxa"/>
            <w:vAlign w:val="bottom"/>
            <w:gridSpan w:val="3"/>
          </w:tcPr>
          <w:p>
            <w:pPr>
              <w:jc w:val="center"/>
              <w:ind w:left="711"/>
              <w:spacing w:after="0"/>
              <w:rPr>
                <w:sz w:val="20"/>
                <w:szCs w:val="20"/>
                <w:color w:val="auto"/>
              </w:rPr>
            </w:pPr>
            <w:r>
              <w:rPr>
                <w:rFonts w:ascii="Arial" w:cs="Arial" w:eastAsia="Arial" w:hAnsi="Arial"/>
                <w:sz w:val="18"/>
                <w:szCs w:val="18"/>
                <w:color w:val="auto"/>
                <w:w w:val="92"/>
              </w:rPr>
              <w:t>March 2, 2015</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1"/>
              </w:rPr>
              <w:t>Anthony J. Park</w:t>
            </w:r>
          </w:p>
        </w:tc>
        <w:tc>
          <w:tcPr>
            <w:tcW w:w="5240" w:type="dxa"/>
            <w:vAlign w:val="bottom"/>
            <w:gridSpan w:val="3"/>
          </w:tcPr>
          <w:p>
            <w:pPr>
              <w:jc w:val="center"/>
              <w:ind w:left="191"/>
              <w:spacing w:after="0"/>
              <w:rPr>
                <w:sz w:val="20"/>
                <w:szCs w:val="20"/>
                <w:color w:val="auto"/>
              </w:rPr>
            </w:pPr>
            <w:r>
              <w:rPr>
                <w:rFonts w:ascii="Arial" w:cs="Arial" w:eastAsia="Arial" w:hAnsi="Arial"/>
                <w:sz w:val="18"/>
                <w:szCs w:val="18"/>
                <w:color w:val="auto"/>
                <w:w w:val="93"/>
              </w:rPr>
              <w:t>(Principal Financial and Accounting Officer)</w:t>
            </w: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4"/>
              </w:rPr>
              <w:t>/s/ William P. Foley, II</w:t>
            </w:r>
          </w:p>
        </w:tc>
        <w:tc>
          <w:tcPr>
            <w:tcW w:w="5240" w:type="dxa"/>
            <w:vAlign w:val="bottom"/>
            <w:gridSpan w:val="3"/>
          </w:tcPr>
          <w:p>
            <w:pPr>
              <w:jc w:val="center"/>
              <w:ind w:left="191"/>
              <w:spacing w:after="0"/>
              <w:rPr>
                <w:sz w:val="20"/>
                <w:szCs w:val="20"/>
                <w:color w:val="auto"/>
              </w:rPr>
            </w:pPr>
            <w:r>
              <w:rPr>
                <w:rFonts w:ascii="Arial" w:cs="Arial" w:eastAsia="Arial" w:hAnsi="Arial"/>
                <w:sz w:val="18"/>
                <w:szCs w:val="18"/>
                <w:color w:val="auto"/>
                <w:w w:val="91"/>
              </w:rPr>
              <w:t>Director and Executive Chairman of the Board</w:t>
            </w:r>
          </w:p>
        </w:tc>
        <w:tc>
          <w:tcPr>
            <w:tcW w:w="1860" w:type="dxa"/>
            <w:vAlign w:val="bottom"/>
            <w:gridSpan w:val="3"/>
          </w:tcPr>
          <w:p>
            <w:pPr>
              <w:jc w:val="center"/>
              <w:ind w:left="711"/>
              <w:spacing w:after="0"/>
              <w:rPr>
                <w:sz w:val="20"/>
                <w:szCs w:val="20"/>
                <w:color w:val="auto"/>
              </w:rPr>
            </w:pPr>
            <w:r>
              <w:rPr>
                <w:rFonts w:ascii="Arial" w:cs="Arial" w:eastAsia="Arial" w:hAnsi="Arial"/>
                <w:sz w:val="18"/>
                <w:szCs w:val="18"/>
                <w:color w:val="auto"/>
                <w:w w:val="92"/>
              </w:rPr>
              <w:t>March 2, 2015</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3"/>
              </w:rPr>
              <w:t>William P. Foley, II</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/s/ Douglas K. Ammerman</w:t>
            </w:r>
          </w:p>
        </w:tc>
        <w:tc>
          <w:tcPr>
            <w:tcW w:w="5240" w:type="dxa"/>
            <w:vAlign w:val="bottom"/>
            <w:gridSpan w:val="3"/>
          </w:tcPr>
          <w:p>
            <w:pPr>
              <w:jc w:val="center"/>
              <w:ind w:left="191"/>
              <w:spacing w:after="0"/>
              <w:rPr>
                <w:sz w:val="20"/>
                <w:szCs w:val="20"/>
                <w:color w:val="auto"/>
              </w:rPr>
            </w:pPr>
            <w:r>
              <w:rPr>
                <w:rFonts w:ascii="Arial" w:cs="Arial" w:eastAsia="Arial" w:hAnsi="Arial"/>
                <w:sz w:val="18"/>
                <w:szCs w:val="18"/>
                <w:color w:val="auto"/>
                <w:w w:val="95"/>
              </w:rPr>
              <w:t>Director</w:t>
            </w:r>
          </w:p>
        </w:tc>
        <w:tc>
          <w:tcPr>
            <w:tcW w:w="1860" w:type="dxa"/>
            <w:vAlign w:val="bottom"/>
            <w:gridSpan w:val="3"/>
          </w:tcPr>
          <w:p>
            <w:pPr>
              <w:jc w:val="center"/>
              <w:ind w:left="711"/>
              <w:spacing w:after="0"/>
              <w:rPr>
                <w:sz w:val="20"/>
                <w:szCs w:val="20"/>
                <w:color w:val="auto"/>
              </w:rPr>
            </w:pPr>
            <w:r>
              <w:rPr>
                <w:rFonts w:ascii="Arial" w:cs="Arial" w:eastAsia="Arial" w:hAnsi="Arial"/>
                <w:sz w:val="18"/>
                <w:szCs w:val="18"/>
                <w:color w:val="auto"/>
                <w:w w:val="92"/>
              </w:rPr>
              <w:t>March 2, 2015</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2"/>
              </w:rPr>
              <w:t>Douglas K. Ammerman</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7"/>
              </w:rPr>
              <w:t>/s/ Willie D. Davis</w:t>
            </w:r>
          </w:p>
        </w:tc>
        <w:tc>
          <w:tcPr>
            <w:tcW w:w="5240" w:type="dxa"/>
            <w:vAlign w:val="bottom"/>
            <w:gridSpan w:val="3"/>
          </w:tcPr>
          <w:p>
            <w:pPr>
              <w:jc w:val="center"/>
              <w:ind w:left="191"/>
              <w:spacing w:after="0"/>
              <w:rPr>
                <w:sz w:val="20"/>
                <w:szCs w:val="20"/>
                <w:color w:val="auto"/>
              </w:rPr>
            </w:pPr>
            <w:r>
              <w:rPr>
                <w:rFonts w:ascii="Arial" w:cs="Arial" w:eastAsia="Arial" w:hAnsi="Arial"/>
                <w:sz w:val="18"/>
                <w:szCs w:val="18"/>
                <w:color w:val="auto"/>
                <w:w w:val="95"/>
              </w:rPr>
              <w:t>Director</w:t>
            </w:r>
          </w:p>
        </w:tc>
        <w:tc>
          <w:tcPr>
            <w:tcW w:w="1860" w:type="dxa"/>
            <w:vAlign w:val="bottom"/>
            <w:gridSpan w:val="3"/>
          </w:tcPr>
          <w:p>
            <w:pPr>
              <w:jc w:val="center"/>
              <w:ind w:left="711"/>
              <w:spacing w:after="0"/>
              <w:rPr>
                <w:sz w:val="20"/>
                <w:szCs w:val="20"/>
                <w:color w:val="auto"/>
              </w:rPr>
            </w:pPr>
            <w:r>
              <w:rPr>
                <w:rFonts w:ascii="Arial" w:cs="Arial" w:eastAsia="Arial" w:hAnsi="Arial"/>
                <w:sz w:val="18"/>
                <w:szCs w:val="18"/>
                <w:color w:val="auto"/>
                <w:w w:val="92"/>
              </w:rPr>
              <w:t>March 2, 2015</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6"/>
              </w:rPr>
              <w:t>Willie D. Davis</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/s/ Thomas M. Hagerty</w:t>
            </w:r>
          </w:p>
        </w:tc>
        <w:tc>
          <w:tcPr>
            <w:tcW w:w="5240" w:type="dxa"/>
            <w:vAlign w:val="bottom"/>
            <w:gridSpan w:val="3"/>
          </w:tcPr>
          <w:p>
            <w:pPr>
              <w:jc w:val="center"/>
              <w:ind w:left="191"/>
              <w:spacing w:after="0"/>
              <w:rPr>
                <w:sz w:val="20"/>
                <w:szCs w:val="20"/>
                <w:color w:val="auto"/>
              </w:rPr>
            </w:pPr>
            <w:r>
              <w:rPr>
                <w:rFonts w:ascii="Arial" w:cs="Arial" w:eastAsia="Arial" w:hAnsi="Arial"/>
                <w:sz w:val="18"/>
                <w:szCs w:val="18"/>
                <w:color w:val="auto"/>
                <w:w w:val="95"/>
              </w:rPr>
              <w:t>Director</w:t>
            </w:r>
          </w:p>
        </w:tc>
        <w:tc>
          <w:tcPr>
            <w:tcW w:w="1860" w:type="dxa"/>
            <w:vAlign w:val="bottom"/>
            <w:gridSpan w:val="3"/>
          </w:tcPr>
          <w:p>
            <w:pPr>
              <w:jc w:val="center"/>
              <w:ind w:left="711"/>
              <w:spacing w:after="0"/>
              <w:rPr>
                <w:sz w:val="20"/>
                <w:szCs w:val="20"/>
                <w:color w:val="auto"/>
              </w:rPr>
            </w:pPr>
            <w:r>
              <w:rPr>
                <w:rFonts w:ascii="Arial" w:cs="Arial" w:eastAsia="Arial" w:hAnsi="Arial"/>
                <w:sz w:val="18"/>
                <w:szCs w:val="18"/>
                <w:color w:val="auto"/>
                <w:w w:val="92"/>
              </w:rPr>
              <w:t>March 2, 2015</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2"/>
              </w:rPr>
              <w:t>Thomas M. Hagerty</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5"/>
              </w:rPr>
              <w:t>/s/ Daniel D. (Ron) Lane</w:t>
            </w:r>
          </w:p>
        </w:tc>
        <w:tc>
          <w:tcPr>
            <w:tcW w:w="5240" w:type="dxa"/>
            <w:vAlign w:val="bottom"/>
            <w:gridSpan w:val="3"/>
          </w:tcPr>
          <w:p>
            <w:pPr>
              <w:jc w:val="center"/>
              <w:ind w:left="191"/>
              <w:spacing w:after="0"/>
              <w:rPr>
                <w:sz w:val="20"/>
                <w:szCs w:val="20"/>
                <w:color w:val="auto"/>
              </w:rPr>
            </w:pPr>
            <w:r>
              <w:rPr>
                <w:rFonts w:ascii="Arial" w:cs="Arial" w:eastAsia="Arial" w:hAnsi="Arial"/>
                <w:sz w:val="18"/>
                <w:szCs w:val="18"/>
                <w:color w:val="auto"/>
                <w:w w:val="95"/>
              </w:rPr>
              <w:t>Director</w:t>
            </w:r>
          </w:p>
        </w:tc>
        <w:tc>
          <w:tcPr>
            <w:tcW w:w="1860" w:type="dxa"/>
            <w:vAlign w:val="bottom"/>
            <w:gridSpan w:val="3"/>
          </w:tcPr>
          <w:p>
            <w:pPr>
              <w:jc w:val="center"/>
              <w:ind w:left="711"/>
              <w:spacing w:after="0"/>
              <w:rPr>
                <w:sz w:val="20"/>
                <w:szCs w:val="20"/>
                <w:color w:val="auto"/>
              </w:rPr>
            </w:pPr>
            <w:r>
              <w:rPr>
                <w:rFonts w:ascii="Arial" w:cs="Arial" w:eastAsia="Arial" w:hAnsi="Arial"/>
                <w:sz w:val="18"/>
                <w:szCs w:val="18"/>
                <w:color w:val="auto"/>
                <w:w w:val="92"/>
              </w:rPr>
              <w:t>March 2, 2015</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2"/>
              </w:rPr>
              <w:t>Daniel D. (Ron) Lane</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/s/ Richard N. Massey</w:t>
            </w:r>
          </w:p>
        </w:tc>
        <w:tc>
          <w:tcPr>
            <w:tcW w:w="5240" w:type="dxa"/>
            <w:vAlign w:val="bottom"/>
            <w:gridSpan w:val="3"/>
          </w:tcPr>
          <w:p>
            <w:pPr>
              <w:jc w:val="center"/>
              <w:ind w:left="191"/>
              <w:spacing w:after="0"/>
              <w:rPr>
                <w:sz w:val="20"/>
                <w:szCs w:val="20"/>
                <w:color w:val="auto"/>
              </w:rPr>
            </w:pPr>
            <w:r>
              <w:rPr>
                <w:rFonts w:ascii="Arial" w:cs="Arial" w:eastAsia="Arial" w:hAnsi="Arial"/>
                <w:sz w:val="18"/>
                <w:szCs w:val="18"/>
                <w:color w:val="auto"/>
                <w:w w:val="95"/>
              </w:rPr>
              <w:t>Director</w:t>
            </w:r>
          </w:p>
        </w:tc>
        <w:tc>
          <w:tcPr>
            <w:tcW w:w="1860" w:type="dxa"/>
            <w:vAlign w:val="bottom"/>
            <w:gridSpan w:val="3"/>
          </w:tcPr>
          <w:p>
            <w:pPr>
              <w:jc w:val="center"/>
              <w:ind w:left="711"/>
              <w:spacing w:after="0"/>
              <w:rPr>
                <w:sz w:val="20"/>
                <w:szCs w:val="20"/>
                <w:color w:val="auto"/>
              </w:rPr>
            </w:pPr>
            <w:r>
              <w:rPr>
                <w:rFonts w:ascii="Arial" w:cs="Arial" w:eastAsia="Arial" w:hAnsi="Arial"/>
                <w:sz w:val="18"/>
                <w:szCs w:val="18"/>
                <w:color w:val="auto"/>
                <w:w w:val="92"/>
              </w:rPr>
              <w:t>March 2, 2015</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0"/>
              </w:rPr>
              <w:t>Richard N. Massey</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540"/>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/s/ John D. Rood</w:t>
            </w:r>
          </w:p>
        </w:tc>
        <w:tc>
          <w:tcPr>
            <w:tcW w:w="5240" w:type="dxa"/>
            <w:vAlign w:val="bottom"/>
            <w:gridSpan w:val="3"/>
          </w:tcPr>
          <w:p>
            <w:pPr>
              <w:jc w:val="center"/>
              <w:ind w:left="191"/>
              <w:spacing w:after="0"/>
              <w:rPr>
                <w:sz w:val="20"/>
                <w:szCs w:val="20"/>
                <w:color w:val="auto"/>
              </w:rPr>
            </w:pPr>
            <w:r>
              <w:rPr>
                <w:rFonts w:ascii="Arial" w:cs="Arial" w:eastAsia="Arial" w:hAnsi="Arial"/>
                <w:sz w:val="18"/>
                <w:szCs w:val="18"/>
                <w:color w:val="auto"/>
                <w:w w:val="95"/>
              </w:rPr>
              <w:t>Director</w:t>
            </w:r>
          </w:p>
        </w:tc>
        <w:tc>
          <w:tcPr>
            <w:tcW w:w="1860" w:type="dxa"/>
            <w:vAlign w:val="bottom"/>
            <w:gridSpan w:val="3"/>
          </w:tcPr>
          <w:p>
            <w:pPr>
              <w:jc w:val="center"/>
              <w:ind w:left="711"/>
              <w:spacing w:after="0"/>
              <w:rPr>
                <w:sz w:val="20"/>
                <w:szCs w:val="20"/>
                <w:color w:val="auto"/>
              </w:rPr>
            </w:pPr>
            <w:r>
              <w:rPr>
                <w:rFonts w:ascii="Arial" w:cs="Arial" w:eastAsia="Arial" w:hAnsi="Arial"/>
                <w:sz w:val="18"/>
                <w:szCs w:val="18"/>
                <w:color w:val="auto"/>
                <w:w w:val="92"/>
              </w:rPr>
              <w:t>March 2, 2015</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0"/>
              </w:rPr>
              <w:t>John D. Rood</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92"/>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0"/>
              </w:rPr>
              <w:t>/s/ Peter O. Shea, Jr.</w:t>
            </w:r>
          </w:p>
        </w:tc>
        <w:tc>
          <w:tcPr>
            <w:tcW w:w="5240" w:type="dxa"/>
            <w:vAlign w:val="bottom"/>
            <w:gridSpan w:val="3"/>
          </w:tcPr>
          <w:p>
            <w:pPr>
              <w:jc w:val="center"/>
              <w:ind w:left="191"/>
              <w:spacing w:after="0"/>
              <w:rPr>
                <w:sz w:val="20"/>
                <w:szCs w:val="20"/>
                <w:color w:val="auto"/>
              </w:rPr>
            </w:pPr>
            <w:r>
              <w:rPr>
                <w:rFonts w:ascii="Arial" w:cs="Arial" w:eastAsia="Arial" w:hAnsi="Arial"/>
                <w:sz w:val="18"/>
                <w:szCs w:val="18"/>
                <w:color w:val="auto"/>
                <w:w w:val="95"/>
              </w:rPr>
              <w:t>Director</w:t>
            </w:r>
          </w:p>
        </w:tc>
        <w:tc>
          <w:tcPr>
            <w:tcW w:w="1860" w:type="dxa"/>
            <w:vAlign w:val="bottom"/>
            <w:gridSpan w:val="3"/>
          </w:tcPr>
          <w:p>
            <w:pPr>
              <w:jc w:val="center"/>
              <w:ind w:left="711"/>
              <w:spacing w:after="0"/>
              <w:rPr>
                <w:sz w:val="20"/>
                <w:szCs w:val="20"/>
                <w:color w:val="auto"/>
              </w:rPr>
            </w:pPr>
            <w:r>
              <w:rPr>
                <w:rFonts w:ascii="Arial" w:cs="Arial" w:eastAsia="Arial" w:hAnsi="Arial"/>
                <w:sz w:val="18"/>
                <w:szCs w:val="18"/>
                <w:color w:val="auto"/>
                <w:w w:val="92"/>
              </w:rPr>
              <w:t>March 2, 2015</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86"/>
              </w:rPr>
              <w:t>Peter O. Shea, Jr.</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92"/>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/s/ Cary H. Thompson</w:t>
            </w:r>
          </w:p>
        </w:tc>
        <w:tc>
          <w:tcPr>
            <w:tcW w:w="5240" w:type="dxa"/>
            <w:vAlign w:val="bottom"/>
            <w:gridSpan w:val="3"/>
          </w:tcPr>
          <w:p>
            <w:pPr>
              <w:jc w:val="center"/>
              <w:ind w:left="191"/>
              <w:spacing w:after="0"/>
              <w:rPr>
                <w:sz w:val="20"/>
                <w:szCs w:val="20"/>
                <w:color w:val="auto"/>
              </w:rPr>
            </w:pPr>
            <w:r>
              <w:rPr>
                <w:rFonts w:ascii="Arial" w:cs="Arial" w:eastAsia="Arial" w:hAnsi="Arial"/>
                <w:sz w:val="18"/>
                <w:szCs w:val="18"/>
                <w:color w:val="auto"/>
                <w:w w:val="95"/>
              </w:rPr>
              <w:t>Director</w:t>
            </w:r>
          </w:p>
        </w:tc>
        <w:tc>
          <w:tcPr>
            <w:tcW w:w="1860" w:type="dxa"/>
            <w:vAlign w:val="bottom"/>
            <w:gridSpan w:val="3"/>
          </w:tcPr>
          <w:p>
            <w:pPr>
              <w:jc w:val="center"/>
              <w:ind w:left="711"/>
              <w:spacing w:after="0"/>
              <w:rPr>
                <w:sz w:val="20"/>
                <w:szCs w:val="20"/>
                <w:color w:val="auto"/>
              </w:rPr>
            </w:pPr>
            <w:r>
              <w:rPr>
                <w:rFonts w:ascii="Arial" w:cs="Arial" w:eastAsia="Arial" w:hAnsi="Arial"/>
                <w:sz w:val="18"/>
                <w:szCs w:val="18"/>
                <w:color w:val="auto"/>
                <w:w w:val="92"/>
              </w:rPr>
              <w:t>March 2, 2015</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1"/>
              </w:rPr>
              <w:t>Cary H. Thompson</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392"/>
        </w:trPr>
        <w:tc>
          <w:tcPr>
            <w:tcW w:w="354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/s/ Frank P. Willey</w:t>
            </w:r>
          </w:p>
        </w:tc>
        <w:tc>
          <w:tcPr>
            <w:tcW w:w="5240" w:type="dxa"/>
            <w:vAlign w:val="bottom"/>
            <w:gridSpan w:val="3"/>
          </w:tcPr>
          <w:p>
            <w:pPr>
              <w:jc w:val="center"/>
              <w:ind w:left="191"/>
              <w:spacing w:after="0"/>
              <w:rPr>
                <w:sz w:val="20"/>
                <w:szCs w:val="20"/>
                <w:color w:val="auto"/>
              </w:rPr>
            </w:pPr>
            <w:r>
              <w:rPr>
                <w:rFonts w:ascii="Arial" w:cs="Arial" w:eastAsia="Arial" w:hAnsi="Arial"/>
                <w:sz w:val="18"/>
                <w:szCs w:val="18"/>
                <w:color w:val="auto"/>
                <w:w w:val="95"/>
              </w:rPr>
              <w:t>Director</w:t>
            </w:r>
          </w:p>
        </w:tc>
        <w:tc>
          <w:tcPr>
            <w:tcW w:w="1860" w:type="dxa"/>
            <w:vAlign w:val="bottom"/>
            <w:gridSpan w:val="3"/>
          </w:tcPr>
          <w:p>
            <w:pPr>
              <w:jc w:val="center"/>
              <w:ind w:left="711"/>
              <w:spacing w:after="0"/>
              <w:rPr>
                <w:sz w:val="20"/>
                <w:szCs w:val="20"/>
                <w:color w:val="auto"/>
              </w:rPr>
            </w:pPr>
            <w:r>
              <w:rPr>
                <w:rFonts w:ascii="Arial" w:cs="Arial" w:eastAsia="Arial" w:hAnsi="Arial"/>
                <w:sz w:val="18"/>
                <w:szCs w:val="18"/>
                <w:color w:val="auto"/>
                <w:w w:val="92"/>
              </w:rPr>
              <w:t>March 2, 2015</w:t>
            </w:r>
          </w:p>
        </w:tc>
      </w:tr>
      <w:tr>
        <w:trPr>
          <w:trHeight w:val="27"/>
        </w:trPr>
        <w:tc>
          <w:tcPr>
            <w:tcW w:w="14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37"/>
        </w:trPr>
        <w:tc>
          <w:tcPr>
            <w:tcW w:w="3540" w:type="dxa"/>
            <w:vAlign w:val="bottom"/>
            <w:gridSpan w:val="3"/>
          </w:tcPr>
          <w:p>
            <w:pPr>
              <w:jc w:val="center"/>
              <w:spacing w:after="0"/>
              <w:rPr>
                <w:sz w:val="20"/>
                <w:szCs w:val="20"/>
                <w:color w:val="auto"/>
              </w:rPr>
            </w:pPr>
            <w:r>
              <w:rPr>
                <w:rFonts w:ascii="Arial" w:cs="Arial" w:eastAsia="Arial" w:hAnsi="Arial"/>
                <w:sz w:val="18"/>
                <w:szCs w:val="18"/>
                <w:color w:val="auto"/>
                <w:w w:val="92"/>
              </w:rPr>
              <w:t>Frank P. Willey</w:t>
            </w:r>
          </w:p>
        </w:tc>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ectPr>
          <w:pgSz w:w="11900" w:h="16838" w:orient="portrait"/>
          <w:cols w:equalWidth="0" w:num="1">
            <w:col w:w="11420"/>
          </w:cols>
          <w:pgMar w:left="240" w:top="125" w:right="239" w:bottom="1440" w:gutter="0" w:footer="0" w:header="0"/>
          <w:type w:val="continuous"/>
        </w:sectPr>
      </w:pPr>
    </w:p>
    <w:bookmarkStart w:id="123" w:name="page124"/>
    <w:bookmarkEnd w:id="1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Fidelity National Financial, Inc.:</w:t>
      </w:r>
    </w:p>
    <w:p>
      <w:pPr>
        <w:spacing w:after="0" w:line="116"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Under date of March 2, 2015, we reported on the Consolidated Balance Sheets of Fidelity National Financial, Inc. and subsidiaries as of December 31, 2014 and 2013, and the related Consolidated Statements of Earnings, Comprehensive Earnings, Equity and Cash Flows for each of the years in the three-year period ended December 31, 2014, as contained in the Annual Report on Form 10-K for the year 2014. In connection with our audits of the aforementioned Consolidated Financial Statements, we also audited the related financial statement schedules as listed under Item 15(a)(2). These financial statement schedules are the responsibility of the Company’s management. Our responsibility is to express an opinion on these financial statement schedules based on our audits.</w:t>
      </w:r>
    </w:p>
    <w:p>
      <w:pPr>
        <w:spacing w:after="0" w:line="99"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In our opinion, such financial statement schedules, when considered in relation to the basic Consolidated Financial Statements taken as a whole, present fairly, in all material respects, the information set forth therein.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125" w:right="23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b w:val="1"/>
                <w:bCs w:val="1"/>
                <w:color w:val="auto"/>
              </w:rPr>
              <w:t>SCHEDULE II</w:t>
            </w:r>
          </w:p>
        </w:tc>
        <w:tc>
          <w:tcPr>
            <w:tcW w:w="0" w:type="dxa"/>
            <w:vAlign w:val="bottom"/>
          </w:tcPr>
          <w:p>
            <w:pPr>
              <w:spacing w:after="0"/>
              <w:rPr>
                <w:sz w:val="1"/>
                <w:szCs w:val="1"/>
                <w:color w:val="auto"/>
              </w:rPr>
            </w:pPr>
          </w:p>
        </w:tc>
      </w:tr>
      <w:tr>
        <w:trPr>
          <w:trHeight w:val="414"/>
        </w:trPr>
        <w:tc>
          <w:tcPr>
            <w:tcW w:w="8660" w:type="dxa"/>
            <w:vAlign w:val="bottom"/>
          </w:tcPr>
          <w:p>
            <w:pPr>
              <w:jc w:val="center"/>
              <w:ind w:left="2706"/>
              <w:spacing w:after="0"/>
              <w:rPr>
                <w:sz w:val="20"/>
                <w:szCs w:val="20"/>
                <w:color w:val="auto"/>
              </w:rPr>
            </w:pPr>
            <w:r>
              <w:rPr>
                <w:rFonts w:ascii="Arial" w:cs="Arial" w:eastAsia="Arial" w:hAnsi="Arial"/>
                <w:sz w:val="18"/>
                <w:szCs w:val="18"/>
                <w:b w:val="1"/>
                <w:bCs w:val="1"/>
                <w:color w:val="auto"/>
              </w:rPr>
              <w:t>FIDELITY NATIONAL FINANCIAL, INC.</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660" w:type="dxa"/>
            <w:vAlign w:val="bottom"/>
          </w:tcPr>
          <w:p>
            <w:pPr>
              <w:jc w:val="center"/>
              <w:ind w:left="2686"/>
              <w:spacing w:after="0"/>
              <w:rPr>
                <w:sz w:val="20"/>
                <w:szCs w:val="20"/>
                <w:color w:val="auto"/>
              </w:rPr>
            </w:pPr>
            <w:r>
              <w:rPr>
                <w:rFonts w:ascii="Arial" w:cs="Arial" w:eastAsia="Arial" w:hAnsi="Arial"/>
                <w:sz w:val="18"/>
                <w:szCs w:val="18"/>
                <w:b w:val="1"/>
                <w:bCs w:val="1"/>
                <w:color w:val="auto"/>
                <w:w w:val="91"/>
              </w:rPr>
              <w:t>(Parent Company)</w:t>
            </w:r>
          </w:p>
        </w:tc>
        <w:tc>
          <w:tcPr>
            <w:tcW w:w="7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60" w:type="dxa"/>
            <w:vAlign w:val="bottom"/>
          </w:tcPr>
          <w:p>
            <w:pPr>
              <w:jc w:val="center"/>
              <w:ind w:left="2686"/>
              <w:spacing w:after="0"/>
              <w:rPr>
                <w:sz w:val="20"/>
                <w:szCs w:val="20"/>
                <w:color w:val="auto"/>
              </w:rPr>
            </w:pPr>
            <w:r>
              <w:rPr>
                <w:rFonts w:ascii="Arial" w:cs="Arial" w:eastAsia="Arial" w:hAnsi="Arial"/>
                <w:sz w:val="18"/>
                <w:szCs w:val="18"/>
                <w:b w:val="1"/>
                <w:bCs w:val="1"/>
                <w:color w:val="auto"/>
                <w:w w:val="98"/>
              </w:rPr>
              <w:t>BALANCE SHEETS</w:t>
            </w: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8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980" w:type="dxa"/>
            <w:vAlign w:val="bottom"/>
            <w:gridSpan w:val="5"/>
          </w:tcPr>
          <w:p>
            <w:pPr>
              <w:jc w:val="center"/>
              <w:ind w:right="9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64"/>
        </w:trPr>
        <w:tc>
          <w:tcPr>
            <w:tcW w:w="866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387"/>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8660" w:type="dxa"/>
            <w:vAlign w:val="bottom"/>
          </w:tcPr>
          <w:p>
            <w:pPr>
              <w:spacing w:after="0"/>
              <w:rPr>
                <w:sz w:val="16"/>
                <w:szCs w:val="16"/>
                <w:color w:val="auto"/>
              </w:rPr>
            </w:pPr>
          </w:p>
        </w:tc>
        <w:tc>
          <w:tcPr>
            <w:tcW w:w="276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2"/>
              </w:rPr>
              <w:t>(In millions, except share data)</w:t>
            </w:r>
          </w:p>
        </w:tc>
        <w:tc>
          <w:tcPr>
            <w:tcW w:w="0" w:type="dxa"/>
            <w:vAlign w:val="bottom"/>
          </w:tcPr>
          <w:p>
            <w:pPr>
              <w:spacing w:after="0"/>
              <w:rPr>
                <w:sz w:val="1"/>
                <w:szCs w:val="1"/>
                <w:color w:val="auto"/>
              </w:rPr>
            </w:pPr>
          </w:p>
        </w:tc>
      </w:tr>
      <w:tr>
        <w:trPr>
          <w:trHeight w:val="209"/>
        </w:trPr>
        <w:tc>
          <w:tcPr>
            <w:tcW w:w="8660" w:type="dxa"/>
            <w:vAlign w:val="bottom"/>
          </w:tcPr>
          <w:p>
            <w:pPr>
              <w:ind w:left="5340"/>
              <w:spacing w:after="0"/>
              <w:rPr>
                <w:sz w:val="20"/>
                <w:szCs w:val="20"/>
                <w:color w:val="auto"/>
              </w:rPr>
            </w:pPr>
            <w:r>
              <w:rPr>
                <w:rFonts w:ascii="Arial" w:cs="Arial" w:eastAsia="Arial" w:hAnsi="Arial"/>
                <w:sz w:val="14"/>
                <w:szCs w:val="14"/>
                <w:b w:val="1"/>
                <w:bCs w:val="1"/>
                <w:color w:val="auto"/>
              </w:rPr>
              <w:t>ASSETS</w:t>
            </w: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w:t>
            </w:r>
          </w:p>
        </w:tc>
        <w:tc>
          <w:tcPr>
            <w:tcW w:w="780" w:type="dxa"/>
            <w:vAlign w:val="bottom"/>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1,105</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Investment in unconsolidated affiliates</w:t>
            </w:r>
          </w:p>
        </w:tc>
        <w:tc>
          <w:tcPr>
            <w:tcW w:w="780" w:type="dxa"/>
            <w:vAlign w:val="bottom"/>
          </w:tcPr>
          <w:p>
            <w:pPr>
              <w:spacing w:after="0"/>
              <w:rPr>
                <w:sz w:val="22"/>
                <w:szCs w:val="2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tcPr>
          <w:p>
            <w:pPr>
              <w:jc w:val="right"/>
              <w:ind w:right="47"/>
              <w:spacing w:after="0"/>
              <w:rPr>
                <w:sz w:val="20"/>
                <w:szCs w:val="20"/>
                <w:color w:val="auto"/>
              </w:rPr>
            </w:pPr>
            <w:r>
              <w:rPr>
                <w:rFonts w:ascii="Arial" w:cs="Arial" w:eastAsia="Arial" w:hAnsi="Arial"/>
                <w:sz w:val="14"/>
                <w:szCs w:val="14"/>
                <w:color w:val="auto"/>
              </w:rPr>
              <w:t>320</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Notes receivable</w:t>
            </w: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1"/>
              </w:rPr>
              <w:t>2,635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124</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Investments in and amounts due from subsidiaries</w:t>
            </w:r>
          </w:p>
        </w:tc>
        <w:tc>
          <w:tcPr>
            <w:tcW w:w="780" w:type="dxa"/>
            <w:vAlign w:val="bottom"/>
          </w:tcPr>
          <w:p>
            <w:pPr>
              <w:spacing w:after="0"/>
              <w:rPr>
                <w:sz w:val="22"/>
                <w:szCs w:val="22"/>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w w:val="91"/>
              </w:rPr>
              <w:t>5,964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47"/>
              <w:spacing w:after="0"/>
              <w:rPr>
                <w:sz w:val="20"/>
                <w:szCs w:val="20"/>
                <w:color w:val="auto"/>
              </w:rPr>
            </w:pPr>
            <w:r>
              <w:rPr>
                <w:rFonts w:ascii="Arial" w:cs="Arial" w:eastAsia="Arial" w:hAnsi="Arial"/>
                <w:sz w:val="14"/>
                <w:szCs w:val="14"/>
                <w:color w:val="auto"/>
              </w:rPr>
              <w:t>4,664</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 net</w:t>
            </w: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Prepaid expenses and other assets</w:t>
            </w:r>
          </w:p>
        </w:tc>
        <w:tc>
          <w:tcPr>
            <w:tcW w:w="780" w:type="dxa"/>
            <w:vAlign w:val="bottom"/>
          </w:tcPr>
          <w:p>
            <w:pPr>
              <w:spacing w:after="0"/>
              <w:rPr>
                <w:sz w:val="22"/>
                <w:szCs w:val="2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tcPr>
          <w:p>
            <w:pPr>
              <w:jc w:val="right"/>
              <w:ind w:right="47"/>
              <w:spacing w:after="0"/>
              <w:rPr>
                <w:sz w:val="20"/>
                <w:szCs w:val="20"/>
                <w:color w:val="auto"/>
              </w:rPr>
            </w:pPr>
            <w:r>
              <w:rPr>
                <w:rFonts w:ascii="Arial" w:cs="Arial" w:eastAsia="Arial" w:hAnsi="Arial"/>
                <w:sz w:val="14"/>
                <w:szCs w:val="14"/>
                <w:color w:val="auto"/>
              </w:rPr>
              <w:t>20</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intangibles, net</w:t>
            </w: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47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Income taxes receivable</w:t>
            </w:r>
          </w:p>
        </w:tc>
        <w:tc>
          <w:tcPr>
            <w:tcW w:w="7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26</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6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4"/>
                <w:szCs w:val="14"/>
                <w:color w:val="auto"/>
              </w:rPr>
              <w:t>Total assets</w:t>
            </w:r>
          </w:p>
        </w:tc>
        <w:tc>
          <w:tcPr>
            <w:tcW w:w="780" w:type="dxa"/>
            <w:vAlign w:val="bottom"/>
            <w:tcBorders>
              <w:bottom w:val="single" w:sz="8" w:color="auto"/>
            </w:tcBorders>
            <w:shd w:val="clear" w:color="auto" w:fill="CCEEFF"/>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1"/>
              </w:rPr>
              <w:t>8,835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6,313</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60" w:type="dxa"/>
            <w:vAlign w:val="bottom"/>
            <w:vMerge w:val="restart"/>
          </w:tcPr>
          <w:p>
            <w:pPr>
              <w:ind w:left="4700"/>
              <w:spacing w:after="0"/>
              <w:rPr>
                <w:sz w:val="20"/>
                <w:szCs w:val="20"/>
                <w:color w:val="auto"/>
              </w:rPr>
            </w:pPr>
            <w:r>
              <w:rPr>
                <w:rFonts w:ascii="Arial" w:cs="Arial" w:eastAsia="Arial" w:hAnsi="Arial"/>
                <w:sz w:val="14"/>
                <w:szCs w:val="14"/>
                <w:b w:val="1"/>
                <w:bCs w:val="1"/>
                <w:color w:val="auto"/>
              </w:rPr>
              <w:t>LIABILITIES AND EQUITY</w:t>
            </w: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66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Accounts payable and other accrued liabilities</w:t>
            </w:r>
          </w:p>
        </w:tc>
        <w:tc>
          <w:tcPr>
            <w:tcW w:w="78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4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7"/>
              <w:spacing w:after="0"/>
              <w:rPr>
                <w:sz w:val="20"/>
                <w:szCs w:val="20"/>
                <w:color w:val="auto"/>
              </w:rPr>
            </w:pPr>
            <w:r>
              <w:rPr>
                <w:rFonts w:ascii="Arial" w:cs="Arial" w:eastAsia="Arial" w:hAnsi="Arial"/>
                <w:sz w:val="14"/>
                <w:szCs w:val="14"/>
                <w:color w:val="auto"/>
              </w:rPr>
              <w:t>125</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tax liability</w:t>
            </w: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144</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Notes payable</w:t>
            </w:r>
          </w:p>
        </w:tc>
        <w:tc>
          <w:tcPr>
            <w:tcW w:w="7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1"/>
              </w:rPr>
              <w:t>2,086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983</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liabilities</w:t>
            </w:r>
          </w:p>
        </w:tc>
        <w:tc>
          <w:tcPr>
            <w:tcW w:w="78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1"/>
              </w:rPr>
              <w:t>2,841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1,252</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Equity:</w:t>
            </w: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3"/>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5"/>
              </w:rPr>
              <w:t>Old FNF common stock, Class A, $0.0001 par value; authorized, 600,000,000 shares as of December 31, 2013; issued 292,289,166 shares as of</w:t>
            </w:r>
          </w:p>
        </w:tc>
        <w:tc>
          <w:tcPr>
            <w:tcW w:w="7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December 31, 2013</w:t>
            </w:r>
          </w:p>
        </w:tc>
        <w:tc>
          <w:tcPr>
            <w:tcW w:w="7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8660" w:type="dxa"/>
            <w:vAlign w:val="bottom"/>
          </w:tcPr>
          <w:p>
            <w:pPr>
              <w:ind w:left="40"/>
              <w:spacing w:after="0" w:line="157" w:lineRule="exact"/>
              <w:rPr>
                <w:sz w:val="20"/>
                <w:szCs w:val="20"/>
                <w:color w:val="auto"/>
              </w:rPr>
            </w:pPr>
            <w:r>
              <w:rPr>
                <w:rFonts w:ascii="Arial" w:cs="Arial" w:eastAsia="Arial" w:hAnsi="Arial"/>
                <w:sz w:val="14"/>
                <w:szCs w:val="14"/>
                <w:color w:val="auto"/>
                <w:w w:val="93"/>
              </w:rPr>
              <w:t>FNF Group common stock, $0.0001 par value; authorized 487,000,000 shares as of December 31, 2014; issued 279,443,239 shares as of December</w:t>
            </w: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8660" w:type="dxa"/>
            <w:vAlign w:val="bottom"/>
          </w:tcPr>
          <w:p>
            <w:pPr>
              <w:ind w:left="40"/>
              <w:spacing w:after="0"/>
              <w:rPr>
                <w:sz w:val="20"/>
                <w:szCs w:val="20"/>
                <w:color w:val="auto"/>
              </w:rPr>
            </w:pPr>
            <w:r>
              <w:rPr>
                <w:rFonts w:ascii="Arial" w:cs="Arial" w:eastAsia="Arial" w:hAnsi="Arial"/>
                <w:sz w:val="14"/>
                <w:szCs w:val="14"/>
                <w:color w:val="auto"/>
              </w:rPr>
              <w:t>31, 2014</w:t>
            </w:r>
          </w:p>
        </w:tc>
        <w:tc>
          <w:tcPr>
            <w:tcW w:w="780" w:type="dxa"/>
            <w:vAlign w:val="bottom"/>
          </w:tcPr>
          <w:p>
            <w:pPr>
              <w:spacing w:after="0"/>
              <w:rPr>
                <w:sz w:val="16"/>
                <w:szCs w:val="16"/>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2"/>
              </w:rPr>
              <w:t>FNFV Group common stock, $0.0001 par value; authorized 113,000,000 shares as of December 31, 2014; issued 92,828,470 shares as of December</w:t>
            </w:r>
          </w:p>
        </w:tc>
        <w:tc>
          <w:tcPr>
            <w:tcW w:w="7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31, 2014</w:t>
            </w:r>
          </w:p>
        </w:tc>
        <w:tc>
          <w:tcPr>
            <w:tcW w:w="780" w:type="dxa"/>
            <w:vAlign w:val="bottom"/>
            <w:shd w:val="clear" w:color="auto" w:fill="CCEEFF"/>
          </w:tcPr>
          <w:p>
            <w:pPr>
              <w:spacing w:after="0"/>
              <w:rPr>
                <w:sz w:val="16"/>
                <w:szCs w:val="16"/>
                <w:color w:val="auto"/>
              </w:rPr>
            </w:pP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Preferred stock, $0.0001 par value; authorized 50,000,000 shares, issued and outstanding, none</w:t>
            </w:r>
          </w:p>
        </w:tc>
        <w:tc>
          <w:tcPr>
            <w:tcW w:w="780" w:type="dxa"/>
            <w:vAlign w:val="bottom"/>
          </w:tcPr>
          <w:p>
            <w:pPr>
              <w:spacing w:after="0"/>
              <w:rPr>
                <w:sz w:val="22"/>
                <w:szCs w:val="22"/>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Additional paid-in capital</w:t>
            </w: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1"/>
              </w:rPr>
              <w:t>4,855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4,642</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Retained earnings</w:t>
            </w:r>
          </w:p>
        </w:tc>
        <w:tc>
          <w:tcPr>
            <w:tcW w:w="780" w:type="dxa"/>
            <w:vAlign w:val="bottom"/>
          </w:tcPr>
          <w:p>
            <w:pPr>
              <w:spacing w:after="0"/>
              <w:rPr>
                <w:sz w:val="22"/>
                <w:szCs w:val="22"/>
                <w:color w:val="auto"/>
              </w:rPr>
            </w:pPr>
          </w:p>
        </w:tc>
        <w:tc>
          <w:tcPr>
            <w:tcW w:w="460" w:type="dxa"/>
            <w:vAlign w:val="bottom"/>
          </w:tcPr>
          <w:p>
            <w:pPr>
              <w:jc w:val="right"/>
              <w:ind w:right="48"/>
              <w:spacing w:after="0"/>
              <w:rPr>
                <w:sz w:val="20"/>
                <w:szCs w:val="20"/>
                <w:color w:val="auto"/>
              </w:rPr>
            </w:pPr>
            <w:r>
              <w:rPr>
                <w:rFonts w:ascii="Arial" w:cs="Arial" w:eastAsia="Arial" w:hAnsi="Arial"/>
                <w:sz w:val="14"/>
                <w:szCs w:val="14"/>
                <w:color w:val="auto"/>
                <w:w w:val="91"/>
              </w:rPr>
              <w:t>1,150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jc w:val="right"/>
              <w:ind w:right="47"/>
              <w:spacing w:after="0"/>
              <w:rPr>
                <w:sz w:val="20"/>
                <w:szCs w:val="20"/>
                <w:color w:val="auto"/>
              </w:rPr>
            </w:pPr>
            <w:r>
              <w:rPr>
                <w:rFonts w:ascii="Arial" w:cs="Arial" w:eastAsia="Arial" w:hAnsi="Arial"/>
                <w:sz w:val="14"/>
                <w:szCs w:val="14"/>
                <w:color w:val="auto"/>
              </w:rPr>
              <w:t>1,089</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Accumulated other comprehensive earnings</w:t>
            </w: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47"/>
              <w:spacing w:after="0"/>
              <w:rPr>
                <w:sz w:val="20"/>
                <w:szCs w:val="20"/>
                <w:color w:val="auto"/>
              </w:rPr>
            </w:pPr>
            <w:r>
              <w:rPr>
                <w:rFonts w:ascii="Arial" w:cs="Arial" w:eastAsia="Arial" w:hAnsi="Arial"/>
                <w:sz w:val="14"/>
                <w:szCs w:val="14"/>
                <w:color w:val="auto"/>
              </w:rPr>
              <w:t>37</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Treasury stock, 493,737 shares and 41,948,518 shares as of December 31, 2014 and 2013, respectively, at cost</w:t>
            </w:r>
          </w:p>
        </w:tc>
        <w:tc>
          <w:tcPr>
            <w:tcW w:w="78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(707)</w:t>
            </w:r>
          </w:p>
        </w:tc>
        <w:tc>
          <w:tcPr>
            <w:tcW w:w="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6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equity of Fidelity National Financial, Inc. common shareholders</w:t>
            </w:r>
          </w:p>
        </w:tc>
        <w:tc>
          <w:tcPr>
            <w:tcW w:w="78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91"/>
              </w:rPr>
              <w:t>5,994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4"/>
                <w:szCs w:val="14"/>
                <w:color w:val="auto"/>
              </w:rPr>
              <w:t>5,061</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660" w:type="dxa"/>
            <w:vAlign w:val="bottom"/>
          </w:tcPr>
          <w:p>
            <w:pPr>
              <w:ind w:left="500"/>
              <w:spacing w:after="0"/>
              <w:rPr>
                <w:sz w:val="20"/>
                <w:szCs w:val="20"/>
                <w:color w:val="auto"/>
              </w:rPr>
            </w:pPr>
            <w:r>
              <w:rPr>
                <w:rFonts w:ascii="Arial" w:cs="Arial" w:eastAsia="Arial" w:hAnsi="Arial"/>
                <w:sz w:val="14"/>
                <w:szCs w:val="14"/>
                <w:color w:val="auto"/>
              </w:rPr>
              <w:t>Total liabilities and equity</w:t>
            </w:r>
          </w:p>
        </w:tc>
        <w:tc>
          <w:tcPr>
            <w:tcW w:w="7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91"/>
              </w:rPr>
              <w:t>8,835</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6,313</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Accompanying Report of Independent Registered Public Accounting Firm</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125" w:right="2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b w:val="1"/>
                <w:bCs w:val="1"/>
                <w:color w:val="auto"/>
              </w:rPr>
              <w:t>SCHEDULE II</w:t>
            </w:r>
          </w:p>
        </w:tc>
      </w:tr>
      <w:tr>
        <w:trPr>
          <w:trHeight w:val="414"/>
        </w:trPr>
        <w:tc>
          <w:tcPr>
            <w:tcW w:w="7440" w:type="dxa"/>
            <w:vAlign w:val="bottom"/>
          </w:tcPr>
          <w:p>
            <w:pPr>
              <w:jc w:val="center"/>
              <w:ind w:left="3911"/>
              <w:spacing w:after="0"/>
              <w:rPr>
                <w:sz w:val="20"/>
                <w:szCs w:val="20"/>
                <w:color w:val="auto"/>
              </w:rPr>
            </w:pPr>
            <w:r>
              <w:rPr>
                <w:rFonts w:ascii="Arial" w:cs="Arial" w:eastAsia="Arial" w:hAnsi="Arial"/>
                <w:sz w:val="18"/>
                <w:szCs w:val="18"/>
                <w:b w:val="1"/>
                <w:bCs w:val="1"/>
                <w:color w:val="auto"/>
              </w:rPr>
              <w:t>FIDELITY NATIONAL FINANCIAL, INC.</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34"/>
        </w:trPr>
        <w:tc>
          <w:tcPr>
            <w:tcW w:w="7440" w:type="dxa"/>
            <w:vAlign w:val="bottom"/>
          </w:tcPr>
          <w:p>
            <w:pPr>
              <w:jc w:val="center"/>
              <w:ind w:left="3891"/>
              <w:spacing w:after="0"/>
              <w:rPr>
                <w:sz w:val="20"/>
                <w:szCs w:val="20"/>
                <w:color w:val="auto"/>
              </w:rPr>
            </w:pPr>
            <w:r>
              <w:rPr>
                <w:rFonts w:ascii="Arial" w:cs="Arial" w:eastAsia="Arial" w:hAnsi="Arial"/>
                <w:sz w:val="18"/>
                <w:szCs w:val="18"/>
                <w:b w:val="1"/>
                <w:bCs w:val="1"/>
                <w:color w:val="auto"/>
                <w:w w:val="91"/>
              </w:rPr>
              <w:t>(Parent Company)</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32"/>
        </w:trPr>
        <w:tc>
          <w:tcPr>
            <w:tcW w:w="8640" w:type="dxa"/>
            <w:vAlign w:val="bottom"/>
            <w:gridSpan w:val="3"/>
          </w:tcPr>
          <w:p>
            <w:pPr>
              <w:jc w:val="center"/>
              <w:ind w:left="2691"/>
              <w:spacing w:after="0"/>
              <w:rPr>
                <w:sz w:val="20"/>
                <w:szCs w:val="20"/>
                <w:color w:val="auto"/>
              </w:rPr>
            </w:pPr>
            <w:r>
              <w:rPr>
                <w:rFonts w:ascii="Arial" w:cs="Arial" w:eastAsia="Arial" w:hAnsi="Arial"/>
                <w:sz w:val="18"/>
                <w:szCs w:val="18"/>
                <w:b w:val="1"/>
                <w:bCs w:val="1"/>
                <w:color w:val="auto"/>
                <w:w w:val="99"/>
              </w:rPr>
              <w:t>STATEMENTS OF EARNINGS AND RETAINED EARNINGS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2"/>
        </w:trPr>
        <w:tc>
          <w:tcPr>
            <w:tcW w:w="74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6"/>
          </w:tcPr>
          <w:p>
            <w:pPr>
              <w:jc w:val="center"/>
              <w:ind w:right="250"/>
              <w:spacing w:after="0"/>
              <w:rPr>
                <w:sz w:val="20"/>
                <w:szCs w:val="20"/>
                <w:color w:val="auto"/>
              </w:rPr>
            </w:pPr>
            <w:r>
              <w:rPr>
                <w:rFonts w:ascii="Arial" w:cs="Arial" w:eastAsia="Arial" w:hAnsi="Arial"/>
                <w:sz w:val="14"/>
                <w:szCs w:val="14"/>
                <w:b w:val="1"/>
                <w:bCs w:val="1"/>
                <w:color w:val="auto"/>
                <w:w w:val="93"/>
              </w:rPr>
              <w:t>Year Ended December 31,</w:t>
            </w:r>
          </w:p>
        </w:tc>
        <w:tc>
          <w:tcPr>
            <w:tcW w:w="840" w:type="dxa"/>
            <w:vAlign w:val="bottom"/>
            <w:tcBorders>
              <w:bottom w:val="single" w:sz="8" w:color="auto"/>
            </w:tcBorders>
          </w:tcPr>
          <w:p>
            <w:pPr>
              <w:spacing w:after="0"/>
              <w:rPr>
                <w:sz w:val="24"/>
                <w:szCs w:val="24"/>
                <w:color w:val="auto"/>
              </w:rPr>
            </w:pPr>
          </w:p>
        </w:tc>
      </w:tr>
      <w:tr>
        <w:trPr>
          <w:trHeight w:val="264"/>
        </w:trPr>
        <w:tc>
          <w:tcPr>
            <w:tcW w:w="74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211"/>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2012</w:t>
            </w:r>
          </w:p>
        </w:tc>
      </w:tr>
      <w:tr>
        <w:trPr>
          <w:trHeight w:val="196"/>
        </w:trPr>
        <w:tc>
          <w:tcPr>
            <w:tcW w:w="7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40" w:type="dxa"/>
            <w:vAlign w:val="bottom"/>
            <w:gridSpan w:val="7"/>
          </w:tcPr>
          <w:p>
            <w:pPr>
              <w:jc w:val="center"/>
              <w:ind w:left="491"/>
              <w:spacing w:after="0"/>
              <w:rPr>
                <w:sz w:val="20"/>
                <w:szCs w:val="20"/>
                <w:color w:val="auto"/>
              </w:rPr>
            </w:pPr>
            <w:r>
              <w:rPr>
                <w:rFonts w:ascii="Arial" w:cs="Arial" w:eastAsia="Arial" w:hAnsi="Arial"/>
                <w:sz w:val="14"/>
                <w:szCs w:val="14"/>
                <w:b w:val="1"/>
                <w:bCs w:val="1"/>
                <w:color w:val="auto"/>
                <w:w w:val="92"/>
              </w:rPr>
              <w:t>(In millions, except per share data)</w:t>
            </w:r>
          </w:p>
        </w:tc>
        <w:tc>
          <w:tcPr>
            <w:tcW w:w="840" w:type="dxa"/>
            <w:vAlign w:val="bottom"/>
          </w:tcPr>
          <w:p>
            <w:pPr>
              <w:spacing w:after="0"/>
              <w:rPr>
                <w:sz w:val="17"/>
                <w:szCs w:val="17"/>
                <w:color w:val="auto"/>
              </w:rPr>
            </w:pPr>
          </w:p>
        </w:tc>
      </w:tr>
      <w:tr>
        <w:trPr>
          <w:trHeight w:val="276"/>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3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Other fees and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and investment income and realized gains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37"/>
        </w:trPr>
        <w:tc>
          <w:tcPr>
            <w:tcW w:w="7440" w:type="dxa"/>
            <w:vAlign w:val="bottom"/>
          </w:tcPr>
          <w:p>
            <w:pPr>
              <w:ind w:left="280"/>
              <w:spacing w:after="0"/>
              <w:rPr>
                <w:sz w:val="20"/>
                <w:szCs w:val="20"/>
                <w:color w:val="auto"/>
              </w:rPr>
            </w:pPr>
            <w:r>
              <w:rPr>
                <w:rFonts w:ascii="Arial" w:cs="Arial" w:eastAsia="Arial" w:hAnsi="Arial"/>
                <w:sz w:val="18"/>
                <w:szCs w:val="18"/>
                <w:color w:val="auto"/>
              </w:rPr>
              <w:t>Total revenues</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7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Expenses:</w:t>
            </w:r>
          </w:p>
        </w:tc>
        <w:tc>
          <w:tcPr>
            <w:tcW w:w="3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Personnel expenses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39</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operating expenses</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61</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7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expenses</w:t>
            </w:r>
          </w:p>
        </w:tc>
        <w:tc>
          <w:tcPr>
            <w:tcW w:w="3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Earnings (losses) before income tax (benefit) expense and equity in earnings of subsidiaries</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Earnings (losses) before equity in earnings of subsidiaries</w:t>
            </w:r>
          </w:p>
        </w:tc>
        <w:tc>
          <w:tcPr>
            <w:tcW w:w="3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135"/>
        </w:trPr>
        <w:tc>
          <w:tcPr>
            <w:tcW w:w="7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Equity in earnings of subsidiaries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687</w:t>
            </w:r>
          </w:p>
        </w:tc>
      </w:tr>
      <w:tr>
        <w:trPr>
          <w:trHeight w:val="27"/>
        </w:trPr>
        <w:tc>
          <w:tcPr>
            <w:tcW w:w="7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29"/>
        </w:trPr>
        <w:tc>
          <w:tcPr>
            <w:tcW w:w="74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r>
      <w:tr>
        <w:trPr>
          <w:trHeight w:val="304"/>
        </w:trPr>
        <w:tc>
          <w:tcPr>
            <w:tcW w:w="7440" w:type="dxa"/>
            <w:vAlign w:val="bottom"/>
          </w:tcPr>
          <w:p>
            <w:pPr>
              <w:ind w:left="40"/>
              <w:spacing w:after="0"/>
              <w:rPr>
                <w:sz w:val="20"/>
                <w:szCs w:val="20"/>
                <w:color w:val="auto"/>
              </w:rPr>
            </w:pPr>
            <w:r>
              <w:rPr>
                <w:rFonts w:ascii="Arial" w:cs="Arial" w:eastAsia="Arial" w:hAnsi="Arial"/>
                <w:sz w:val="18"/>
                <w:szCs w:val="18"/>
                <w:color w:val="auto"/>
              </w:rPr>
              <w:t>Net earnings attributable to Fidelity National Financial, Inc. common shareholders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583</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394</w:t>
            </w:r>
          </w:p>
        </w:tc>
        <w:tc>
          <w:tcPr>
            <w:tcW w:w="10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607</w:t>
            </w:r>
          </w:p>
        </w:tc>
      </w:tr>
      <w:tr>
        <w:trPr>
          <w:trHeight w:val="122"/>
        </w:trPr>
        <w:tc>
          <w:tcPr>
            <w:tcW w:w="744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r>
      <w:tr>
        <w:trPr>
          <w:trHeight w:val="304"/>
        </w:trPr>
        <w:tc>
          <w:tcPr>
            <w:tcW w:w="7440" w:type="dxa"/>
            <w:vAlign w:val="bottom"/>
          </w:tcPr>
          <w:p>
            <w:pPr>
              <w:ind w:left="40"/>
              <w:spacing w:after="0"/>
              <w:rPr>
                <w:sz w:val="20"/>
                <w:szCs w:val="20"/>
                <w:color w:val="auto"/>
              </w:rPr>
            </w:pPr>
            <w:r>
              <w:rPr>
                <w:rFonts w:ascii="Arial" w:cs="Arial" w:eastAsia="Arial" w:hAnsi="Arial"/>
                <w:sz w:val="18"/>
                <w:szCs w:val="18"/>
                <w:color w:val="auto"/>
              </w:rPr>
              <w:t>Basic earnings per share Old FNF common shareholders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0.33</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2.75</w:t>
            </w:r>
          </w:p>
        </w:tc>
      </w:tr>
      <w:tr>
        <w:trPr>
          <w:trHeight w:val="251"/>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Old FNF common shareholders, basic basis</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221</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91"/>
        </w:trPr>
        <w:tc>
          <w:tcPr>
            <w:tcW w:w="7440" w:type="dxa"/>
            <w:vAlign w:val="bottom"/>
          </w:tcPr>
          <w:p>
            <w:pPr>
              <w:ind w:left="40"/>
              <w:spacing w:after="0"/>
              <w:rPr>
                <w:sz w:val="20"/>
                <w:szCs w:val="20"/>
                <w:color w:val="auto"/>
              </w:rPr>
            </w:pPr>
            <w:r>
              <w:rPr>
                <w:rFonts w:ascii="Arial" w:cs="Arial" w:eastAsia="Arial" w:hAnsi="Arial"/>
                <w:sz w:val="18"/>
                <w:szCs w:val="18"/>
                <w:color w:val="auto"/>
              </w:rPr>
              <w:t>Diluted earnings per share Old FNF Common shareholders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0.32</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2.69</w:t>
            </w:r>
          </w:p>
        </w:tc>
      </w:tr>
      <w:tr>
        <w:trPr>
          <w:trHeight w:val="251"/>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Old FNF common shareholders, diluted basis</w:t>
            </w: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226</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91"/>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earnings per share FNF Group common shareholders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r>
      <w:tr>
        <w:trPr>
          <w:trHeight w:val="251"/>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FNF Group common shareholders, basic basis</w:t>
            </w:r>
          </w:p>
        </w:tc>
        <w:tc>
          <w:tcPr>
            <w:tcW w:w="3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91"/>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Diluted earnings per share FNF Group Common shareholders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r>
      <w:tr>
        <w:trPr>
          <w:trHeight w:val="251"/>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FNF Group common shareholders, diluted basis</w:t>
            </w:r>
          </w:p>
        </w:tc>
        <w:tc>
          <w:tcPr>
            <w:tcW w:w="3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91"/>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earnings per share FNFV Group common shareholders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r>
      <w:tr>
        <w:trPr>
          <w:trHeight w:val="251"/>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FNFV Group common shareholders, basic basis</w:t>
            </w:r>
          </w:p>
        </w:tc>
        <w:tc>
          <w:tcPr>
            <w:tcW w:w="3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91"/>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Diluted earnings per share FNFV Group Common shareholders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r>
      <w:tr>
        <w:trPr>
          <w:trHeight w:val="251"/>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FNFV Group common shareholders, diluted basis</w:t>
            </w:r>
          </w:p>
        </w:tc>
        <w:tc>
          <w:tcPr>
            <w:tcW w:w="3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0"/>
        </w:trPr>
        <w:tc>
          <w:tcPr>
            <w:tcW w:w="7440" w:type="dxa"/>
            <w:vAlign w:val="bottom"/>
          </w:tcPr>
          <w:p>
            <w:pPr>
              <w:ind w:left="40"/>
              <w:spacing w:after="0"/>
              <w:rPr>
                <w:sz w:val="20"/>
                <w:szCs w:val="20"/>
                <w:color w:val="auto"/>
              </w:rPr>
            </w:pPr>
            <w:r>
              <w:rPr>
                <w:rFonts w:ascii="Arial" w:cs="Arial" w:eastAsia="Arial" w:hAnsi="Arial"/>
                <w:sz w:val="18"/>
                <w:szCs w:val="18"/>
                <w:color w:val="auto"/>
              </w:rPr>
              <w:t>Retained earnings, beginning of year</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1,089</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849</w:t>
            </w:r>
          </w:p>
        </w:tc>
        <w:tc>
          <w:tcPr>
            <w:tcW w:w="10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373</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declared</w:t>
            </w:r>
          </w:p>
        </w:tc>
        <w:tc>
          <w:tcPr>
            <w:tcW w:w="3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Distribution of Remy to FNFV Group common shareholders</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attributable to Fidelity National Financial, Inc. common shareholders</w:t>
            </w:r>
          </w:p>
        </w:tc>
        <w:tc>
          <w:tcPr>
            <w:tcW w:w="3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color w:val="auto"/>
              </w:rPr>
              <w:t>Retained earnings, end of year</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1,089</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849</w:t>
            </w:r>
          </w:p>
        </w:tc>
      </w:tr>
      <w:tr>
        <w:trPr>
          <w:trHeight w:val="20"/>
        </w:trPr>
        <w:tc>
          <w:tcPr>
            <w:tcW w:w="7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Accompanying Report of Independent Registered Public Accounting Firm</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20"/>
          </w:cols>
          <w:pgMar w:left="240" w:top="125" w:right="2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80" w:type="dxa"/>
            <w:vAlign w:val="bottom"/>
            <w:gridSpan w:val="4"/>
          </w:tcPr>
          <w:p>
            <w:pPr>
              <w:jc w:val="right"/>
              <w:spacing w:after="0"/>
              <w:rPr>
                <w:sz w:val="20"/>
                <w:szCs w:val="20"/>
                <w:color w:val="auto"/>
              </w:rPr>
            </w:pPr>
            <w:r>
              <w:rPr>
                <w:rFonts w:ascii="Arial" w:cs="Arial" w:eastAsia="Arial" w:hAnsi="Arial"/>
                <w:sz w:val="18"/>
                <w:szCs w:val="18"/>
                <w:b w:val="1"/>
                <w:bCs w:val="1"/>
                <w:color w:val="auto"/>
              </w:rPr>
              <w:t>SCHEDULE II</w:t>
            </w:r>
          </w:p>
        </w:tc>
        <w:tc>
          <w:tcPr>
            <w:tcW w:w="0" w:type="dxa"/>
            <w:vAlign w:val="bottom"/>
          </w:tcPr>
          <w:p>
            <w:pPr>
              <w:spacing w:after="0"/>
              <w:rPr>
                <w:sz w:val="1"/>
                <w:szCs w:val="1"/>
                <w:color w:val="auto"/>
              </w:rPr>
            </w:pPr>
          </w:p>
        </w:tc>
      </w:tr>
      <w:tr>
        <w:trPr>
          <w:trHeight w:val="414"/>
        </w:trPr>
        <w:tc>
          <w:tcPr>
            <w:tcW w:w="8120" w:type="dxa"/>
            <w:vAlign w:val="bottom"/>
          </w:tcPr>
          <w:p>
            <w:pPr>
              <w:jc w:val="center"/>
              <w:ind w:left="3231"/>
              <w:spacing w:after="0"/>
              <w:rPr>
                <w:sz w:val="20"/>
                <w:szCs w:val="20"/>
                <w:color w:val="auto"/>
              </w:rPr>
            </w:pPr>
            <w:r>
              <w:rPr>
                <w:rFonts w:ascii="Arial" w:cs="Arial" w:eastAsia="Arial" w:hAnsi="Arial"/>
                <w:sz w:val="18"/>
                <w:szCs w:val="18"/>
                <w:b w:val="1"/>
                <w:bCs w:val="1"/>
                <w:color w:val="auto"/>
              </w:rPr>
              <w:t>FIDELITY NATIONAL FINANCIAL, INC.</w:t>
            </w: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20" w:type="dxa"/>
            <w:vAlign w:val="bottom"/>
          </w:tcPr>
          <w:p>
            <w:pPr>
              <w:jc w:val="center"/>
              <w:ind w:left="3211"/>
              <w:spacing w:after="0"/>
              <w:rPr>
                <w:sz w:val="20"/>
                <w:szCs w:val="20"/>
                <w:color w:val="auto"/>
              </w:rPr>
            </w:pPr>
            <w:r>
              <w:rPr>
                <w:rFonts w:ascii="Arial" w:cs="Arial" w:eastAsia="Arial" w:hAnsi="Arial"/>
                <w:sz w:val="18"/>
                <w:szCs w:val="18"/>
                <w:b w:val="1"/>
                <w:bCs w:val="1"/>
                <w:color w:val="auto"/>
                <w:w w:val="91"/>
              </w:rPr>
              <w:t>(Parent Company)</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20" w:type="dxa"/>
            <w:vAlign w:val="bottom"/>
          </w:tcPr>
          <w:p>
            <w:pPr>
              <w:ind w:left="4360"/>
              <w:spacing w:after="0"/>
              <w:rPr>
                <w:sz w:val="20"/>
                <w:szCs w:val="20"/>
                <w:color w:val="auto"/>
              </w:rPr>
            </w:pPr>
            <w:r>
              <w:rPr>
                <w:rFonts w:ascii="Arial" w:cs="Arial" w:eastAsia="Arial" w:hAnsi="Arial"/>
                <w:sz w:val="18"/>
                <w:szCs w:val="18"/>
                <w:b w:val="1"/>
                <w:bCs w:val="1"/>
                <w:color w:val="auto"/>
              </w:rPr>
              <w:t>STATEMENTS OF CASH FLOWS</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2"/>
        </w:trPr>
        <w:tc>
          <w:tcPr>
            <w:tcW w:w="8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7"/>
          </w:tcPr>
          <w:p>
            <w:pPr>
              <w:jc w:val="center"/>
              <w:ind w:left="431"/>
              <w:spacing w:after="0"/>
              <w:rPr>
                <w:sz w:val="20"/>
                <w:szCs w:val="20"/>
                <w:color w:val="auto"/>
              </w:rPr>
            </w:pPr>
            <w:r>
              <w:rPr>
                <w:rFonts w:ascii="Arial" w:cs="Arial" w:eastAsia="Arial" w:hAnsi="Arial"/>
                <w:sz w:val="14"/>
                <w:szCs w:val="14"/>
                <w:b w:val="1"/>
                <w:bCs w:val="1"/>
                <w:color w:val="auto"/>
                <w:w w:val="93"/>
              </w:rPr>
              <w:t>Year Ended December 31,</w:t>
            </w: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96"/>
        </w:trPr>
        <w:tc>
          <w:tcPr>
            <w:tcW w:w="8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6"/>
              </w:rPr>
              <w:t>(In millions)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8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earnings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394</w:t>
            </w:r>
          </w:p>
        </w:tc>
        <w:tc>
          <w:tcPr>
            <w:tcW w:w="4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Equity in earnings of subsidiaries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Tax benefit associated with the exercise of stock-based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Net change in income taxes</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(increase) decrease in prepaid expenses and other assets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8120" w:type="dxa"/>
            <w:vAlign w:val="bottom"/>
          </w:tcPr>
          <w:p>
            <w:pPr>
              <w:ind w:left="280"/>
              <w:spacing w:after="0"/>
              <w:rPr>
                <w:sz w:val="20"/>
                <w:szCs w:val="20"/>
                <w:color w:val="auto"/>
              </w:rPr>
            </w:pPr>
            <w:r>
              <w:rPr>
                <w:rFonts w:ascii="Arial" w:cs="Arial" w:eastAsia="Arial" w:hAnsi="Arial"/>
                <w:sz w:val="18"/>
                <w:szCs w:val="18"/>
                <w:color w:val="auto"/>
              </w:rPr>
              <w:t>Net increase (decrease) in accounts payable and other accrued liabilities</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provided by (used in) operating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58"/>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proceeds (purchases) of investments available for sale</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Additions to notes receivable</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Collection of notes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additions to investments in subsidiaries</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58"/>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24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offering</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Borrowings</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service payments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Make-whole call penalty on early extinguishment of debt</w:t>
            </w:r>
          </w:p>
        </w:tc>
        <w:tc>
          <w:tcPr>
            <w:tcW w:w="2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Dividends paid</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treasury stock</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Exercise of stock options</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 associated with the exercise of stock-based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Distribution to FNFV</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financing activity</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Net dividends from subsidiaries</w:t>
            </w:r>
          </w:p>
        </w:tc>
        <w:tc>
          <w:tcPr>
            <w:tcW w:w="24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(used in) provided by financing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w:t>
            </w:r>
          </w:p>
        </w:tc>
        <w:tc>
          <w:tcPr>
            <w:tcW w:w="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at beginning of year</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Cash at end of year</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1,105</w:t>
            </w:r>
          </w:p>
        </w:tc>
        <w:tc>
          <w:tcPr>
            <w:tcW w:w="4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
        </w:trPr>
        <w:tc>
          <w:tcPr>
            <w:tcW w:w="8120" w:type="dxa"/>
            <w:vAlign w:val="bottom"/>
            <w:vMerge w:val="restart"/>
          </w:tcPr>
          <w:p>
            <w:pPr>
              <w:jc w:val="center"/>
              <w:ind w:left="3231"/>
              <w:spacing w:after="0"/>
              <w:rPr>
                <w:sz w:val="20"/>
                <w:szCs w:val="20"/>
                <w:color w:val="auto"/>
              </w:rPr>
            </w:pPr>
            <w:r>
              <w:rPr>
                <w:rFonts w:ascii="Arial" w:cs="Arial" w:eastAsia="Arial" w:hAnsi="Arial"/>
                <w:sz w:val="18"/>
                <w:szCs w:val="18"/>
                <w:color w:val="auto"/>
                <w:w w:val="88"/>
              </w:rPr>
              <w:t>See Notes to Financial Statements and</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420"/>
          </w:cols>
          <w:pgMar w:left="240" w:top="125" w:right="23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Summary of Significant Accounting Policies</w:t>
      </w:r>
    </w:p>
    <w:p>
      <w:pPr>
        <w:spacing w:after="0" w:line="94"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Fidelity National Financial, Inc. transacts substantially all of its business through its subsidiaries. The Parent Company Financial Statements should be read in connection with the aforementioned Consolidated Financial Statements and Notes thereto included elsewhere herein. Certain reclassifications have been made in the 2013 presentation to conform to the classifications used in 2014.</w:t>
      </w:r>
    </w:p>
    <w:p>
      <w:pPr>
        <w:spacing w:after="0" w:line="46"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In 2014 we began reporting our Investments in subsidiaries net of non-controlling interest on the Balance Sheets and similarly on the Statement of earnings, we report Equity in earnings of subsidiaries net of (Loss) earnings attributable to non-controlling interest. The amount of Non-controlling interest reflected in Investments in subsidiaries was $79 million and $474 million as of December 31, 2014 and 2013, respectively. The amount of (Loss) earnings attributable to non-controlling interest reflected in Equity in earnings of subsidiaries on the Statements of Earnings was $(64) million, $17 million and $5 million for the years ending December 31, 2014, 2013 and 2012, respectively.</w:t>
      </w:r>
    </w:p>
    <w:p>
      <w:pPr>
        <w:spacing w:after="0" w:line="49" w:lineRule="exact"/>
        <w:rPr>
          <w:sz w:val="20"/>
          <w:szCs w:val="20"/>
          <w:color w:val="auto"/>
        </w:rPr>
      </w:pPr>
    </w:p>
    <w:p>
      <w:pPr>
        <w:ind w:left="660" w:hanging="652"/>
        <w:spacing w:after="0"/>
        <w:tabs>
          <w:tab w:leader="none" w:pos="6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w:t>
      </w:r>
    </w:p>
    <w:p>
      <w:pPr>
        <w:spacing w:after="0" w:line="9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Notes payable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740" w:type="dxa"/>
            <w:vAlign w:val="bottom"/>
            <w:tcBorders>
              <w:bottom w:val="single" w:sz="8" w:color="auto"/>
            </w:tcBorders>
          </w:tcPr>
          <w:p>
            <w:pPr>
              <w:spacing w:after="0"/>
              <w:rPr>
                <w:sz w:val="16"/>
                <w:szCs w:val="16"/>
                <w:color w:val="auto"/>
              </w:rPr>
            </w:pPr>
          </w:p>
        </w:tc>
      </w:tr>
      <w:tr>
        <w:trPr>
          <w:trHeight w:val="264"/>
        </w:trPr>
        <w:tc>
          <w:tcPr>
            <w:tcW w:w="90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w w:val="96"/>
              </w:rPr>
              <w:t>2013</w:t>
            </w:r>
          </w:p>
        </w:tc>
      </w:tr>
      <w:tr>
        <w:trPr>
          <w:trHeight w:val="250"/>
        </w:trPr>
        <w:tc>
          <w:tcPr>
            <w:tcW w:w="90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740" w:type="dxa"/>
            <w:vAlign w:val="bottom"/>
          </w:tcPr>
          <w:p>
            <w:pPr>
              <w:spacing w:after="0"/>
              <w:rPr>
                <w:sz w:val="21"/>
                <w:szCs w:val="21"/>
                <w:color w:val="auto"/>
              </w:rPr>
            </w:pPr>
          </w:p>
        </w:tc>
      </w:tr>
      <w:tr>
        <w:trPr>
          <w:trHeight w:val="256"/>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FNF Term Loan, interest payable monthly at LIBOR + 1.63% (1.86% at December 31, 2014), due January 2019</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Unsecured notes, net of discount, interest payable semi-annually at 5.50%, due September 2022</w:t>
            </w:r>
          </w:p>
        </w:tc>
        <w:tc>
          <w:tcPr>
            <w:tcW w:w="2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398</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Unsecured convertible notes, net of discount, interest payable semi-annually at 4.25%, due August 2018</w:t>
            </w: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285</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Unsecured notes, net of discount, interest payable semi-annually at 6.60%, due May 2017</w:t>
            </w:r>
          </w:p>
        </w:tc>
        <w:tc>
          <w:tcPr>
            <w:tcW w:w="2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300</w:t>
            </w:r>
          </w:p>
        </w:tc>
      </w:tr>
      <w:tr>
        <w:trPr>
          <w:trHeight w:val="27"/>
        </w:trPr>
        <w:tc>
          <w:tcPr>
            <w:tcW w:w="9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29"/>
        </w:trPr>
        <w:tc>
          <w:tcPr>
            <w:tcW w:w="90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Revolving Credit Facility, unsecured, unused portion of $800 at December 31, 2013, due April 2016 with interest payable</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57"/>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monthly at LIBOR + 1.45%</w:t>
            </w: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904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2,086</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983</w:t>
            </w:r>
          </w:p>
        </w:tc>
      </w:tr>
      <w:tr>
        <w:trPr>
          <w:trHeight w:val="27"/>
        </w:trPr>
        <w:tc>
          <w:tcPr>
            <w:tcW w:w="9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
        </w:trPr>
        <w:tc>
          <w:tcPr>
            <w:tcW w:w="9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660" w:hanging="652"/>
        <w:spacing w:after="0"/>
        <w:tabs>
          <w:tab w:leader="none" w:pos="66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Cash Flow Information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center"/>
              <w:ind w:left="56"/>
              <w:spacing w:after="0"/>
              <w:rPr>
                <w:sz w:val="20"/>
                <w:szCs w:val="20"/>
                <w:color w:val="auto"/>
              </w:rPr>
            </w:pPr>
            <w:r>
              <w:rPr>
                <w:rFonts w:ascii="Arial" w:cs="Arial" w:eastAsia="Arial" w:hAnsi="Arial"/>
                <w:sz w:val="14"/>
                <w:szCs w:val="14"/>
                <w:b w:val="1"/>
                <w:bCs w:val="1"/>
                <w:color w:val="auto"/>
                <w:w w:val="91"/>
              </w:rPr>
              <w:t>Year Ended December 31,</w:t>
            </w:r>
          </w:p>
        </w:tc>
        <w:tc>
          <w:tcPr>
            <w:tcW w:w="860" w:type="dxa"/>
            <w:vAlign w:val="bottom"/>
            <w:tcBorders>
              <w:bottom w:val="single" w:sz="8" w:color="auto"/>
            </w:tcBorders>
          </w:tcPr>
          <w:p>
            <w:pPr>
              <w:spacing w:after="0"/>
              <w:rPr>
                <w:sz w:val="16"/>
                <w:szCs w:val="16"/>
                <w:color w:val="auto"/>
              </w:rPr>
            </w:pPr>
          </w:p>
        </w:tc>
      </w:tr>
      <w:tr>
        <w:trPr>
          <w:trHeight w:val="264"/>
        </w:trPr>
        <w:tc>
          <w:tcPr>
            <w:tcW w:w="7780" w:type="dxa"/>
            <w:vAlign w:val="bottom"/>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6"/>
              </w:rPr>
              <w:t>2013</w:t>
            </w: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2012</w:t>
            </w:r>
          </w:p>
        </w:tc>
      </w:tr>
      <w:tr>
        <w:trPr>
          <w:trHeight w:val="190"/>
        </w:trPr>
        <w:tc>
          <w:tcPr>
            <w:tcW w:w="7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center"/>
              <w:ind w:right="99"/>
              <w:spacing w:after="0"/>
              <w:rPr>
                <w:sz w:val="20"/>
                <w:szCs w:val="20"/>
                <w:color w:val="auto"/>
              </w:rPr>
            </w:pPr>
            <w:r>
              <w:rPr>
                <w:rFonts w:ascii="Arial" w:cs="Arial" w:eastAsia="Arial" w:hAnsi="Arial"/>
                <w:sz w:val="14"/>
                <w:szCs w:val="14"/>
                <w:b w:val="1"/>
                <w:bCs w:val="1"/>
                <w:color w:val="auto"/>
                <w:w w:val="94"/>
              </w:rPr>
              <w:t>(In millions)</w:t>
            </w:r>
          </w:p>
        </w:tc>
        <w:tc>
          <w:tcPr>
            <w:tcW w:w="3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5"/>
        </w:trPr>
        <w:tc>
          <w:tcPr>
            <w:tcW w:w="7780" w:type="dxa"/>
            <w:vAlign w:val="bottom"/>
          </w:tcPr>
          <w:p>
            <w:pPr>
              <w:ind w:left="40"/>
              <w:spacing w:after="0"/>
              <w:rPr>
                <w:sz w:val="20"/>
                <w:szCs w:val="20"/>
                <w:color w:val="auto"/>
              </w:rPr>
            </w:pPr>
            <w:r>
              <w:rPr>
                <w:rFonts w:ascii="Arial" w:cs="Arial" w:eastAsia="Arial" w:hAnsi="Arial"/>
                <w:sz w:val="18"/>
                <w:szCs w:val="18"/>
                <w:color w:val="auto"/>
              </w:rPr>
              <w:t>Cash paid (received) during the year:</w:t>
            </w: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7"/>
        </w:trPr>
        <w:tc>
          <w:tcPr>
            <w:tcW w:w="7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w:t>
            </w:r>
          </w:p>
        </w:tc>
        <w:tc>
          <w:tcPr>
            <w:tcW w:w="740" w:type="dxa"/>
            <w:vAlign w:val="bottom"/>
            <w:tcBorders>
              <w:bottom w:val="single" w:sz="8" w:color="CCEEFF"/>
            </w:tcBorders>
            <w:shd w:val="clear" w:color="auto" w:fill="CCEEFF"/>
          </w:tcPr>
          <w:p>
            <w:pPr>
              <w:jc w:val="right"/>
              <w:ind w:right="539"/>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3"/>
              </w:rPr>
              <w:t>103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61</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Income tax payments</w:t>
            </w:r>
          </w:p>
        </w:tc>
        <w:tc>
          <w:tcPr>
            <w:tcW w:w="740" w:type="dxa"/>
            <w:vAlign w:val="bottom"/>
          </w:tcPr>
          <w:p>
            <w:pPr>
              <w:spacing w:after="0"/>
              <w:rPr>
                <w:sz w:val="21"/>
                <w:szCs w:val="21"/>
                <w:color w:val="auto"/>
              </w:rPr>
            </w:pPr>
          </w:p>
        </w:tc>
        <w:tc>
          <w:tcPr>
            <w:tcW w:w="420" w:type="dxa"/>
            <w:vAlign w:val="bottom"/>
          </w:tcPr>
          <w:p>
            <w:pPr>
              <w:jc w:val="right"/>
              <w:ind w:right="36"/>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21"/>
                <w:szCs w:val="21"/>
                <w:color w:val="auto"/>
              </w:rPr>
            </w:pPr>
          </w:p>
        </w:tc>
        <w:tc>
          <w:tcPr>
            <w:tcW w:w="1000" w:type="dxa"/>
            <w:vAlign w:val="bottom"/>
          </w:tcPr>
          <w:p>
            <w:pPr>
              <w:jc w:val="right"/>
              <w:ind w:right="59"/>
              <w:spacing w:after="0"/>
              <w:rPr>
                <w:sz w:val="20"/>
                <w:szCs w:val="20"/>
                <w:color w:val="auto"/>
              </w:rPr>
            </w:pPr>
            <w:r>
              <w:rPr>
                <w:rFonts w:ascii="Arial" w:cs="Arial" w:eastAsia="Arial" w:hAnsi="Arial"/>
                <w:sz w:val="18"/>
                <w:szCs w:val="18"/>
                <w:color w:val="auto"/>
              </w:rPr>
              <w:t>242</w:t>
            </w:r>
          </w:p>
        </w:tc>
        <w:tc>
          <w:tcPr>
            <w:tcW w:w="36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109</w:t>
            </w:r>
          </w:p>
        </w:tc>
      </w:tr>
    </w:tbl>
    <w:p>
      <w:pPr>
        <w:spacing w:after="0" w:line="90" w:lineRule="exact"/>
        <w:rPr>
          <w:sz w:val="20"/>
          <w:szCs w:val="20"/>
          <w:color w:val="auto"/>
        </w:rPr>
      </w:pPr>
    </w:p>
    <w:p>
      <w:pPr>
        <w:ind w:left="660" w:hanging="652"/>
        <w:spacing w:after="0"/>
        <w:tabs>
          <w:tab w:leader="none" w:pos="6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Cash Dividends Received</w:t>
      </w:r>
    </w:p>
    <w:p>
      <w:pPr>
        <w:spacing w:after="0" w:line="94" w:lineRule="exact"/>
        <w:rPr>
          <w:sz w:val="20"/>
          <w:szCs w:val="20"/>
          <w:color w:val="auto"/>
        </w:rPr>
      </w:pPr>
    </w:p>
    <w:p>
      <w:pPr>
        <w:ind w:right="20" w:firstLine="270"/>
        <w:spacing w:after="0" w:line="277" w:lineRule="auto"/>
        <w:rPr>
          <w:sz w:val="20"/>
          <w:szCs w:val="20"/>
          <w:color w:val="auto"/>
        </w:rPr>
      </w:pPr>
      <w:r>
        <w:rPr>
          <w:rFonts w:ascii="Arial" w:cs="Arial" w:eastAsia="Arial" w:hAnsi="Arial"/>
          <w:sz w:val="18"/>
          <w:szCs w:val="18"/>
          <w:color w:val="auto"/>
        </w:rPr>
        <w:t>We have received cash dividends from subsidiaries and affiliates of $0.4 billion, $0.1 billion, and $0.2 billion during the years ended December 31, 2014, 2013, and 2012,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125" w:right="2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2014, 2013 and 2012</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Column C</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50"/>
        </w:trPr>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6"/>
              </w:rPr>
              <w:t>Column B</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Additions</w:t>
            </w: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center"/>
              <w:ind w:right="110"/>
              <w:spacing w:after="0"/>
              <w:rPr>
                <w:sz w:val="20"/>
                <w:szCs w:val="20"/>
                <w:color w:val="auto"/>
              </w:rPr>
            </w:pPr>
            <w:r>
              <w:rPr>
                <w:rFonts w:ascii="Arial" w:cs="Arial" w:eastAsia="Arial" w:hAnsi="Arial"/>
                <w:sz w:val="14"/>
                <w:szCs w:val="14"/>
                <w:b w:val="1"/>
                <w:bCs w:val="1"/>
                <w:color w:val="auto"/>
                <w:w w:val="96"/>
              </w:rPr>
              <w:t>Column D</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4"/>
              </w:rPr>
              <w:t>Column E</w:t>
            </w:r>
          </w:p>
        </w:tc>
      </w:tr>
      <w:tr>
        <w:trPr>
          <w:trHeight w:val="258"/>
        </w:trPr>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Balance at</w:t>
            </w:r>
          </w:p>
        </w:tc>
        <w:tc>
          <w:tcPr>
            <w:tcW w:w="160" w:type="dxa"/>
            <w:vAlign w:val="bottom"/>
          </w:tcPr>
          <w:p>
            <w:pPr>
              <w:spacing w:after="0"/>
              <w:rPr>
                <w:sz w:val="22"/>
                <w:szCs w:val="22"/>
                <w:color w:val="auto"/>
              </w:rPr>
            </w:pPr>
          </w:p>
        </w:tc>
        <w:tc>
          <w:tcPr>
            <w:tcW w:w="800" w:type="dxa"/>
            <w:vAlign w:val="bottom"/>
          </w:tcPr>
          <w:p>
            <w:pPr>
              <w:ind w:left="40"/>
              <w:spacing w:after="0"/>
              <w:rPr>
                <w:sz w:val="20"/>
                <w:szCs w:val="20"/>
                <w:color w:val="auto"/>
              </w:rPr>
            </w:pPr>
            <w:r>
              <w:rPr>
                <w:rFonts w:ascii="Arial" w:cs="Arial" w:eastAsia="Arial" w:hAnsi="Arial"/>
                <w:sz w:val="14"/>
                <w:szCs w:val="14"/>
                <w:b w:val="1"/>
                <w:bCs w:val="1"/>
                <w:color w:val="auto"/>
              </w:rPr>
              <w:t>Charge to</w:t>
            </w: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center"/>
              <w:ind w:right="80"/>
              <w:spacing w:after="0"/>
              <w:rPr>
                <w:sz w:val="20"/>
                <w:szCs w:val="20"/>
                <w:color w:val="auto"/>
              </w:rPr>
            </w:pPr>
            <w:r>
              <w:rPr>
                <w:rFonts w:ascii="Arial" w:cs="Arial" w:eastAsia="Arial" w:hAnsi="Arial"/>
                <w:sz w:val="14"/>
                <w:szCs w:val="14"/>
                <w:b w:val="1"/>
                <w:bCs w:val="1"/>
                <w:color w:val="auto"/>
                <w:w w:val="91"/>
              </w:rPr>
              <w:t>Balance at</w:t>
            </w:r>
          </w:p>
        </w:tc>
      </w:tr>
      <w:tr>
        <w:trPr>
          <w:trHeight w:val="242"/>
        </w:trPr>
        <w:tc>
          <w:tcPr>
            <w:tcW w:w="40" w:type="dxa"/>
            <w:vAlign w:val="bottom"/>
          </w:tcPr>
          <w:p>
            <w:pPr>
              <w:spacing w:after="0"/>
              <w:rPr>
                <w:sz w:val="21"/>
                <w:szCs w:val="21"/>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Column A</w:t>
            </w:r>
          </w:p>
        </w:tc>
        <w:tc>
          <w:tcPr>
            <w:tcW w:w="4240" w:type="dxa"/>
            <w:vAlign w:val="bottom"/>
            <w:gridSpan w:val="2"/>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Beginning of</w:t>
            </w:r>
          </w:p>
        </w:tc>
        <w:tc>
          <w:tcPr>
            <w:tcW w:w="160" w:type="dxa"/>
            <w:vAlign w:val="bottom"/>
          </w:tcPr>
          <w:p>
            <w:pPr>
              <w:spacing w:after="0"/>
              <w:rPr>
                <w:sz w:val="21"/>
                <w:szCs w:val="21"/>
                <w:color w:val="auto"/>
              </w:rPr>
            </w:pPr>
          </w:p>
        </w:tc>
        <w:tc>
          <w:tcPr>
            <w:tcW w:w="800" w:type="dxa"/>
            <w:vAlign w:val="bottom"/>
          </w:tcPr>
          <w:p>
            <w:pPr>
              <w:ind w:left="40"/>
              <w:spacing w:after="0"/>
              <w:rPr>
                <w:sz w:val="20"/>
                <w:szCs w:val="20"/>
                <w:color w:val="auto"/>
              </w:rPr>
            </w:pPr>
            <w:r>
              <w:rPr>
                <w:rFonts w:ascii="Arial" w:cs="Arial" w:eastAsia="Arial" w:hAnsi="Arial"/>
                <w:sz w:val="14"/>
                <w:szCs w:val="14"/>
                <w:b w:val="1"/>
                <w:bCs w:val="1"/>
                <w:color w:val="auto"/>
              </w:rPr>
              <w:t>Costs and</w:t>
            </w:r>
          </w:p>
        </w:tc>
        <w:tc>
          <w:tcPr>
            <w:tcW w:w="700" w:type="dxa"/>
            <w:vAlign w:val="bottom"/>
          </w:tcPr>
          <w:p>
            <w:pPr>
              <w:spacing w:after="0"/>
              <w:rPr>
                <w:sz w:val="21"/>
                <w:szCs w:val="21"/>
                <w:color w:val="auto"/>
              </w:rPr>
            </w:pPr>
          </w:p>
        </w:tc>
        <w:tc>
          <w:tcPr>
            <w:tcW w:w="1040" w:type="dxa"/>
            <w:vAlign w:val="bottom"/>
            <w:gridSpan w:val="2"/>
          </w:tcPr>
          <w:p>
            <w:pPr>
              <w:ind w:left="40"/>
              <w:spacing w:after="0"/>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21"/>
                <w:szCs w:val="21"/>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Deduction</w:t>
            </w:r>
          </w:p>
        </w:tc>
        <w:tc>
          <w:tcPr>
            <w:tcW w:w="180" w:type="dxa"/>
            <w:vAlign w:val="bottom"/>
          </w:tcPr>
          <w:p>
            <w:pPr>
              <w:spacing w:after="0"/>
              <w:rPr>
                <w:sz w:val="21"/>
                <w:szCs w:val="21"/>
                <w:color w:val="auto"/>
              </w:rPr>
            </w:pPr>
          </w:p>
        </w:tc>
        <w:tc>
          <w:tcPr>
            <w:tcW w:w="960" w:type="dxa"/>
            <w:vAlign w:val="bottom"/>
          </w:tcPr>
          <w:p>
            <w:pPr>
              <w:jc w:val="center"/>
              <w:ind w:right="100"/>
              <w:spacing w:after="0"/>
              <w:rPr>
                <w:sz w:val="20"/>
                <w:szCs w:val="20"/>
                <w:color w:val="auto"/>
              </w:rPr>
            </w:pPr>
            <w:r>
              <w:rPr>
                <w:rFonts w:ascii="Arial" w:cs="Arial" w:eastAsia="Arial" w:hAnsi="Arial"/>
                <w:sz w:val="14"/>
                <w:szCs w:val="14"/>
                <w:b w:val="1"/>
                <w:bCs w:val="1"/>
                <w:color w:val="auto"/>
                <w:w w:val="96"/>
              </w:rPr>
              <w:t>End of</w:t>
            </w:r>
          </w:p>
        </w:tc>
      </w:tr>
      <w:tr>
        <w:trPr>
          <w:trHeight w:val="285"/>
        </w:trPr>
        <w:tc>
          <w:tcPr>
            <w:tcW w:w="40" w:type="dxa"/>
            <w:vAlign w:val="bottom"/>
          </w:tcPr>
          <w:p>
            <w:pPr>
              <w:spacing w:after="0"/>
              <w:rPr>
                <w:sz w:val="24"/>
                <w:szCs w:val="24"/>
                <w:color w:val="auto"/>
              </w:rPr>
            </w:pPr>
          </w:p>
        </w:tc>
        <w:tc>
          <w:tcPr>
            <w:tcW w:w="488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24"/>
                <w:szCs w:val="2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24"/>
                <w:szCs w:val="24"/>
                <w:color w:val="auto"/>
              </w:rPr>
            </w:pP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Expenses</w:t>
            </w:r>
          </w:p>
        </w:tc>
        <w:tc>
          <w:tcPr>
            <w:tcW w:w="1740" w:type="dxa"/>
            <w:vAlign w:val="bottom"/>
            <w:gridSpan w:val="3"/>
          </w:tcPr>
          <w:p>
            <w:pPr>
              <w:ind w:left="560"/>
              <w:spacing w:after="0"/>
              <w:rPr>
                <w:sz w:val="20"/>
                <w:szCs w:val="20"/>
                <w:color w:val="auto"/>
              </w:rPr>
            </w:pPr>
            <w:r>
              <w:rPr>
                <w:rFonts w:ascii="Arial" w:cs="Arial" w:eastAsia="Arial" w:hAnsi="Arial"/>
                <w:sz w:val="14"/>
                <w:szCs w:val="14"/>
                <w:b w:val="1"/>
                <w:bCs w:val="1"/>
                <w:color w:val="auto"/>
              </w:rPr>
              <w:t>(Described)</w:t>
            </w:r>
          </w:p>
        </w:tc>
        <w:tc>
          <w:tcPr>
            <w:tcW w:w="240" w:type="dxa"/>
            <w:vAlign w:val="bottom"/>
          </w:tcPr>
          <w:p>
            <w:pPr>
              <w:spacing w:after="0"/>
              <w:rPr>
                <w:sz w:val="24"/>
                <w:szCs w:val="24"/>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(Described)</w:t>
            </w:r>
          </w:p>
        </w:tc>
        <w:tc>
          <w:tcPr>
            <w:tcW w:w="180" w:type="dxa"/>
            <w:vAlign w:val="bottom"/>
          </w:tcPr>
          <w:p>
            <w:pPr>
              <w:spacing w:after="0"/>
              <w:rPr>
                <w:sz w:val="24"/>
                <w:szCs w:val="24"/>
                <w:color w:val="auto"/>
              </w:rPr>
            </w:pPr>
          </w:p>
        </w:tc>
        <w:tc>
          <w:tcPr>
            <w:tcW w:w="960" w:type="dxa"/>
            <w:vAlign w:val="bottom"/>
          </w:tcPr>
          <w:p>
            <w:pPr>
              <w:jc w:val="center"/>
              <w:ind w:right="100"/>
              <w:spacing w:after="0"/>
              <w:rPr>
                <w:sz w:val="20"/>
                <w:szCs w:val="20"/>
                <w:color w:val="auto"/>
              </w:rPr>
            </w:pPr>
            <w:r>
              <w:rPr>
                <w:rFonts w:ascii="Arial" w:cs="Arial" w:eastAsia="Arial" w:hAnsi="Arial"/>
                <w:sz w:val="14"/>
                <w:szCs w:val="14"/>
                <w:b w:val="1"/>
                <w:bCs w:val="1"/>
                <w:color w:val="auto"/>
                <w:w w:val="96"/>
              </w:rPr>
              <w:t>Period</w:t>
            </w:r>
          </w:p>
        </w:tc>
      </w:tr>
      <w:tr>
        <w:trPr>
          <w:trHeight w:val="250"/>
        </w:trPr>
        <w:tc>
          <w:tcPr>
            <w:tcW w:w="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4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r>
      <w:tr>
        <w:trPr>
          <w:trHeight w:val="256"/>
        </w:trPr>
        <w:tc>
          <w:tcPr>
            <w:tcW w:w="40" w:type="dxa"/>
            <w:vAlign w:val="bottom"/>
            <w:tcBorders>
              <w:bottom w:val="single" w:sz="8" w:color="CCEEFF"/>
            </w:tcBorders>
            <w:shd w:val="clear" w:color="auto" w:fill="CCEEFF"/>
          </w:tcPr>
          <w:p>
            <w:pPr>
              <w:spacing w:after="0"/>
              <w:rPr>
                <w:sz w:val="22"/>
                <w:szCs w:val="22"/>
                <w:color w:val="auto"/>
              </w:rPr>
            </w:pPr>
          </w:p>
        </w:tc>
        <w:tc>
          <w:tcPr>
            <w:tcW w:w="48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Year ended December 31, 2014:</w:t>
            </w: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4880" w:type="dxa"/>
            <w:vAlign w:val="bottom"/>
            <w:gridSpan w:val="3"/>
          </w:tcPr>
          <w:p>
            <w:pPr>
              <w:spacing w:after="0"/>
              <w:rPr>
                <w:sz w:val="20"/>
                <w:szCs w:val="20"/>
                <w:color w:val="auto"/>
              </w:rPr>
            </w:pPr>
            <w:r>
              <w:rPr>
                <w:rFonts w:ascii="Arial" w:cs="Arial" w:eastAsia="Arial" w:hAnsi="Arial"/>
                <w:sz w:val="18"/>
                <w:szCs w:val="18"/>
                <w:color w:val="auto"/>
              </w:rPr>
              <w:t>Reserve for claim losses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60"/>
              <w:spacing w:after="0"/>
              <w:rPr>
                <w:sz w:val="20"/>
                <w:szCs w:val="20"/>
                <w:color w:val="auto"/>
              </w:rPr>
            </w:pPr>
            <w:r>
              <w:rPr>
                <w:rFonts w:ascii="Arial" w:cs="Arial" w:eastAsia="Arial" w:hAnsi="Arial"/>
                <w:sz w:val="18"/>
                <w:szCs w:val="18"/>
                <w:color w:val="auto"/>
              </w:rPr>
              <w:t>1,636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228</w:t>
            </w:r>
          </w:p>
        </w:tc>
        <w:tc>
          <w:tcPr>
            <w:tcW w:w="700" w:type="dxa"/>
            <w:vAlign w:val="bottom"/>
          </w:tcPr>
          <w:p>
            <w:pPr>
              <w:jc w:val="right"/>
              <w:ind w:right="339"/>
              <w:spacing w:after="0"/>
              <w:rPr>
                <w:sz w:val="20"/>
                <w:szCs w:val="20"/>
                <w:color w:val="auto"/>
              </w:rPr>
            </w:pPr>
            <w:r>
              <w:rPr>
                <w:rFonts w:ascii="Arial" w:cs="Arial" w:eastAsia="Arial" w:hAnsi="Arial"/>
                <w:sz w:val="18"/>
                <w:szCs w:val="18"/>
                <w:color w:val="auto"/>
              </w:rPr>
              <w:t>$</w:t>
            </w:r>
          </w:p>
        </w:tc>
        <w:tc>
          <w:tcPr>
            <w:tcW w:w="940" w:type="dxa"/>
            <w:vAlign w:val="bottom"/>
          </w:tcPr>
          <w:p>
            <w:pPr>
              <w:ind w:left="200"/>
              <w:spacing w:after="0"/>
              <w:rPr>
                <w:sz w:val="20"/>
                <w:szCs w:val="20"/>
                <w:color w:val="auto"/>
              </w:rPr>
            </w:pPr>
            <w:r>
              <w:rPr>
                <w:rFonts w:ascii="Arial" w:cs="Arial" w:eastAsia="Arial" w:hAnsi="Arial"/>
                <w:sz w:val="18"/>
                <w:szCs w:val="18"/>
                <w:color w:val="auto"/>
              </w:rPr>
              <w:t>59  (2)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302</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20"/>
              <w:spacing w:after="0"/>
              <w:rPr>
                <w:sz w:val="20"/>
                <w:szCs w:val="20"/>
                <w:color w:val="auto"/>
              </w:rPr>
            </w:pPr>
            <w:r>
              <w:rPr>
                <w:rFonts w:ascii="Arial" w:cs="Arial" w:eastAsia="Arial" w:hAnsi="Arial"/>
                <w:sz w:val="18"/>
                <w:szCs w:val="18"/>
                <w:color w:val="auto"/>
              </w:rPr>
              <w:t>1,621</w:t>
            </w: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84"/>
        </w:trPr>
        <w:tc>
          <w:tcPr>
            <w:tcW w:w="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4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4880" w:type="dxa"/>
            <w:vAlign w:val="bottom"/>
            <w:gridSpan w:val="3"/>
          </w:tcPr>
          <w:p>
            <w:pPr>
              <w:spacing w:after="0"/>
              <w:rPr>
                <w:sz w:val="20"/>
                <w:szCs w:val="20"/>
                <w:color w:val="auto"/>
              </w:rPr>
            </w:pPr>
            <w:r>
              <w:rPr>
                <w:rFonts w:ascii="Arial" w:cs="Arial" w:eastAsia="Arial" w:hAnsi="Arial"/>
                <w:sz w:val="18"/>
                <w:szCs w:val="18"/>
                <w:color w:val="auto"/>
              </w:rPr>
              <w:t>Year ended December 31, 2013:</w:t>
            </w: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Reserve for claim losses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8"/>
                <w:szCs w:val="18"/>
                <w:color w:val="auto"/>
              </w:rPr>
              <w:t>1,748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70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4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1,636</w:t>
            </w:r>
          </w:p>
        </w:tc>
      </w:tr>
      <w:tr>
        <w:trPr>
          <w:trHeight w:val="284"/>
        </w:trPr>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48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Year ended December 31, 2012:</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4880" w:type="dxa"/>
            <w:vAlign w:val="bottom"/>
            <w:gridSpan w:val="3"/>
          </w:tcPr>
          <w:p>
            <w:pPr>
              <w:spacing w:after="0"/>
              <w:rPr>
                <w:sz w:val="20"/>
                <w:szCs w:val="20"/>
                <w:color w:val="auto"/>
              </w:rPr>
            </w:pPr>
            <w:r>
              <w:rPr>
                <w:rFonts w:ascii="Arial" w:cs="Arial" w:eastAsia="Arial" w:hAnsi="Arial"/>
                <w:sz w:val="18"/>
                <w:szCs w:val="18"/>
                <w:color w:val="auto"/>
              </w:rPr>
              <w:t>Reserve for claim losses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60"/>
              <w:spacing w:after="0"/>
              <w:rPr>
                <w:sz w:val="20"/>
                <w:szCs w:val="20"/>
                <w:color w:val="auto"/>
              </w:rPr>
            </w:pPr>
            <w:r>
              <w:rPr>
                <w:rFonts w:ascii="Arial" w:cs="Arial" w:eastAsia="Arial" w:hAnsi="Arial"/>
                <w:sz w:val="18"/>
                <w:szCs w:val="18"/>
                <w:color w:val="auto"/>
              </w:rPr>
              <w:t>1,913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268</w:t>
            </w:r>
          </w:p>
        </w:tc>
        <w:tc>
          <w:tcPr>
            <w:tcW w:w="700" w:type="dxa"/>
            <w:vAlign w:val="bottom"/>
          </w:tcPr>
          <w:p>
            <w:pPr>
              <w:jc w:val="right"/>
              <w:ind w:right="339"/>
              <w:spacing w:after="0"/>
              <w:rPr>
                <w:sz w:val="20"/>
                <w:szCs w:val="20"/>
                <w:color w:val="auto"/>
              </w:rPr>
            </w:pPr>
            <w:r>
              <w:rPr>
                <w:rFonts w:ascii="Arial" w:cs="Arial" w:eastAsia="Arial" w:hAnsi="Arial"/>
                <w:sz w:val="18"/>
                <w:szCs w:val="18"/>
                <w:color w:val="auto"/>
              </w:rPr>
              <w:t>$</w:t>
            </w:r>
          </w:p>
        </w:tc>
        <w:tc>
          <w:tcPr>
            <w:tcW w:w="10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433</w:t>
            </w:r>
          </w:p>
        </w:tc>
        <w:tc>
          <w:tcPr>
            <w:tcW w:w="480" w:type="dxa"/>
            <w:vAlign w:val="bottom"/>
          </w:tcPr>
          <w:p>
            <w:pPr>
              <w:jc w:val="right"/>
              <w:ind w:right="1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20"/>
              <w:spacing w:after="0"/>
              <w:rPr>
                <w:sz w:val="20"/>
                <w:szCs w:val="20"/>
                <w:color w:val="auto"/>
              </w:rPr>
            </w:pPr>
            <w:r>
              <w:rPr>
                <w:rFonts w:ascii="Arial" w:cs="Arial" w:eastAsia="Arial" w:hAnsi="Arial"/>
                <w:sz w:val="18"/>
                <w:szCs w:val="18"/>
                <w:color w:val="auto"/>
              </w:rPr>
              <w:t>1,748</w:t>
            </w:r>
          </w:p>
        </w:tc>
      </w:tr>
      <w:tr>
        <w:trPr>
          <w:trHeight w:val="243"/>
        </w:trPr>
        <w:tc>
          <w:tcPr>
            <w:tcW w:w="4800" w:type="dxa"/>
            <w:vAlign w:val="bottom"/>
            <w:gridSpan w:val="3"/>
          </w:tcPr>
          <w:p>
            <w:pPr>
              <w:jc w:val="right"/>
              <w:ind w:right="2280"/>
              <w:spacing w:after="0"/>
              <w:rPr>
                <w:sz w:val="20"/>
                <w:szCs w:val="20"/>
                <w:color w:val="auto"/>
              </w:rPr>
            </w:pPr>
            <w:r>
              <w:rPr>
                <w:rFonts w:ascii="Arial" w:cs="Arial" w:eastAsia="Arial" w:hAnsi="Arial"/>
                <w:sz w:val="18"/>
                <w:szCs w:val="18"/>
                <w:color w:val="auto"/>
                <w:w w:val="89"/>
              </w:rPr>
              <w:t>____________________________</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r>
    </w:tbl>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Represents payments of claim losses, net of recoupments.</w:t>
      </w:r>
    </w:p>
    <w:p>
      <w:pPr>
        <w:spacing w:after="0" w:line="9" w:lineRule="exact"/>
        <w:rPr>
          <w:rFonts w:ascii="Arial" w:cs="Arial" w:eastAsia="Arial" w:hAnsi="Arial"/>
          <w:sz w:val="18"/>
          <w:szCs w:val="18"/>
          <w:color w:val="auto"/>
        </w:rPr>
      </w:pPr>
    </w:p>
    <w:p>
      <w:pPr>
        <w:ind w:left="660" w:hanging="328"/>
        <w:spacing w:after="0" w:line="290" w:lineRule="auto"/>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Represents an increase of $54 million to the reserve for claim losses as a result of the acquisition of LPS (See Note B), a $2 million decrease to the reserve due to the sale of a small title operation and recording $7 million increase to the claims reserve for a reinsurance recoverable.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Report of Independent Registered Public Accounting Firm</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125" w:right="23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5800" w:type="dxa"/>
            <w:vAlign w:val="bottom"/>
            <w:gridSpan w:val="2"/>
          </w:tcPr>
          <w:p>
            <w:pPr>
              <w:ind w:left="430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585"/>
        </w:trPr>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98"/>
              </w:rPr>
              <w:t>Exhibit</w:t>
            </w:r>
          </w:p>
        </w:tc>
        <w:tc>
          <w:tcPr>
            <w:tcW w:w="5100" w:type="dxa"/>
            <w:vAlign w:val="bottom"/>
          </w:tcPr>
          <w:p>
            <w:pPr>
              <w:spacing w:after="0"/>
              <w:rPr>
                <w:sz w:val="24"/>
                <w:szCs w:val="24"/>
                <w:color w:val="auto"/>
              </w:rPr>
            </w:pPr>
          </w:p>
        </w:tc>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0" w:type="dxa"/>
            <w:vAlign w:val="bottom"/>
          </w:tcPr>
          <w:p>
            <w:pPr>
              <w:spacing w:after="0"/>
              <w:rPr>
                <w:sz w:val="1"/>
                <w:szCs w:val="1"/>
                <w:color w:val="auto"/>
              </w:rPr>
            </w:pPr>
          </w:p>
        </w:tc>
      </w:tr>
      <w:tr>
        <w:trPr>
          <w:trHeight w:val="158"/>
        </w:trPr>
        <w:tc>
          <w:tcPr>
            <w:tcW w:w="500" w:type="dxa"/>
            <w:vAlign w:val="bottom"/>
            <w:tcBorders>
              <w:bottom w:val="single" w:sz="8" w:color="auto"/>
            </w:tcBorders>
          </w:tcPr>
          <w:p>
            <w:pPr>
              <w:spacing w:after="0" w:line="158" w:lineRule="exact"/>
              <w:rPr>
                <w:sz w:val="20"/>
                <w:szCs w:val="20"/>
                <w:color w:val="auto"/>
              </w:rPr>
            </w:pPr>
            <w:r>
              <w:rPr>
                <w:rFonts w:ascii="Arial" w:cs="Arial" w:eastAsia="Arial" w:hAnsi="Arial"/>
                <w:sz w:val="14"/>
                <w:szCs w:val="14"/>
                <w:b w:val="1"/>
                <w:bCs w:val="1"/>
                <w:color w:val="auto"/>
                <w:w w:val="90"/>
              </w:rPr>
              <w:t>Number</w:t>
            </w:r>
          </w:p>
        </w:tc>
        <w:tc>
          <w:tcPr>
            <w:tcW w:w="5100" w:type="dxa"/>
            <w:vAlign w:val="bottom"/>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960" w:right="20" w:hanging="688"/>
        <w:spacing w:after="0" w:line="277" w:lineRule="auto"/>
        <w:tabs>
          <w:tab w:leader="none" w:pos="94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Form of Notice of FNF Group Restricted Stock Grant and FNF Group Restricted Stock Award Agreement under Amended and Restated Fidelity National Financial, Inc. 2005 Omnibus Incentive Plan for November 2014 Awards (1)</w:t>
      </w:r>
    </w:p>
    <w:p>
      <w:pPr>
        <w:spacing w:after="0" w:line="8" w:lineRule="exact"/>
        <w:rPr>
          <w:sz w:val="20"/>
          <w:szCs w:val="20"/>
          <w:color w:val="auto"/>
        </w:rPr>
      </w:pPr>
    </w:p>
    <w:p>
      <w:pPr>
        <w:jc w:val="both"/>
        <w:ind w:left="960" w:right="20" w:hanging="684"/>
        <w:spacing w:after="0" w:line="277" w:lineRule="auto"/>
        <w:tabs>
          <w:tab w:leader="none" w:pos="940" w:val="left"/>
        </w:tabs>
        <w:rPr>
          <w:sz w:val="20"/>
          <w:szCs w:val="20"/>
          <w:color w:val="auto"/>
        </w:rPr>
      </w:pPr>
      <w:r>
        <w:rPr>
          <w:rFonts w:ascii="Arial" w:cs="Arial" w:eastAsia="Arial" w:hAnsi="Arial"/>
          <w:sz w:val="18"/>
          <w:szCs w:val="18"/>
          <w:color w:val="auto"/>
        </w:rPr>
        <w:t>10.11</w:t>
      </w:r>
      <w:r>
        <w:rPr>
          <w:sz w:val="20"/>
          <w:szCs w:val="20"/>
          <w:color w:val="auto"/>
        </w:rPr>
        <w:tab/>
      </w:r>
      <w:r>
        <w:rPr>
          <w:rFonts w:ascii="Arial" w:cs="Arial" w:eastAsia="Arial" w:hAnsi="Arial"/>
          <w:sz w:val="18"/>
          <w:szCs w:val="18"/>
          <w:color w:val="auto"/>
        </w:rPr>
        <w:t>Form of Notice of FNF Group Stock Option Award and FNF Group Stock Option Award Agreement under Amended and Restated Fidelity National Financial, Inc. 2005 Omnibus Incentive Plan for November 2014 Awards (1)</w:t>
      </w:r>
    </w:p>
    <w:p>
      <w:pPr>
        <w:spacing w:after="0" w:line="8" w:lineRule="exact"/>
        <w:rPr>
          <w:sz w:val="20"/>
          <w:szCs w:val="20"/>
          <w:color w:val="auto"/>
        </w:rPr>
      </w:pPr>
    </w:p>
    <w:p>
      <w:pPr>
        <w:jc w:val="both"/>
        <w:ind w:left="960" w:right="20" w:hanging="688"/>
        <w:spacing w:after="0" w:line="264" w:lineRule="auto"/>
        <w:tabs>
          <w:tab w:leader="none" w:pos="940" w:val="left"/>
        </w:tabs>
        <w:rPr>
          <w:sz w:val="20"/>
          <w:szCs w:val="20"/>
          <w:color w:val="auto"/>
        </w:rPr>
      </w:pPr>
      <w:r>
        <w:rPr>
          <w:rFonts w:ascii="Arial" w:cs="Arial" w:eastAsia="Arial" w:hAnsi="Arial"/>
          <w:sz w:val="18"/>
          <w:szCs w:val="18"/>
          <w:color w:val="auto"/>
        </w:rPr>
        <w:t>10.12</w:t>
      </w:r>
      <w:r>
        <w:rPr>
          <w:sz w:val="20"/>
          <w:szCs w:val="20"/>
          <w:color w:val="auto"/>
        </w:rPr>
        <w:tab/>
      </w:r>
      <w:r>
        <w:rPr>
          <w:rFonts w:ascii="Arial" w:cs="Arial" w:eastAsia="Arial" w:hAnsi="Arial"/>
          <w:sz w:val="18"/>
          <w:szCs w:val="18"/>
          <w:color w:val="auto"/>
        </w:rPr>
        <w:t>Form of Notice of FNFV Group Restricted Stock Grant and FNFV Group Restricted Stock Award Agreement under Amended and Restated Fidelity National Financial, Inc. 2005 Omnibus Incentive Plan for September 2014 Awards (incorporated by reference to Exhibit 10.1 to the Registrant’s Quarterly Report on Form 10-Q for the quarter ended September 30, 2014) (1)</w:t>
      </w:r>
    </w:p>
    <w:p>
      <w:pPr>
        <w:spacing w:after="0" w:line="19" w:lineRule="exact"/>
        <w:rPr>
          <w:sz w:val="20"/>
          <w:szCs w:val="20"/>
          <w:color w:val="auto"/>
        </w:rPr>
      </w:pPr>
    </w:p>
    <w:p>
      <w:pPr>
        <w:jc w:val="both"/>
        <w:ind w:left="960" w:right="20" w:hanging="688"/>
        <w:spacing w:after="0" w:line="264" w:lineRule="auto"/>
        <w:tabs>
          <w:tab w:leader="none" w:pos="94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8"/>
          <w:szCs w:val="18"/>
          <w:color w:val="auto"/>
        </w:rPr>
        <w:t>Form of Notice of Restricted Stock Grant and FNF Group Restricted Stock Award Agreement under Amended and Restated Fidelity National Financial, Inc. 2005 Omnibus Incentive Plan for November 2013 Awards (incorporated by reference to Exhibit 10.11 to the Registrant’s Annual Report on Form 10-K for the year ended December 31, 2013)(1)</w:t>
      </w:r>
    </w:p>
    <w:p>
      <w:pPr>
        <w:spacing w:after="0" w:line="19" w:lineRule="exact"/>
        <w:rPr>
          <w:sz w:val="20"/>
          <w:szCs w:val="20"/>
          <w:color w:val="auto"/>
        </w:rPr>
      </w:pPr>
    </w:p>
    <w:p>
      <w:pPr>
        <w:jc w:val="both"/>
        <w:ind w:left="960" w:right="20" w:hanging="688"/>
        <w:spacing w:after="0" w:line="264" w:lineRule="auto"/>
        <w:tabs>
          <w:tab w:leader="none" w:pos="94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8"/>
          <w:szCs w:val="18"/>
          <w:color w:val="auto"/>
        </w:rPr>
        <w:t>Form of Notice of Stock Option Award and Stock Option Award Agreement under Amended and Restated Fidelity National Financial, Inc. 2005 Omnibus Incentive Plan for November 2013 Awards (incorporated by reference to Exhibit 10.12 to the Registrant’s Annual Report on Form 10-K for the year ended December 31, 2013)(1)</w:t>
      </w:r>
    </w:p>
    <w:p>
      <w:pPr>
        <w:spacing w:after="0" w:line="19"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Form of Notice of Restricted Stock Grant and Restricted Stock Award Agreement under Amended and Restated Fidelity National Financial, Inc.</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6"/>
          <w:szCs w:val="16"/>
          <w:color w:val="auto"/>
        </w:rPr>
        <w:t>2005 Omnibus Incentive Plan for October 2012 awards (incorporated by reference to Exhibit 10.6 to the Registrant's Annual Report on Form</w:t>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10-K for the year ended December 31, 2012) (1)</w:t>
      </w:r>
    </w:p>
    <w:p>
      <w:pPr>
        <w:spacing w:after="0" w:line="49"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Form of Notice of Restricted Stock Grant and Restricted Stock Award Agreement under Amended and Restated Fidelity National Financial, Inc.</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6"/>
          <w:szCs w:val="16"/>
          <w:color w:val="auto"/>
        </w:rPr>
        <w:t>2005 Omnibus Incentive Plan for October 2011 awards (incorporated by reference to Exhibit 10.6 to the Registrant's Annual Report on Form</w:t>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10-K for the year ended December 31, 2011) (1)</w:t>
      </w:r>
    </w:p>
    <w:p>
      <w:pPr>
        <w:spacing w:after="0" w:line="49"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Form of Notice of Restricted Stock Grant and Restricted Stock Award Agreement under Amended and Restated Fidelity National Financial, Inc.</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6"/>
          <w:szCs w:val="16"/>
          <w:color w:val="auto"/>
        </w:rPr>
        <w:t>2005 Omnibus Incentive Plan for November 2010 awards (incorporated by reference to Exhibit 10.7 to the Registrant's Annual Report on Form</w:t>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10-K for the year ended December 31, 2010) (1)</w:t>
      </w:r>
    </w:p>
    <w:p>
      <w:pPr>
        <w:spacing w:after="0" w:line="49" w:lineRule="exact"/>
        <w:rPr>
          <w:sz w:val="20"/>
          <w:szCs w:val="20"/>
          <w:color w:val="auto"/>
        </w:rPr>
      </w:pPr>
    </w:p>
    <w:p>
      <w:pPr>
        <w:ind w:left="260"/>
        <w:spacing w:after="0"/>
        <w:tabs>
          <w:tab w:leader="none" w:pos="940" w:val="left"/>
        </w:tabs>
        <w:rPr>
          <w:sz w:val="20"/>
          <w:szCs w:val="20"/>
          <w:color w:val="auto"/>
        </w:rPr>
      </w:pPr>
      <w:r>
        <w:rPr>
          <w:rFonts w:ascii="Arial" w:cs="Arial" w:eastAsia="Arial" w:hAnsi="Arial"/>
          <w:sz w:val="18"/>
          <w:szCs w:val="18"/>
          <w:color w:val="auto"/>
        </w:rPr>
        <w:t>10.18</w:t>
      </w:r>
      <w:r>
        <w:rPr>
          <w:sz w:val="20"/>
          <w:szCs w:val="20"/>
          <w:color w:val="auto"/>
        </w:rPr>
        <w:tab/>
      </w:r>
      <w:r>
        <w:rPr>
          <w:rFonts w:ascii="Arial" w:cs="Arial" w:eastAsia="Arial" w:hAnsi="Arial"/>
          <w:sz w:val="16"/>
          <w:szCs w:val="16"/>
          <w:color w:val="auto"/>
        </w:rPr>
        <w:t>Form of Notice of Restricted Stock Grant and Restricted Stock Award Agreement under Amended and Restated Fidelity National Financial, Inc.</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6"/>
          <w:szCs w:val="16"/>
          <w:color w:val="auto"/>
        </w:rPr>
        <w:t>2005 Omnibus Incentive Plan for November 2009 awards (incorporated by reference to Exhibit 10.6 to the Registrant's Annual Report on Form</w:t>
      </w:r>
    </w:p>
    <w:p>
      <w:pPr>
        <w:spacing w:after="0" w:line="32" w:lineRule="exact"/>
        <w:rPr>
          <w:sz w:val="20"/>
          <w:szCs w:val="20"/>
          <w:color w:val="auto"/>
        </w:rPr>
      </w:pPr>
    </w:p>
    <w:p>
      <w:pPr>
        <w:ind w:left="960"/>
        <w:spacing w:after="0"/>
        <w:rPr>
          <w:sz w:val="20"/>
          <w:szCs w:val="20"/>
          <w:color w:val="auto"/>
        </w:rPr>
      </w:pPr>
      <w:r>
        <w:rPr>
          <w:rFonts w:ascii="Arial" w:cs="Arial" w:eastAsia="Arial" w:hAnsi="Arial"/>
          <w:sz w:val="18"/>
          <w:szCs w:val="18"/>
          <w:color w:val="auto"/>
        </w:rPr>
        <w:t>10-K for the year ended December 31, 2009) (1)</w:t>
      </w:r>
    </w:p>
    <w:p>
      <w:pPr>
        <w:spacing w:after="0" w:line="49" w:lineRule="exact"/>
        <w:rPr>
          <w:sz w:val="20"/>
          <w:szCs w:val="20"/>
          <w:color w:val="auto"/>
        </w:rPr>
      </w:pPr>
    </w:p>
    <w:p>
      <w:pPr>
        <w:jc w:val="both"/>
        <w:ind w:left="960" w:hanging="688"/>
        <w:spacing w:after="0" w:line="264" w:lineRule="auto"/>
        <w:tabs>
          <w:tab w:leader="none" w:pos="94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8"/>
          <w:szCs w:val="18"/>
          <w:color w:val="auto"/>
        </w:rPr>
        <w:t>Form of Notice of Stock Option Grant and Stock Option Award Agreement under Amended and Restated Fidelity National Financial, Inc. 2005 Omnibus Incentive Plan (incorporated by reference to Exhibit 10.10 to the Registrant's Annual Report on Form 10-K for the year ended December 31, 2012) (1)</w:t>
      </w:r>
    </w:p>
    <w:p>
      <w:pPr>
        <w:spacing w:after="0" w:line="19" w:lineRule="exact"/>
        <w:rPr>
          <w:sz w:val="20"/>
          <w:szCs w:val="20"/>
          <w:color w:val="auto"/>
        </w:rPr>
      </w:pPr>
    </w:p>
    <w:p>
      <w:pPr>
        <w:jc w:val="both"/>
        <w:ind w:left="960" w:right="20" w:hanging="688"/>
        <w:spacing w:after="0" w:line="264" w:lineRule="auto"/>
        <w:tabs>
          <w:tab w:leader="none" w:pos="94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8"/>
          <w:szCs w:val="18"/>
          <w:color w:val="auto"/>
        </w:rPr>
        <w:t>Form of Notice of Stock Option Grant and Stock Option Award Agreement under Amended and Restated Fidelity National Financial, Inc. 2005 Omnibus Incentive Plan (incorporated by reference to Exhibit 10.6 to the Registrant’s Annual Report on Form 10-K for the year ended December 31, 2008) (1)</w:t>
      </w:r>
    </w:p>
    <w:p>
      <w:pPr>
        <w:spacing w:after="0" w:line="19" w:lineRule="exact"/>
        <w:rPr>
          <w:sz w:val="20"/>
          <w:szCs w:val="20"/>
          <w:color w:val="auto"/>
        </w:rPr>
      </w:pPr>
    </w:p>
    <w:p>
      <w:pPr>
        <w:jc w:val="both"/>
        <w:ind w:left="960" w:right="20" w:hanging="688"/>
        <w:spacing w:after="0" w:line="277" w:lineRule="auto"/>
        <w:tabs>
          <w:tab w:leader="none" w:pos="940" w:val="left"/>
        </w:tabs>
        <w:rPr>
          <w:sz w:val="20"/>
          <w:szCs w:val="20"/>
          <w:color w:val="auto"/>
        </w:rPr>
      </w:pPr>
      <w:r>
        <w:rPr>
          <w:rFonts w:ascii="Arial" w:cs="Arial" w:eastAsia="Arial" w:hAnsi="Arial"/>
          <w:sz w:val="18"/>
          <w:szCs w:val="18"/>
          <w:color w:val="auto"/>
        </w:rPr>
        <w:t>10.21</w:t>
      </w:r>
      <w:r>
        <w:rPr>
          <w:sz w:val="20"/>
          <w:szCs w:val="20"/>
          <w:color w:val="auto"/>
        </w:rPr>
        <w:tab/>
      </w:r>
      <w:r>
        <w:rPr>
          <w:rFonts w:ascii="Arial" w:cs="Arial" w:eastAsia="Arial" w:hAnsi="Arial"/>
          <w:sz w:val="18"/>
          <w:szCs w:val="18"/>
          <w:color w:val="auto"/>
        </w:rPr>
        <w:t>Tax Disaffiliation Agreement by and among Old FNF, the Registrant and FIS, dated as of October 23, 2006 (incorporated by reference to Exhibit 99.1 to Old FNF’s Form 8-K, filed on October 27, 2006)</w:t>
      </w:r>
    </w:p>
    <w:p>
      <w:pPr>
        <w:spacing w:after="0" w:line="8" w:lineRule="exact"/>
        <w:rPr>
          <w:sz w:val="20"/>
          <w:szCs w:val="20"/>
          <w:color w:val="auto"/>
        </w:rPr>
      </w:pPr>
    </w:p>
    <w:p>
      <w:pPr>
        <w:jc w:val="both"/>
        <w:ind w:left="960" w:hanging="688"/>
        <w:spacing w:after="0" w:line="277" w:lineRule="auto"/>
        <w:tabs>
          <w:tab w:leader="none" w:pos="94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8"/>
          <w:szCs w:val="18"/>
          <w:color w:val="auto"/>
        </w:rPr>
        <w:t>Cross-Indemnity Agreement by and between the Registrant and FIS, dated as of October 23, 2006 (incorporated by reference to Exhibit 99.2 to FIS’s Form 8-K, filed on October 27, 2006)</w:t>
      </w:r>
    </w:p>
    <w:p>
      <w:pPr>
        <w:spacing w:after="0" w:line="8" w:lineRule="exact"/>
        <w:rPr>
          <w:sz w:val="20"/>
          <w:szCs w:val="20"/>
          <w:color w:val="auto"/>
        </w:rPr>
      </w:pPr>
    </w:p>
    <w:p>
      <w:pPr>
        <w:jc w:val="both"/>
        <w:ind w:left="960" w:hanging="688"/>
        <w:spacing w:after="0" w:line="277" w:lineRule="auto"/>
        <w:tabs>
          <w:tab w:leader="none" w:pos="94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8"/>
          <w:szCs w:val="18"/>
          <w:color w:val="auto"/>
        </w:rPr>
        <w:t>Amended and Restated Employment Agreement between the Registrant and Anthony J. Park, effective as of October 10, 2008 (incorporated by reference to Exhibit 10.11 to Registrant’s Annual Report on Form 10-K for the year ended December 31, 2008) (1)</w:t>
      </w:r>
    </w:p>
    <w:p>
      <w:pPr>
        <w:spacing w:after="0" w:line="8" w:lineRule="exact"/>
        <w:rPr>
          <w:sz w:val="20"/>
          <w:szCs w:val="20"/>
          <w:color w:val="auto"/>
        </w:rPr>
      </w:pPr>
    </w:p>
    <w:p>
      <w:pPr>
        <w:jc w:val="both"/>
        <w:ind w:left="960" w:right="20" w:hanging="688"/>
        <w:spacing w:after="0" w:line="264" w:lineRule="auto"/>
        <w:tabs>
          <w:tab w:leader="none" w:pos="94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8"/>
          <w:szCs w:val="18"/>
          <w:color w:val="auto"/>
        </w:rPr>
        <w:t>Amendment effective February 4, 2010 to Amended and Restated Employment Agreement between the Registrant and Anthony J. Park, effective as of October 10, 2008 (incorporated by reference to Exhibit 10.13 to the Registrant's Annual Report on Form 10-K for the year ended December 31, 2009) (1)</w:t>
      </w:r>
    </w:p>
    <w:p>
      <w:pPr>
        <w:spacing w:after="0" w:line="19" w:lineRule="exact"/>
        <w:rPr>
          <w:sz w:val="20"/>
          <w:szCs w:val="20"/>
          <w:color w:val="auto"/>
        </w:rPr>
      </w:pPr>
    </w:p>
    <w:p>
      <w:pPr>
        <w:jc w:val="both"/>
        <w:ind w:left="960" w:right="20" w:hanging="688"/>
        <w:spacing w:after="0" w:line="298" w:lineRule="auto"/>
        <w:tabs>
          <w:tab w:leader="none" w:pos="94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7"/>
          <w:szCs w:val="17"/>
          <w:color w:val="auto"/>
        </w:rPr>
        <w:t>Amendment effective as of July 1, 2012 to Amended and Restated Employment Agreement between the Registrant and Brent B. Bickett (incorporated by reference to Exhibit 10.11 to the Registrant’s Quarterly Report on Form 10-Q for the quarter ended June 30, 2012)(1)</w:t>
      </w:r>
    </w:p>
    <w:p>
      <w:pPr>
        <w:spacing w:after="0" w:line="1" w:lineRule="exact"/>
        <w:rPr>
          <w:sz w:val="20"/>
          <w:szCs w:val="20"/>
          <w:color w:val="auto"/>
        </w:rPr>
      </w:pPr>
    </w:p>
    <w:p>
      <w:pPr>
        <w:jc w:val="center"/>
        <w:ind w:left="480" w:right="20"/>
        <w:spacing w:after="0" w:line="298" w:lineRule="auto"/>
        <w:rPr>
          <w:sz w:val="20"/>
          <w:szCs w:val="20"/>
          <w:color w:val="auto"/>
        </w:rPr>
      </w:pPr>
      <w:r>
        <w:rPr>
          <w:rFonts w:ascii="Arial" w:cs="Arial" w:eastAsia="Arial" w:hAnsi="Arial"/>
          <w:sz w:val="17"/>
          <w:szCs w:val="17"/>
          <w:color w:val="auto"/>
        </w:rPr>
        <w:t>10.26   Amendment effective as of January 2, 2012 to Amended and Restated Employment Agreement between the Registrant and Brent B. Bickett (incorporated by reference to Exhibit 10.16 to the Registrant’s Annual Report on Form 10-K for the year ended December 31, 2011)(1)</w:t>
      </w:r>
    </w:p>
    <w:p>
      <w:pPr>
        <w:spacing w:after="0" w:line="1" w:lineRule="exact"/>
        <w:rPr>
          <w:sz w:val="20"/>
          <w:szCs w:val="20"/>
          <w:color w:val="auto"/>
        </w:rPr>
      </w:pPr>
    </w:p>
    <w:p>
      <w:pPr>
        <w:jc w:val="both"/>
        <w:ind w:left="960" w:right="20" w:hanging="688"/>
        <w:spacing w:after="0" w:line="298" w:lineRule="auto"/>
        <w:tabs>
          <w:tab w:leader="none" w:pos="940" w:val="left"/>
        </w:tabs>
        <w:rPr>
          <w:sz w:val="20"/>
          <w:szCs w:val="20"/>
          <w:color w:val="auto"/>
        </w:rPr>
      </w:pPr>
      <w:r>
        <w:rPr>
          <w:rFonts w:ascii="Arial" w:cs="Arial" w:eastAsia="Arial" w:hAnsi="Arial"/>
          <w:sz w:val="18"/>
          <w:szCs w:val="18"/>
          <w:color w:val="auto"/>
        </w:rPr>
        <w:t>10.27</w:t>
      </w:r>
      <w:r>
        <w:rPr>
          <w:sz w:val="20"/>
          <w:szCs w:val="20"/>
          <w:color w:val="auto"/>
        </w:rPr>
        <w:tab/>
      </w:r>
      <w:r>
        <w:rPr>
          <w:rFonts w:ascii="Arial" w:cs="Arial" w:eastAsia="Arial" w:hAnsi="Arial"/>
          <w:sz w:val="17"/>
          <w:szCs w:val="17"/>
          <w:color w:val="auto"/>
        </w:rPr>
        <w:t>Amendment effective February 4, 2010 to Amended and Restated Employment Agreement between the Registrant and Brent B. Bickett (incorporated by reference to Exhibit 10.15 to the Registrant’s Annual Report on Form 10-K for the year ended December 31, 2009)</w:t>
      </w:r>
    </w:p>
    <w:p>
      <w:pPr>
        <w:spacing w:after="0" w:line="1" w:lineRule="exact"/>
        <w:rPr>
          <w:sz w:val="20"/>
          <w:szCs w:val="20"/>
          <w:color w:val="auto"/>
        </w:rPr>
      </w:pPr>
    </w:p>
    <w:p>
      <w:pPr>
        <w:jc w:val="center"/>
        <w:ind w:left="480" w:right="20"/>
        <w:spacing w:after="0" w:line="308" w:lineRule="auto"/>
        <w:rPr>
          <w:sz w:val="20"/>
          <w:szCs w:val="20"/>
          <w:color w:val="auto"/>
        </w:rPr>
      </w:pPr>
      <w:r>
        <w:rPr>
          <w:rFonts w:ascii="Arial" w:cs="Arial" w:eastAsia="Arial" w:hAnsi="Arial"/>
          <w:sz w:val="17"/>
          <w:szCs w:val="17"/>
          <w:color w:val="auto"/>
        </w:rPr>
        <w:t>10.28   Amended and Restated Employment Agreement between Fidelity National Financial, Inc. and Brent B. Bickett, effective as of July 2, 2008 (incorporated by reference to Exhibit 10.14 to the Registrant’s Annual Report on Form 10-K for the year ended December 31, 2008)(1)</w:t>
      </w:r>
    </w:p>
    <w:p>
      <w:pPr>
        <w:sectPr>
          <w:pgSz w:w="11900" w:h="16838" w:orient="portrait"/>
          <w:cols w:equalWidth="0" w:num="1">
            <w:col w:w="11400"/>
          </w:cols>
          <w:pgMar w:left="240" w:top="125" w:right="259" w:bottom="1440" w:gutter="0" w:footer="0" w:header="0"/>
        </w:sect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125</w:t>
      </w:r>
    </w:p>
    <w:p>
      <w:pPr>
        <w:sectPr>
          <w:pgSz w:w="11900" w:h="16838" w:orient="portrait"/>
          <w:cols w:equalWidth="0" w:num="1">
            <w:col w:w="11400"/>
          </w:cols>
          <w:pgMar w:left="240" w:top="125" w:right="259" w:bottom="1440" w:gutter="0" w:footer="0" w:header="0"/>
          <w:type w:val="continuous"/>
        </w:sectPr>
      </w:pPr>
    </w:p>
    <w:bookmarkStart w:id="130" w:name="page131"/>
    <w:bookmarkEnd w:id="13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4880" w:type="dxa"/>
            <w:vAlign w:val="bottom"/>
          </w:tcPr>
          <w:p>
            <w:pPr>
              <w:spacing w:after="0"/>
              <w:rPr>
                <w:sz w:val="14"/>
                <w:szCs w:val="14"/>
                <w:color w:val="auto"/>
              </w:rPr>
            </w:pPr>
          </w:p>
        </w:tc>
        <w:tc>
          <w:tcPr>
            <w:tcW w:w="900" w:type="dxa"/>
            <w:vAlign w:val="bottom"/>
            <w:vMerge w:val="restart"/>
          </w:tcPr>
          <w:p>
            <w:pPr>
              <w:spacing w:after="0"/>
              <w:rPr>
                <w:sz w:val="20"/>
                <w:szCs w:val="20"/>
                <w:color w:val="auto"/>
              </w:rPr>
            </w:pPr>
            <w:r>
              <w:rPr>
                <w:rFonts w:ascii="Arial" w:cs="Arial" w:eastAsia="Arial" w:hAnsi="Arial"/>
                <w:sz w:val="18"/>
                <w:szCs w:val="18"/>
                <w:b w:val="1"/>
                <w:bCs w:val="1"/>
                <w:color w:val="auto"/>
                <w:w w:val="88"/>
              </w:rPr>
              <w:t>Description</w:t>
            </w:r>
          </w:p>
        </w:tc>
        <w:tc>
          <w:tcPr>
            <w:tcW w:w="4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20" w:type="dxa"/>
            <w:vAlign w:val="bottom"/>
            <w:gridSpan w:val="2"/>
          </w:tcPr>
          <w:p>
            <w:pPr>
              <w:jc w:val="center"/>
              <w:ind w:right="120"/>
              <w:spacing w:after="0" w:line="125" w:lineRule="exact"/>
              <w:rPr>
                <w:sz w:val="20"/>
                <w:szCs w:val="20"/>
                <w:color w:val="auto"/>
              </w:rPr>
            </w:pPr>
            <w:r>
              <w:rPr>
                <w:rFonts w:ascii="Arial" w:cs="Arial" w:eastAsia="Arial" w:hAnsi="Arial"/>
                <w:sz w:val="14"/>
                <w:szCs w:val="14"/>
                <w:b w:val="1"/>
                <w:bCs w:val="1"/>
                <w:color w:val="auto"/>
                <w:w w:val="94"/>
              </w:rPr>
              <w:t>Number</w:t>
            </w:r>
          </w:p>
        </w:tc>
        <w:tc>
          <w:tcPr>
            <w:tcW w:w="4880" w:type="dxa"/>
            <w:vAlign w:val="bottom"/>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4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10.29</w:t>
            </w:r>
          </w:p>
        </w:tc>
        <w:tc>
          <w:tcPr>
            <w:tcW w:w="120" w:type="dxa"/>
            <w:vAlign w:val="bottom"/>
          </w:tcPr>
          <w:p>
            <w:pPr>
              <w:spacing w:after="0"/>
              <w:rPr>
                <w:sz w:val="24"/>
                <w:szCs w:val="24"/>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5"/>
              </w:rPr>
              <w:t>Amendment effective August 27, 2013 to Amended and Restated Employment Agreement between BKFS II Management and William P.</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Foley, II, effective as of July 2, 2008 (incorporated by reference to Exhibit 10.9 to Registrant’s Current Report on Form 8-K filed on January 15,</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80" w:type="dxa"/>
            <w:vAlign w:val="bottom"/>
          </w:tcPr>
          <w:p>
            <w:pPr>
              <w:ind w:left="120"/>
              <w:spacing w:after="0"/>
              <w:rPr>
                <w:sz w:val="20"/>
                <w:szCs w:val="20"/>
                <w:color w:val="auto"/>
              </w:rPr>
            </w:pPr>
            <w:r>
              <w:rPr>
                <w:rFonts w:ascii="Arial" w:cs="Arial" w:eastAsia="Arial" w:hAnsi="Arial"/>
                <w:sz w:val="18"/>
                <w:szCs w:val="18"/>
                <w:color w:val="auto"/>
              </w:rPr>
              <w:t>2014) (1)</w:t>
            </w:r>
          </w:p>
        </w:tc>
        <w:tc>
          <w:tcPr>
            <w:tcW w:w="90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10.30</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Amended and Restated Employment Agreement between Fidelity National Financial, Inc. and William P. Foley, II, effective as of January 10,</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2014 (incorporated by reference to Exhibit 10.7 to the Registrant’s Current Report on Form 8-K filed on January 15, 2014)(1)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10.31</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8"/>
              </w:rPr>
              <w:t>Amended and Restated Employment Agreement between the Registrant and Raymond R. Quirk, effective as of October 10, 2008 (1)</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(incorporated by reference to Exhibit 10.16 to Registrant’s Annual Report on Form 10-K for the year ended December 31, 2008)</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10.32</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4"/>
              </w:rPr>
              <w:t>Amendment effective February 4, 2010 to Amended and Restated Employment Agreement between the Registrant and Raymond R. Quirk,</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effective as of October 10, 2008 (incorporated by reference to Exhibit 10.21 to the Registrant's Annual Report on Form 10-K for the year ended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December 31, 2009)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10.33</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0"/>
              </w:rPr>
              <w:t>Amended and Restated Employment Agreement between the Registrant and Michael L. Gravelle, effective as of January 30, 2013 (incorporated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by reference to Exhibit 10.6 to the Registrant's Annual Report on Form 10-K for the year ended December 31, 2012)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10.34</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Fidelity National Title Group, Inc. Annual Incentive Plan (incorporated by reference to Annex B to the Registrant's Schedule 14A filed on April</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80" w:type="dxa"/>
            <w:vAlign w:val="bottom"/>
          </w:tcPr>
          <w:p>
            <w:pPr>
              <w:ind w:left="120"/>
              <w:spacing w:after="0"/>
              <w:rPr>
                <w:sz w:val="20"/>
                <w:szCs w:val="20"/>
                <w:color w:val="auto"/>
              </w:rPr>
            </w:pPr>
            <w:r>
              <w:rPr>
                <w:rFonts w:ascii="Arial" w:cs="Arial" w:eastAsia="Arial" w:hAnsi="Arial"/>
                <w:sz w:val="18"/>
                <w:szCs w:val="18"/>
                <w:color w:val="auto"/>
              </w:rPr>
              <w:t>11, 2011) (1)</w:t>
            </w:r>
          </w:p>
        </w:tc>
        <w:tc>
          <w:tcPr>
            <w:tcW w:w="90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10.35</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Fidelity National Financial, Inc. Deferred Compensation Plan, as amended and restated, effective January 1, 2009 (incorporated by reference to</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Exhibit 10.18 to the Registrant’s Annual Report on Form 10-K for the year ended December 31, 2008)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10.36</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1"/>
              </w:rPr>
              <w:t>Amended and Restated Employment Agreement between the Registrant and Peter T. Sadowski, effective as of February 4, 2010 (incorporated</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by reference to Exhibit 10.25 to the Registrant's Annual Report on Form 10-K for the year ended December 31, 2012)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10.37</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5"/>
              </w:rPr>
              <w:t>Form of Notice of Long-Term Investment Success Performance Award Agreement - Tier 1 under Amended and Restated Fidelity National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Financial, Inc. 2005 Omnibus Incentive Plan (incorporated by reference to Exhibit 10.3 to the Registrant's Quarterly Report on Form 10-Q for</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the quarter ended March 31, 2013)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10.38</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5"/>
              </w:rPr>
              <w:t>Form of Notice of Long-Term Investment Success Performance Award Agreement - Tier 2 under Amended and Restated Fidelity National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3"/>
              </w:rPr>
              <w:t>Financial, Inc. 2005 Omnibus Incentive Plan (incorporated by reference to Exhibit 10.3 to the Registrant's Quarterly Report on Form 10-Q for</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the quarter ended March 31, 2013) (1)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10.39</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4"/>
              </w:rPr>
              <w:t>Black Knight Financial Services, LLC 2013 Management Incentive Plan (incorporated by reference to Exhibit 10.1 to the to the Registrant’s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Current Report on Form 8-K filed on January 9, 2014)(1)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10.40</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6"/>
              </w:rPr>
              <w:t>ServiceLink Holdings, LLC 2013 Management Incentive Plan (incorporated by reference to Exhibit 10.2 to the to the Registrant’s Current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Report on Form 8-K filed on January 9, 2014)(1)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10.41</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5"/>
              </w:rPr>
              <w:t>Form of Black Knight Financial Services, LLC Unit Grant Agreement (incorporated by reference to Exhibit 10.3 to the Registrant's Current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Report on Form 8-K filed on January 9, 2014)(1)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10.42</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5"/>
              </w:rPr>
              <w:t>Form of ServiceLink Holdings, LLC Unit Grant Agreement (incorporated by reference to Exhibit 10.4 to the Registrant's Current Report 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Form 8-K filed on January 9, 2014)(1)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10.43</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5"/>
              </w:rPr>
              <w:t>Black Knight Financial Services, LLC Incentive Plan (incorporated by reference to Exhibit 10.5 to the to the Registrant’s Current Report 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Form 8-K filed on January 9, 2014)(1)</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88"/>
              </w:rPr>
              <w:t>10.44</w:t>
            </w:r>
          </w:p>
        </w:tc>
        <w:tc>
          <w:tcPr>
            <w:tcW w:w="120" w:type="dxa"/>
            <w:vAlign w:val="bottom"/>
          </w:tcPr>
          <w:p>
            <w:pPr>
              <w:spacing w:after="0"/>
              <w:rPr>
                <w:sz w:val="22"/>
                <w:szCs w:val="22"/>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w w:val="95"/>
              </w:rPr>
              <w:t>ServiceLink Holdings, LLC Incentive Plan (incorporated by reference to Exhibit 10.6 to the to the Registrant’s Current Report on Form 8-K</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60" w:type="dxa"/>
            <w:vAlign w:val="bottom"/>
            <w:gridSpan w:val="3"/>
          </w:tcPr>
          <w:p>
            <w:pPr>
              <w:ind w:left="120"/>
              <w:spacing w:after="0"/>
              <w:rPr>
                <w:sz w:val="20"/>
                <w:szCs w:val="20"/>
                <w:color w:val="auto"/>
              </w:rPr>
            </w:pPr>
            <w:r>
              <w:rPr>
                <w:rFonts w:ascii="Arial" w:cs="Arial" w:eastAsia="Arial" w:hAnsi="Arial"/>
                <w:sz w:val="18"/>
                <w:szCs w:val="18"/>
                <w:color w:val="auto"/>
              </w:rPr>
              <w:t>filed on January 9, 2014)(1)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126</w:t>
      </w:r>
    </w:p>
    <w:p>
      <w:pPr>
        <w:sectPr>
          <w:pgSz w:w="11900" w:h="16838" w:orient="portrait"/>
          <w:cols w:equalWidth="0" w:num="1">
            <w:col w:w="11400"/>
          </w:cols>
          <w:pgMar w:left="240" w:top="125" w:right="259" w:bottom="1440" w:gutter="0" w:footer="0" w:header="0"/>
          <w:type w:val="continuous"/>
        </w:sectPr>
      </w:pPr>
    </w:p>
    <w:bookmarkStart w:id="131" w:name="page132"/>
    <w:bookmarkEnd w:id="13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4880" w:type="dxa"/>
            <w:vAlign w:val="bottom"/>
          </w:tcPr>
          <w:p>
            <w:pPr>
              <w:spacing w:after="0"/>
              <w:rPr>
                <w:sz w:val="14"/>
                <w:szCs w:val="14"/>
                <w:color w:val="auto"/>
              </w:rPr>
            </w:pPr>
          </w:p>
        </w:tc>
        <w:tc>
          <w:tcPr>
            <w:tcW w:w="900" w:type="dxa"/>
            <w:vAlign w:val="bottom"/>
            <w:vMerge w:val="restart"/>
          </w:tcPr>
          <w:p>
            <w:pPr>
              <w:spacing w:after="0"/>
              <w:rPr>
                <w:sz w:val="20"/>
                <w:szCs w:val="20"/>
                <w:color w:val="auto"/>
              </w:rPr>
            </w:pPr>
            <w:r>
              <w:rPr>
                <w:rFonts w:ascii="Arial" w:cs="Arial" w:eastAsia="Arial" w:hAnsi="Arial"/>
                <w:sz w:val="18"/>
                <w:szCs w:val="18"/>
                <w:b w:val="1"/>
                <w:bCs w:val="1"/>
                <w:color w:val="auto"/>
                <w:w w:val="88"/>
              </w:rPr>
              <w:t>Description</w:t>
            </w:r>
          </w:p>
        </w:tc>
        <w:tc>
          <w:tcPr>
            <w:tcW w:w="4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620" w:type="dxa"/>
            <w:vAlign w:val="bottom"/>
            <w:gridSpan w:val="2"/>
          </w:tcPr>
          <w:p>
            <w:pPr>
              <w:jc w:val="center"/>
              <w:ind w:right="120"/>
              <w:spacing w:after="0" w:line="125" w:lineRule="exact"/>
              <w:rPr>
                <w:sz w:val="20"/>
                <w:szCs w:val="20"/>
                <w:color w:val="auto"/>
              </w:rPr>
            </w:pPr>
            <w:r>
              <w:rPr>
                <w:rFonts w:ascii="Arial" w:cs="Arial" w:eastAsia="Arial" w:hAnsi="Arial"/>
                <w:sz w:val="14"/>
                <w:szCs w:val="14"/>
                <w:b w:val="1"/>
                <w:bCs w:val="1"/>
                <w:color w:val="auto"/>
                <w:w w:val="94"/>
              </w:rPr>
              <w:t>Number</w:t>
            </w:r>
          </w:p>
        </w:tc>
        <w:tc>
          <w:tcPr>
            <w:tcW w:w="4880" w:type="dxa"/>
            <w:vAlign w:val="bottom"/>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4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0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20" w:type="dxa"/>
            <w:vAlign w:val="bottom"/>
          </w:tcPr>
          <w:p>
            <w:pPr>
              <w:spacing w:after="0"/>
              <w:rPr>
                <w:sz w:val="21"/>
                <w:szCs w:val="21"/>
                <w:color w:val="auto"/>
              </w:rPr>
            </w:pPr>
          </w:p>
        </w:tc>
        <w:tc>
          <w:tcPr>
            <w:tcW w:w="10540" w:type="dxa"/>
            <w:vAlign w:val="bottom"/>
            <w:gridSpan w:val="3"/>
          </w:tcPr>
          <w:p>
            <w:pPr>
              <w:ind w:left="120"/>
              <w:spacing w:after="0"/>
              <w:rPr>
                <w:sz w:val="20"/>
                <w:szCs w:val="20"/>
                <w:color w:val="auto"/>
              </w:rPr>
            </w:pPr>
            <w:r>
              <w:rPr>
                <w:rFonts w:ascii="Arial" w:cs="Arial" w:eastAsia="Arial" w:hAnsi="Arial"/>
                <w:sz w:val="18"/>
                <w:szCs w:val="18"/>
                <w:color w:val="auto"/>
              </w:rPr>
              <w:t>Subsidiaries of the Registrant</w:t>
            </w: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Arial" w:cs="Arial" w:eastAsia="Arial" w:hAnsi="Arial"/>
                <w:sz w:val="18"/>
                <w:szCs w:val="18"/>
                <w:color w:val="auto"/>
                <w:w w:val="91"/>
              </w:rPr>
              <w:t>23.1</w:t>
            </w:r>
          </w:p>
        </w:tc>
        <w:tc>
          <w:tcPr>
            <w:tcW w:w="120" w:type="dxa"/>
            <w:vAlign w:val="bottom"/>
          </w:tcPr>
          <w:p>
            <w:pPr>
              <w:spacing w:after="0"/>
              <w:rPr>
                <w:sz w:val="23"/>
                <w:szCs w:val="23"/>
                <w:color w:val="auto"/>
              </w:rPr>
            </w:pPr>
          </w:p>
        </w:tc>
        <w:tc>
          <w:tcPr>
            <w:tcW w:w="10540" w:type="dxa"/>
            <w:vAlign w:val="bottom"/>
            <w:gridSpan w:val="3"/>
          </w:tcPr>
          <w:p>
            <w:pPr>
              <w:ind w:left="120"/>
              <w:spacing w:after="0"/>
              <w:rPr>
                <w:sz w:val="20"/>
                <w:szCs w:val="20"/>
                <w:color w:val="auto"/>
              </w:rPr>
            </w:pPr>
            <w:r>
              <w:rPr>
                <w:rFonts w:ascii="Arial" w:cs="Arial" w:eastAsia="Arial" w:hAnsi="Arial"/>
                <w:sz w:val="18"/>
                <w:szCs w:val="18"/>
                <w:color w:val="auto"/>
              </w:rPr>
              <w:t>Consent of KPMG LLP, Independent Registered Public Accounting Firm</w:t>
            </w: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20" w:type="dxa"/>
            <w:vAlign w:val="bottom"/>
          </w:tcPr>
          <w:p>
            <w:pPr>
              <w:spacing w:after="0"/>
              <w:rPr>
                <w:sz w:val="23"/>
                <w:szCs w:val="23"/>
                <w:color w:val="auto"/>
              </w:rPr>
            </w:pPr>
          </w:p>
        </w:tc>
        <w:tc>
          <w:tcPr>
            <w:tcW w:w="10540" w:type="dxa"/>
            <w:vAlign w:val="bottom"/>
            <w:gridSpan w:val="3"/>
          </w:tcPr>
          <w:p>
            <w:pPr>
              <w:ind w:left="12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70"/>
        </w:trPr>
        <w:tc>
          <w:tcPr>
            <w:tcW w:w="50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20" w:type="dxa"/>
            <w:vAlign w:val="bottom"/>
          </w:tcPr>
          <w:p>
            <w:pPr>
              <w:spacing w:after="0"/>
              <w:rPr>
                <w:sz w:val="23"/>
                <w:szCs w:val="23"/>
                <w:color w:val="auto"/>
              </w:rPr>
            </w:pPr>
          </w:p>
        </w:tc>
        <w:tc>
          <w:tcPr>
            <w:tcW w:w="10540" w:type="dxa"/>
            <w:vAlign w:val="bottom"/>
            <w:gridSpan w:val="3"/>
          </w:tcPr>
          <w:p>
            <w:pPr>
              <w:ind w:left="120"/>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20" w:type="dxa"/>
            <w:vAlign w:val="bottom"/>
          </w:tcPr>
          <w:p>
            <w:pPr>
              <w:spacing w:after="0"/>
              <w:rPr>
                <w:sz w:val="22"/>
                <w:szCs w:val="22"/>
                <w:color w:val="auto"/>
              </w:rPr>
            </w:pPr>
          </w:p>
        </w:tc>
        <w:tc>
          <w:tcPr>
            <w:tcW w:w="10540" w:type="dxa"/>
            <w:vAlign w:val="bottom"/>
            <w:gridSpan w:val="3"/>
          </w:tcPr>
          <w:p>
            <w:pPr>
              <w:ind w:left="120"/>
              <w:spacing w:after="0"/>
              <w:rPr>
                <w:sz w:val="20"/>
                <w:szCs w:val="20"/>
                <w:color w:val="auto"/>
              </w:rPr>
            </w:pPr>
            <w:r>
              <w:rPr>
                <w:rFonts w:ascii="Arial" w:cs="Arial" w:eastAsia="Arial" w:hAnsi="Arial"/>
                <w:sz w:val="18"/>
                <w:szCs w:val="18"/>
                <w:color w:val="auto"/>
                <w:w w:val="94"/>
              </w:rPr>
              <w:t>Certification by Chief Executive Officer of Periodic Financial Reports pursuant to Section 906 of the Sarbanes-Oxley Act of 2002, 18 U.S.C.</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40" w:type="dxa"/>
            <w:vAlign w:val="bottom"/>
            <w:gridSpan w:val="3"/>
          </w:tcPr>
          <w:p>
            <w:pPr>
              <w:ind w:left="120"/>
              <w:spacing w:after="0"/>
              <w:rPr>
                <w:sz w:val="20"/>
                <w:szCs w:val="20"/>
                <w:color w:val="auto"/>
              </w:rPr>
            </w:pPr>
            <w:r>
              <w:rPr>
                <w:rFonts w:ascii="Arial" w:cs="Arial" w:eastAsia="Arial" w:hAnsi="Arial"/>
                <w:sz w:val="18"/>
                <w:szCs w:val="18"/>
                <w:color w:val="auto"/>
              </w:rPr>
              <w:t>Section 1350</w:t>
            </w:r>
          </w:p>
        </w:tc>
        <w:tc>
          <w:tcPr>
            <w:tcW w:w="0" w:type="dxa"/>
            <w:vAlign w:val="bottom"/>
          </w:tcPr>
          <w:p>
            <w:pPr>
              <w:spacing w:after="0"/>
              <w:rPr>
                <w:sz w:val="1"/>
                <w:szCs w:val="1"/>
                <w:color w:val="auto"/>
              </w:rPr>
            </w:pPr>
          </w:p>
        </w:tc>
      </w:tr>
      <w:tr>
        <w:trPr>
          <w:trHeight w:val="256"/>
        </w:trPr>
        <w:tc>
          <w:tcPr>
            <w:tcW w:w="50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20" w:type="dxa"/>
            <w:vAlign w:val="bottom"/>
          </w:tcPr>
          <w:p>
            <w:pPr>
              <w:spacing w:after="0"/>
              <w:rPr>
                <w:sz w:val="22"/>
                <w:szCs w:val="22"/>
                <w:color w:val="auto"/>
              </w:rPr>
            </w:pPr>
          </w:p>
        </w:tc>
        <w:tc>
          <w:tcPr>
            <w:tcW w:w="10540" w:type="dxa"/>
            <w:vAlign w:val="bottom"/>
            <w:gridSpan w:val="3"/>
          </w:tcPr>
          <w:p>
            <w:pPr>
              <w:ind w:left="120"/>
              <w:spacing w:after="0"/>
              <w:rPr>
                <w:sz w:val="20"/>
                <w:szCs w:val="20"/>
                <w:color w:val="auto"/>
              </w:rPr>
            </w:pPr>
            <w:r>
              <w:rPr>
                <w:rFonts w:ascii="Arial" w:cs="Arial" w:eastAsia="Arial" w:hAnsi="Arial"/>
                <w:sz w:val="18"/>
                <w:szCs w:val="18"/>
                <w:color w:val="auto"/>
                <w:w w:val="94"/>
              </w:rPr>
              <w:t>Certification by Chief Financial Officer of Periodic Financial Reports pursuant to Section 906 of the Sarbanes-Oxley Act of 2002, 18 U.S.C.</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540" w:type="dxa"/>
            <w:vAlign w:val="bottom"/>
            <w:gridSpan w:val="3"/>
          </w:tcPr>
          <w:p>
            <w:pPr>
              <w:ind w:left="120"/>
              <w:spacing w:after="0"/>
              <w:rPr>
                <w:sz w:val="20"/>
                <w:szCs w:val="20"/>
                <w:color w:val="auto"/>
              </w:rPr>
            </w:pPr>
            <w:r>
              <w:rPr>
                <w:rFonts w:ascii="Arial" w:cs="Arial" w:eastAsia="Arial" w:hAnsi="Arial"/>
                <w:sz w:val="18"/>
                <w:szCs w:val="18"/>
                <w:color w:val="auto"/>
              </w:rPr>
              <w:t>Section 1350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 management or compensatory plan or arrangement required to be filed as an exhibit to this report pursuant to Item 15(c) of Form 10-K</w:t>
      </w:r>
    </w:p>
    <w:p>
      <w:pPr>
        <w:spacing w:after="0" w:line="200" w:lineRule="exact"/>
        <w:rPr>
          <w:rFonts w:ascii="Arial" w:cs="Arial" w:eastAsia="Arial" w:hAnsi="Arial"/>
          <w:sz w:val="17"/>
          <w:szCs w:val="17"/>
          <w:color w:val="auto"/>
        </w:rPr>
      </w:pPr>
    </w:p>
    <w:p>
      <w:pPr>
        <w:spacing w:after="0" w:line="279"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8"/>
          <w:szCs w:val="18"/>
          <w:color w:val="auto"/>
        </w:rPr>
        <w:t>127</w:t>
      </w:r>
    </w:p>
    <w:p>
      <w:pPr>
        <w:sectPr>
          <w:pgSz w:w="11900" w:h="16838" w:orient="portrait"/>
          <w:cols w:equalWidth="0" w:num="1">
            <w:col w:w="11380"/>
          </w:cols>
          <w:pgMar w:left="240" w:top="125" w:right="27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10.11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2005 Omnibus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Restricted Stock Grant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(the “Grantee”) have been granted the following award of restricted Shares of FNF Group Common Stock (the “Restricted Stock”), par value $0.0001 per share (the “Shares”), by Fidelity National Financial, Inc. (the “Company”), pursuant to the Fidelity National Financial, Inc. Amended and Restated 2005 Omnibus Incentive Plan (the “Plan”) and the terms set forth in the attached Restricted Stock Award Agreement:</w:t>
      </w:r>
    </w:p>
    <w:p>
      <w:pPr>
        <w:spacing w:after="0" w:line="311" w:lineRule="exact"/>
        <w:rPr>
          <w:sz w:val="20"/>
          <w:szCs w:val="20"/>
          <w:color w:val="auto"/>
        </w:rPr>
      </w:pPr>
    </w:p>
    <w:tbl>
      <w:tblPr>
        <w:tblLayout w:type="fixed"/>
        <w:tblInd w:w="150" w:type="dxa"/>
        <w:tblCellMar>
          <w:top w:w="0" w:type="dxa"/>
          <w:left w:w="0" w:type="dxa"/>
          <w:bottom w:w="0" w:type="dxa"/>
          <w:right w:w="0" w:type="dxa"/>
        </w:tblCellMar>
      </w:tblPr>
      <w:tr>
        <w:trPr>
          <w:trHeight w:val="257"/>
        </w:trPr>
        <w:tc>
          <w:tcPr>
            <w:tcW w:w="528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 of Grantee:</w:t>
            </w:r>
          </w:p>
        </w:tc>
        <w:tc>
          <w:tcPr>
            <w:tcW w:w="5900" w:type="dxa"/>
            <w:vAlign w:val="bottom"/>
            <w:tcBorders>
              <w:top w:val="single" w:sz="8" w:color="auto"/>
              <w:right w:val="single" w:sz="8" w:color="auto"/>
            </w:tcBorders>
          </w:tcPr>
          <w:p>
            <w:pPr>
              <w:spacing w:after="0"/>
              <w:rPr>
                <w:sz w:val="22"/>
                <w:szCs w:val="22"/>
                <w:color w:val="auto"/>
              </w:rPr>
            </w:pPr>
          </w:p>
        </w:tc>
      </w:tr>
      <w:tr>
        <w:trPr>
          <w:trHeight w:val="27"/>
        </w:trPr>
        <w:tc>
          <w:tcPr>
            <w:tcW w:w="5280" w:type="dxa"/>
            <w:vAlign w:val="bottom"/>
            <w:tcBorders>
              <w:left w:val="single" w:sz="8" w:color="auto"/>
              <w:bottom w:val="single" w:sz="8" w:color="auto"/>
              <w:right w:val="single" w:sz="8" w:color="auto"/>
            </w:tcBorders>
          </w:tcPr>
          <w:p>
            <w:pPr>
              <w:spacing w:after="0"/>
              <w:rPr>
                <w:sz w:val="2"/>
                <w:szCs w:val="2"/>
                <w:color w:val="auto"/>
              </w:rPr>
            </w:pPr>
          </w:p>
        </w:tc>
        <w:tc>
          <w:tcPr>
            <w:tcW w:w="5900" w:type="dxa"/>
            <w:vAlign w:val="bottom"/>
            <w:tcBorders>
              <w:bottom w:val="single" w:sz="8" w:color="auto"/>
              <w:right w:val="single" w:sz="8" w:color="auto"/>
            </w:tcBorders>
          </w:tcPr>
          <w:p>
            <w:pPr>
              <w:spacing w:after="0"/>
              <w:rPr>
                <w:sz w:val="2"/>
                <w:szCs w:val="2"/>
                <w:color w:val="auto"/>
              </w:rPr>
            </w:pPr>
          </w:p>
        </w:tc>
      </w:tr>
      <w:tr>
        <w:trPr>
          <w:trHeight w:val="237"/>
        </w:trPr>
        <w:tc>
          <w:tcPr>
            <w:tcW w:w="5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Number of Shares of Restricted Stock Granted:</w:t>
            </w:r>
          </w:p>
        </w:tc>
        <w:tc>
          <w:tcPr>
            <w:tcW w:w="5900" w:type="dxa"/>
            <w:vAlign w:val="bottom"/>
            <w:tcBorders>
              <w:right w:val="single" w:sz="8" w:color="auto"/>
            </w:tcBorders>
          </w:tcPr>
          <w:p>
            <w:pPr>
              <w:spacing w:after="0"/>
              <w:rPr>
                <w:sz w:val="20"/>
                <w:szCs w:val="20"/>
                <w:color w:val="auto"/>
              </w:rPr>
            </w:pPr>
          </w:p>
        </w:tc>
      </w:tr>
      <w:tr>
        <w:trPr>
          <w:trHeight w:val="27"/>
        </w:trPr>
        <w:tc>
          <w:tcPr>
            <w:tcW w:w="5280" w:type="dxa"/>
            <w:vAlign w:val="bottom"/>
            <w:tcBorders>
              <w:left w:val="single" w:sz="8" w:color="auto"/>
              <w:bottom w:val="single" w:sz="8" w:color="auto"/>
              <w:right w:val="single" w:sz="8" w:color="auto"/>
            </w:tcBorders>
          </w:tcPr>
          <w:p>
            <w:pPr>
              <w:spacing w:after="0"/>
              <w:rPr>
                <w:sz w:val="2"/>
                <w:szCs w:val="2"/>
                <w:color w:val="auto"/>
              </w:rPr>
            </w:pPr>
          </w:p>
        </w:tc>
        <w:tc>
          <w:tcPr>
            <w:tcW w:w="5900" w:type="dxa"/>
            <w:vAlign w:val="bottom"/>
            <w:tcBorders>
              <w:bottom w:val="single" w:sz="8" w:color="auto"/>
              <w:right w:val="single" w:sz="8" w:color="auto"/>
            </w:tcBorders>
          </w:tcPr>
          <w:p>
            <w:pPr>
              <w:spacing w:after="0"/>
              <w:rPr>
                <w:sz w:val="2"/>
                <w:szCs w:val="2"/>
                <w:color w:val="auto"/>
              </w:rPr>
            </w:pPr>
          </w:p>
        </w:tc>
      </w:tr>
      <w:tr>
        <w:trPr>
          <w:trHeight w:val="237"/>
        </w:trPr>
        <w:tc>
          <w:tcPr>
            <w:tcW w:w="5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Effective Date of Grant:</w:t>
            </w: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November 3, 2014</w:t>
            </w:r>
          </w:p>
        </w:tc>
      </w:tr>
      <w:tr>
        <w:trPr>
          <w:trHeight w:val="27"/>
        </w:trPr>
        <w:tc>
          <w:tcPr>
            <w:tcW w:w="5280" w:type="dxa"/>
            <w:vAlign w:val="bottom"/>
            <w:tcBorders>
              <w:left w:val="single" w:sz="8" w:color="auto"/>
              <w:bottom w:val="single" w:sz="8" w:color="auto"/>
              <w:right w:val="single" w:sz="8" w:color="auto"/>
            </w:tcBorders>
          </w:tcPr>
          <w:p>
            <w:pPr>
              <w:spacing w:after="0"/>
              <w:rPr>
                <w:sz w:val="2"/>
                <w:szCs w:val="2"/>
                <w:color w:val="auto"/>
              </w:rPr>
            </w:pPr>
          </w:p>
        </w:tc>
        <w:tc>
          <w:tcPr>
            <w:tcW w:w="5900" w:type="dxa"/>
            <w:vAlign w:val="bottom"/>
            <w:tcBorders>
              <w:bottom w:val="single" w:sz="8" w:color="auto"/>
              <w:right w:val="single" w:sz="8" w:color="auto"/>
            </w:tcBorders>
          </w:tcPr>
          <w:p>
            <w:pPr>
              <w:spacing w:after="0"/>
              <w:rPr>
                <w:sz w:val="2"/>
                <w:szCs w:val="2"/>
                <w:color w:val="auto"/>
              </w:rPr>
            </w:pPr>
          </w:p>
        </w:tc>
      </w:tr>
      <w:tr>
        <w:trPr>
          <w:trHeight w:val="222"/>
        </w:trPr>
        <w:tc>
          <w:tcPr>
            <w:tcW w:w="5280" w:type="dxa"/>
            <w:vAlign w:val="bottom"/>
            <w:tcBorders>
              <w:left w:val="single" w:sz="8" w:color="auto"/>
              <w:right w:val="single" w:sz="8" w:color="auto"/>
            </w:tcBorders>
          </w:tcPr>
          <w:p>
            <w:pPr>
              <w:spacing w:after="0"/>
              <w:rPr>
                <w:sz w:val="19"/>
                <w:szCs w:val="19"/>
                <w:color w:val="auto"/>
              </w:rPr>
            </w:pP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Subject to the terms of the Plan and the Restricted Stock Award Agreement</w:t>
            </w:r>
          </w:p>
        </w:tc>
      </w:tr>
      <w:tr>
        <w:trPr>
          <w:trHeight w:val="216"/>
        </w:trPr>
        <w:tc>
          <w:tcPr>
            <w:tcW w:w="5280" w:type="dxa"/>
            <w:vAlign w:val="bottom"/>
            <w:tcBorders>
              <w:left w:val="single" w:sz="8" w:color="auto"/>
              <w:right w:val="single" w:sz="8" w:color="auto"/>
            </w:tcBorders>
          </w:tcPr>
          <w:p>
            <w:pPr>
              <w:spacing w:after="0"/>
              <w:rPr>
                <w:sz w:val="18"/>
                <w:szCs w:val="18"/>
                <w:color w:val="auto"/>
              </w:rPr>
            </w:pP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2"/>
              </w:rPr>
              <w:t>attached hereto, the Period of Restriction shall lapse, and the Shares shall vest</w:t>
            </w:r>
          </w:p>
        </w:tc>
      </w:tr>
      <w:tr>
        <w:trPr>
          <w:trHeight w:val="216"/>
        </w:trPr>
        <w:tc>
          <w:tcPr>
            <w:tcW w:w="5280" w:type="dxa"/>
            <w:vAlign w:val="bottom"/>
            <w:tcBorders>
              <w:left w:val="single" w:sz="8" w:color="auto"/>
              <w:right w:val="single" w:sz="8" w:color="auto"/>
            </w:tcBorders>
          </w:tcPr>
          <w:p>
            <w:pPr>
              <w:spacing w:after="0"/>
              <w:rPr>
                <w:sz w:val="18"/>
                <w:szCs w:val="18"/>
                <w:color w:val="auto"/>
              </w:rPr>
            </w:pP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4"/>
              </w:rPr>
              <w:t>and become free of the forfeiture provisions contained in the Restricted Stock</w:t>
            </w:r>
          </w:p>
        </w:tc>
      </w:tr>
      <w:tr>
        <w:trPr>
          <w:trHeight w:val="216"/>
        </w:trPr>
        <w:tc>
          <w:tcPr>
            <w:tcW w:w="5280" w:type="dxa"/>
            <w:vAlign w:val="bottom"/>
            <w:tcBorders>
              <w:left w:val="single" w:sz="8" w:color="auto"/>
              <w:right w:val="single" w:sz="8" w:color="auto"/>
            </w:tcBorders>
          </w:tcPr>
          <w:p>
            <w:pPr>
              <w:spacing w:after="0"/>
              <w:rPr>
                <w:sz w:val="18"/>
                <w:szCs w:val="18"/>
                <w:color w:val="auto"/>
              </w:rPr>
            </w:pP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1"/>
              </w:rPr>
              <w:t>Award Agreement, with respect to one third of the shares on each anniversary of</w:t>
            </w:r>
          </w:p>
        </w:tc>
      </w:tr>
      <w:tr>
        <w:trPr>
          <w:trHeight w:val="216"/>
        </w:trPr>
        <w:tc>
          <w:tcPr>
            <w:tcW w:w="5280" w:type="dxa"/>
            <w:vAlign w:val="bottom"/>
            <w:tcBorders>
              <w:left w:val="single" w:sz="8" w:color="auto"/>
              <w:right w:val="single" w:sz="8" w:color="auto"/>
            </w:tcBorders>
          </w:tcPr>
          <w:p>
            <w:pPr>
              <w:spacing w:after="0"/>
              <w:rPr>
                <w:sz w:val="18"/>
                <w:szCs w:val="18"/>
                <w:color w:val="auto"/>
              </w:rPr>
            </w:pP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0"/>
              </w:rPr>
              <w:t>the Effective Date of Grant and satisfaction of the Performance Restriction as set</w:t>
            </w:r>
          </w:p>
        </w:tc>
      </w:tr>
      <w:tr>
        <w:trPr>
          <w:trHeight w:val="230"/>
        </w:trPr>
        <w:tc>
          <w:tcPr>
            <w:tcW w:w="528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Vesting and Period of Restriction:</w:t>
            </w:r>
          </w:p>
        </w:tc>
        <w:tc>
          <w:tcPr>
            <w:tcW w:w="59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5"/>
              </w:rPr>
              <w:t>forth on Exhibit A of the Restricted Stock Award Agreement, attached hereto.</w:t>
            </w:r>
          </w:p>
        </w:tc>
      </w:tr>
      <w:tr>
        <w:trPr>
          <w:trHeight w:val="27"/>
        </w:trPr>
        <w:tc>
          <w:tcPr>
            <w:tcW w:w="5280" w:type="dxa"/>
            <w:vAlign w:val="bottom"/>
            <w:tcBorders>
              <w:left w:val="single" w:sz="8" w:color="auto"/>
              <w:bottom w:val="single" w:sz="8" w:color="auto"/>
              <w:right w:val="single" w:sz="8" w:color="auto"/>
            </w:tcBorders>
          </w:tcPr>
          <w:p>
            <w:pPr>
              <w:spacing w:after="0"/>
              <w:rPr>
                <w:sz w:val="2"/>
                <w:szCs w:val="2"/>
                <w:color w:val="auto"/>
              </w:rPr>
            </w:pPr>
          </w:p>
        </w:tc>
        <w:tc>
          <w:tcPr>
            <w:tcW w:w="590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By your electronic acceptance/signature below, you agree and acknowledge that the Restricted Stock is granted under and governed by the terms and conditions of the Plan and the attached Restricted Stock Award Agreement, which are incorporated herein by reference, and that you have been provided with a copy of the Plan and Restricted Stock Award Agreement.</w:t>
      </w:r>
    </w:p>
    <w:p>
      <w:pPr>
        <w:sectPr>
          <w:pgSz w:w="11900" w:h="16838" w:orient="portrait"/>
          <w:cols w:equalWidth="0" w:num="1">
            <w:col w:w="11420"/>
          </w:cols>
          <w:pgMar w:left="240" w:top="580" w:right="2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Fidelity National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2005 Omnibus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Award Agreement</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8"/>
          <w:szCs w:val="18"/>
          <w:b w:val="1"/>
          <w:bCs w:val="1"/>
          <w:color w:val="auto"/>
        </w:rPr>
        <w:t>GRANT OF RESTRICTED STOCK</w:t>
      </w:r>
    </w:p>
    <w:p>
      <w:pPr>
        <w:spacing w:after="0" w:line="252" w:lineRule="exact"/>
        <w:rPr>
          <w:sz w:val="20"/>
          <w:szCs w:val="20"/>
          <w:color w:val="auto"/>
        </w:rPr>
      </w:pPr>
    </w:p>
    <w:p>
      <w:pPr>
        <w:jc w:val="both"/>
        <w:ind w:firstLine="8"/>
        <w:spacing w:after="0" w:line="297" w:lineRule="auto"/>
        <w:tabs>
          <w:tab w:leader="none" w:pos="893"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Restricted Stock</w:t>
      </w:r>
      <w:r>
        <w:rPr>
          <w:rFonts w:ascii="Arial" w:cs="Arial" w:eastAsia="Arial" w:hAnsi="Arial"/>
          <w:sz w:val="18"/>
          <w:szCs w:val="18"/>
          <w:color w:val="auto"/>
        </w:rPr>
        <w:t>. On the terms and conditions set forth in the Notice of Restricted Stock Grant and this Restricted Stock Award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the Company grants to the Grantee on the Effective Date of Grant the Shares of Restricted Stock (the “Restricted Stock”) set forth in the Notice of Restricted Stock Grant.</w:t>
      </w:r>
    </w:p>
    <w:p>
      <w:pPr>
        <w:spacing w:after="0" w:line="1" w:lineRule="exact"/>
        <w:rPr>
          <w:rFonts w:ascii="Arial" w:cs="Arial" w:eastAsia="Arial" w:hAnsi="Arial"/>
          <w:sz w:val="18"/>
          <w:szCs w:val="18"/>
          <w:color w:val="auto"/>
        </w:rPr>
      </w:pPr>
    </w:p>
    <w:p>
      <w:pPr>
        <w:jc w:val="both"/>
        <w:ind w:firstLine="8"/>
        <w:spacing w:after="0" w:line="308" w:lineRule="auto"/>
        <w:tabs>
          <w:tab w:leader="none" w:pos="903"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Plan and Defined Terms</w:t>
      </w:r>
      <w:r>
        <w:rPr>
          <w:rFonts w:ascii="Arial" w:cs="Arial" w:eastAsia="Arial" w:hAnsi="Arial"/>
          <w:sz w:val="18"/>
          <w:szCs w:val="18"/>
          <w:color w:val="auto"/>
        </w:rPr>
        <w:t>. The Restricted Stock is granted pursuant to the Plan. All terms, provisions, and conditions applicable to the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Stock set forth in the Plan and not set forth herein are hereby incorporated by reference herein. To the extent any provision hereof is inconsistent with a provision of the Plan, the provisions of the Plan will govern. All capitalized terms that are used in the Notice of Restricted Stock Grant or this Agreement and not otherwise defined therein or herein shall have the meanings ascribed to them in the Plan.</w:t>
      </w:r>
    </w:p>
    <w:p>
      <w:pPr>
        <w:spacing w:after="0" w:line="15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8"/>
          <w:szCs w:val="18"/>
          <w:b w:val="1"/>
          <w:bCs w:val="1"/>
          <w:color w:val="auto"/>
        </w:rPr>
        <w:t>FORFEITURE AND TRANSFER RESTRICTIONS</w:t>
      </w:r>
    </w:p>
    <w:p>
      <w:pPr>
        <w:spacing w:after="0" w:line="252" w:lineRule="exact"/>
        <w:rPr>
          <w:sz w:val="20"/>
          <w:szCs w:val="20"/>
          <w:color w:val="auto"/>
        </w:rPr>
      </w:pPr>
    </w:p>
    <w:p>
      <w:pPr>
        <w:ind w:right="20" w:firstLine="8"/>
        <w:spacing w:after="0" w:line="299" w:lineRule="auto"/>
        <w:tabs>
          <w:tab w:leader="none" w:pos="933"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Forfeiture</w:t>
      </w:r>
      <w:r>
        <w:rPr>
          <w:rFonts w:ascii="Arial" w:cs="Arial" w:eastAsia="Arial" w:hAnsi="Arial"/>
          <w:sz w:val="18"/>
          <w:szCs w:val="18"/>
          <w:color w:val="auto"/>
        </w:rPr>
        <w:t>. Except as otherwise provided in Grantee’s employment, director services or similar agreement in effect at the time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termination:</w:t>
      </w:r>
    </w:p>
    <w:p>
      <w:pPr>
        <w:spacing w:after="0" w:line="1" w:lineRule="exact"/>
        <w:rPr>
          <w:rFonts w:ascii="Arial" w:cs="Arial" w:eastAsia="Arial" w:hAnsi="Arial"/>
          <w:sz w:val="18"/>
          <w:szCs w:val="18"/>
          <w:color w:val="auto"/>
        </w:rPr>
      </w:pPr>
    </w:p>
    <w:p>
      <w:pPr>
        <w:jc w:val="both"/>
        <w:ind w:firstLine="656"/>
        <w:spacing w:after="0" w:line="297" w:lineRule="auto"/>
        <w:tabs>
          <w:tab w:leader="none" w:pos="1466" w:val="left"/>
        </w:tabs>
        <w:numPr>
          <w:ilvl w:val="1"/>
          <w:numId w:val="57"/>
        </w:numPr>
        <w:rPr>
          <w:rFonts w:ascii="Arial" w:cs="Arial" w:eastAsia="Arial" w:hAnsi="Arial"/>
          <w:sz w:val="18"/>
          <w:szCs w:val="18"/>
          <w:color w:val="auto"/>
        </w:rPr>
      </w:pPr>
      <w:r>
        <w:rPr>
          <w:rFonts w:ascii="Arial" w:cs="Arial" w:eastAsia="Arial" w:hAnsi="Arial"/>
          <w:sz w:val="18"/>
          <w:szCs w:val="18"/>
          <w:color w:val="auto"/>
        </w:rPr>
        <w:t>If the Grantee’s employment or service as a Director or Consultant is terminated for any reason other than death, or Disability (as defined below), the Grantee shall, for no consideration, forfeit to the Company the Shares of Restricted Stock to the extent such Shares are subject to a Period of Restriction at the time of such termination.</w:t>
      </w:r>
    </w:p>
    <w:p>
      <w:pPr>
        <w:spacing w:after="0" w:line="1" w:lineRule="exact"/>
        <w:rPr>
          <w:rFonts w:ascii="Arial" w:cs="Arial" w:eastAsia="Arial" w:hAnsi="Arial"/>
          <w:sz w:val="18"/>
          <w:szCs w:val="18"/>
          <w:color w:val="auto"/>
        </w:rPr>
      </w:pPr>
    </w:p>
    <w:p>
      <w:pPr>
        <w:jc w:val="both"/>
        <w:ind w:firstLine="656"/>
        <w:spacing w:after="0" w:line="307" w:lineRule="auto"/>
        <w:tabs>
          <w:tab w:leader="none" w:pos="1516" w:val="left"/>
        </w:tabs>
        <w:numPr>
          <w:ilvl w:val="1"/>
          <w:numId w:val="57"/>
        </w:numPr>
        <w:rPr>
          <w:rFonts w:ascii="Arial" w:cs="Arial" w:eastAsia="Arial" w:hAnsi="Arial"/>
          <w:sz w:val="17"/>
          <w:szCs w:val="17"/>
          <w:color w:val="auto"/>
        </w:rPr>
      </w:pPr>
      <w:r>
        <w:rPr>
          <w:rFonts w:ascii="Arial" w:cs="Arial" w:eastAsia="Arial" w:hAnsi="Arial"/>
          <w:sz w:val="17"/>
          <w:szCs w:val="17"/>
          <w:color w:val="auto"/>
        </w:rPr>
        <w:t>If the Grantee’s employment or service as a Director or Consultant is terminated due to the Grantee’s death or Disability, a portion of the Shares which on the date of termination of employment remain subject to a Time-Based Restriction and/or the Performance Restriction (as defined in Exhibit A) shall vest and become free of the forfeiture and transfer restrictions contained in the Agreement (except as otherwise provided in Section 2(b) of this Agreement). The portion which shall vest shall be determined by the following formula (rounded to the nearest whole Share):</w:t>
      </w:r>
    </w:p>
    <w:p>
      <w:pPr>
        <w:ind w:left="1960"/>
        <w:spacing w:after="0"/>
        <w:rPr>
          <w:sz w:val="20"/>
          <w:szCs w:val="20"/>
          <w:color w:val="auto"/>
        </w:rPr>
      </w:pPr>
      <w:r>
        <w:rPr>
          <w:rFonts w:ascii="Arial" w:cs="Arial" w:eastAsia="Arial" w:hAnsi="Arial"/>
          <w:sz w:val="18"/>
          <w:szCs w:val="18"/>
          <w:color w:val="auto"/>
        </w:rPr>
        <w:t>(A x B) - C, where</w:t>
      </w:r>
    </w:p>
    <w:p>
      <w:pPr>
        <w:spacing w:after="0" w:line="116"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 = the total number of Shares granted under this Agreement,</w:t>
      </w:r>
    </w:p>
    <w:p>
      <w:pPr>
        <w:spacing w:after="0" w:line="117" w:lineRule="exact"/>
        <w:rPr>
          <w:sz w:val="20"/>
          <w:szCs w:val="20"/>
          <w:color w:val="auto"/>
        </w:rPr>
      </w:pPr>
    </w:p>
    <w:p>
      <w:pPr>
        <w:ind w:left="1960"/>
        <w:spacing w:after="0" w:line="277" w:lineRule="auto"/>
        <w:rPr>
          <w:sz w:val="20"/>
          <w:szCs w:val="20"/>
          <w:color w:val="auto"/>
        </w:rPr>
      </w:pPr>
      <w:r>
        <w:rPr>
          <w:rFonts w:ascii="Arial" w:cs="Arial" w:eastAsia="Arial" w:hAnsi="Arial"/>
          <w:sz w:val="18"/>
          <w:szCs w:val="18"/>
          <w:color w:val="auto"/>
        </w:rPr>
        <w:t>B = the number of completed months to the date of termination of employment since the Effective Date of Grant divided by 36, and</w:t>
      </w:r>
    </w:p>
    <w:p>
      <w:pPr>
        <w:spacing w:after="0" w:line="62"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C = the number of Shares granted under this Agreement which vested on or prior to the date of termination of employment.</w:t>
      </w:r>
    </w:p>
    <w:p>
      <w:pPr>
        <w:spacing w:after="0" w:line="1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Shares that are subject to a Period of Restriction on the date of termination of employment or service as a Director or Consultant and which will not be vested pursuant to Section 2(a)(ii) above, shall be forfeited to the Company, for no consideration.</w:t>
      </w:r>
    </w:p>
    <w:p>
      <w:pPr>
        <w:spacing w:after="0" w:line="89" w:lineRule="exact"/>
        <w:rPr>
          <w:sz w:val="20"/>
          <w:szCs w:val="20"/>
          <w:color w:val="auto"/>
        </w:rPr>
      </w:pPr>
    </w:p>
    <w:p>
      <w:pPr>
        <w:jc w:val="both"/>
        <w:ind w:firstLine="656"/>
        <w:spacing w:after="0" w:line="334" w:lineRule="auto"/>
        <w:tabs>
          <w:tab w:leader="none" w:pos="1566" w:val="left"/>
        </w:tabs>
        <w:numPr>
          <w:ilvl w:val="1"/>
          <w:numId w:val="58"/>
        </w:numPr>
        <w:rPr>
          <w:rFonts w:ascii="Arial" w:cs="Arial" w:eastAsia="Arial" w:hAnsi="Arial"/>
          <w:sz w:val="16"/>
          <w:szCs w:val="16"/>
          <w:color w:val="auto"/>
        </w:rPr>
      </w:pPr>
      <w:r>
        <w:rPr>
          <w:rFonts w:ascii="Arial" w:cs="Arial" w:eastAsia="Arial" w:hAnsi="Arial"/>
          <w:sz w:val="16"/>
          <w:szCs w:val="16"/>
          <w:color w:val="auto"/>
        </w:rPr>
        <w:t>The term “Disability” shall have the meaning ascribed to such term in the Grantee’s employment, director services or similar agreement with the Company. If the Grantee’s employment, director services or similar agreement does not define the term “Disability,” or if the Grantee has not entered into an employment, director services or similar agreement with the Company or any Subsidiary, the term “Disability” shall mean the Grantee’s entitlement to long-term disability benefits pursuant to the long-term disability plan maintained by the Company or in which the Company’s employees participate.</w:t>
      </w:r>
    </w:p>
    <w:p>
      <w:pPr>
        <w:spacing w:after="0" w:line="2" w:lineRule="exact"/>
        <w:rPr>
          <w:rFonts w:ascii="Arial" w:cs="Arial" w:eastAsia="Arial" w:hAnsi="Arial"/>
          <w:sz w:val="16"/>
          <w:szCs w:val="16"/>
          <w:color w:val="auto"/>
        </w:rPr>
      </w:pPr>
    </w:p>
    <w:p>
      <w:pPr>
        <w:ind w:firstLine="656"/>
        <w:spacing w:after="0" w:line="324" w:lineRule="auto"/>
        <w:tabs>
          <w:tab w:leader="none" w:pos="1556" w:val="left"/>
        </w:tabs>
        <w:numPr>
          <w:ilvl w:val="1"/>
          <w:numId w:val="58"/>
        </w:numPr>
        <w:rPr>
          <w:rFonts w:ascii="Arial" w:cs="Arial" w:eastAsia="Arial" w:hAnsi="Arial"/>
          <w:sz w:val="18"/>
          <w:szCs w:val="18"/>
          <w:color w:val="auto"/>
        </w:rPr>
      </w:pPr>
      <w:r>
        <w:rPr>
          <w:rFonts w:ascii="Arial" w:cs="Arial" w:eastAsia="Arial" w:hAnsi="Arial"/>
          <w:sz w:val="18"/>
          <w:szCs w:val="18"/>
          <w:color w:val="auto"/>
        </w:rPr>
        <w:t>If the Performance Restriction is not satisfied during the Measurement Period, all of the Shares that do not satisfy the performance criteria for the applicable Performance Period, shall be forfeited to the Company, for no consideration.</w:t>
      </w:r>
    </w:p>
    <w:p>
      <w:pPr>
        <w:spacing w:after="0" w:line="166" w:lineRule="exact"/>
        <w:rPr>
          <w:rFonts w:ascii="Arial" w:cs="Arial" w:eastAsia="Arial" w:hAnsi="Arial"/>
          <w:sz w:val="18"/>
          <w:szCs w:val="18"/>
          <w:color w:val="auto"/>
        </w:rPr>
      </w:pPr>
    </w:p>
    <w:p>
      <w:pPr>
        <w:ind w:firstLine="8"/>
        <w:spacing w:after="0" w:line="297" w:lineRule="auto"/>
        <w:tabs>
          <w:tab w:leader="none" w:pos="916"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Transfer Restrictions</w:t>
      </w:r>
      <w:r>
        <w:rPr>
          <w:rFonts w:ascii="Arial" w:cs="Arial" w:eastAsia="Arial" w:hAnsi="Arial"/>
          <w:sz w:val="18"/>
          <w:szCs w:val="18"/>
          <w:color w:val="auto"/>
        </w:rPr>
        <w:t>. During the Period of Restriction, the Restricted Stock may not be sold, assigned, pledged, exchanged, hypothecated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transferred, encumbered or disposed of, to the extent such Shares are subject to a Period of Restriction.</w:t>
      </w:r>
    </w:p>
    <w:p>
      <w:pPr>
        <w:jc w:val="both"/>
        <w:ind w:firstLine="8"/>
        <w:spacing w:after="0" w:line="321" w:lineRule="auto"/>
        <w:tabs>
          <w:tab w:leader="none" w:pos="906" w:val="left"/>
        </w:tabs>
        <w:numPr>
          <w:ilvl w:val="0"/>
          <w:numId w:val="59"/>
        </w:numPr>
        <w:rPr>
          <w:rFonts w:ascii="Arial" w:cs="Arial" w:eastAsia="Arial" w:hAnsi="Arial"/>
          <w:sz w:val="17"/>
          <w:szCs w:val="17"/>
          <w:color w:val="auto"/>
        </w:rPr>
      </w:pPr>
      <w:r>
        <w:rPr>
          <w:rFonts w:ascii="Arial" w:cs="Arial" w:eastAsia="Arial" w:hAnsi="Arial"/>
          <w:sz w:val="17"/>
          <w:szCs w:val="17"/>
          <w:b w:val="1"/>
          <w:bCs w:val="1"/>
          <w:color w:val="auto"/>
        </w:rPr>
        <w:t>Holding Period</w:t>
      </w:r>
      <w:r>
        <w:rPr>
          <w:rFonts w:ascii="Arial" w:cs="Arial" w:eastAsia="Arial" w:hAnsi="Arial"/>
          <w:sz w:val="17"/>
          <w:szCs w:val="17"/>
          <w:color w:val="auto"/>
        </w:rPr>
        <w:t>. If and when (i) the Grantee is an Officer (as defined in Rule 16a-1(f) of the Exchange Act) or holds the title of President -</w:t>
      </w:r>
      <w:r>
        <w:rPr>
          <w:rFonts w:ascii="Arial" w:cs="Arial" w:eastAsia="Arial" w:hAnsi="Arial"/>
          <w:sz w:val="17"/>
          <w:szCs w:val="17"/>
          <w:b w:val="1"/>
          <w:bCs w:val="1"/>
          <w:color w:val="auto"/>
        </w:rPr>
        <w:t xml:space="preserve"> </w:t>
      </w:r>
      <w:r>
        <w:rPr>
          <w:rFonts w:ascii="Arial" w:cs="Arial" w:eastAsia="Arial" w:hAnsi="Arial"/>
          <w:sz w:val="17"/>
          <w:szCs w:val="17"/>
          <w:color w:val="auto"/>
        </w:rPr>
        <w:t>Eastern Operations, President - Western Operations, President - Agency Operations, or Chief Legal Officer, and (ii) Grantee does not hold Shares of FNF Group Common Stock with a value sufficient to satisfy the applicable stock ownership guidelines of the Company in place at that time, then Grantee must retain 50% of the Shares acquired by Grantee as a result of the lapse of a Period of Restriction (excluding from the calculation any Shares withheld for purposes of satisfying Grantee’s tax obligations in connection with such lapse of a Period of Restriction) until such time as the value of the Shares of FNF Group Common Stock remaining in Grantee’s possession following any sale, assignment, pledge, exchange, gift or other transfer of the Shares shall be sufficient to meet any applicable stock ownership guidelines of the Company in place at that time. For the avoidance of doubt, at any time when Grantee holds, in the aggregate, Shares of FNF Group Common Stock with a value sufficient to satisfy</w:t>
      </w:r>
    </w:p>
    <w:p>
      <w:pPr>
        <w:sectPr>
          <w:pgSz w:w="11900" w:h="16838" w:orient="portrait"/>
          <w:cols w:equalWidth="0" w:num="1">
            <w:col w:w="11420"/>
          </w:cols>
          <w:pgMar w:left="240" w:top="580" w:right="239" w:bottom="1440" w:gutter="0" w:footer="0" w:header="0"/>
        </w:sectPr>
      </w:pPr>
    </w:p>
    <w:bookmarkStart w:id="134" w:name="page135"/>
    <w:bookmarkEnd w:id="134"/>
    <w:p>
      <w:pPr>
        <w:jc w:val="both"/>
        <w:spacing w:after="0" w:line="295" w:lineRule="auto"/>
        <w:rPr>
          <w:sz w:val="20"/>
          <w:szCs w:val="20"/>
          <w:color w:val="auto"/>
        </w:rPr>
      </w:pPr>
      <w:r>
        <w:rPr>
          <w:rFonts w:ascii="Arial" w:cs="Arial" w:eastAsia="Arial" w:hAnsi="Arial"/>
          <w:sz w:val="18"/>
          <w:szCs w:val="18"/>
          <w:color w:val="auto"/>
        </w:rPr>
        <w:t>the applicable stock ownership guidelines of the Company in place at that time, Grantee may enter into a transaction with respect to any Shares acquired by Grantee as a result of the lapse of a Period of Restriction without regard to the holding period requirement contained in this Section 2(b) so long as Grantee shall continue to satisfy such stock ownership guidelines following such transaction.</w:t>
      </w:r>
    </w:p>
    <w:p>
      <w:pPr>
        <w:spacing w:after="0" w:line="3" w:lineRule="exact"/>
        <w:rPr>
          <w:sz w:val="20"/>
          <w:szCs w:val="20"/>
          <w:color w:val="auto"/>
        </w:rPr>
      </w:pPr>
    </w:p>
    <w:p>
      <w:pPr>
        <w:jc w:val="both"/>
        <w:ind w:firstLine="8"/>
        <w:spacing w:after="0" w:line="303" w:lineRule="auto"/>
        <w:tabs>
          <w:tab w:leader="none" w:pos="903"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Lapse of Restrictions</w:t>
      </w:r>
      <w:r>
        <w:rPr>
          <w:rFonts w:ascii="Arial" w:cs="Arial" w:eastAsia="Arial" w:hAnsi="Arial"/>
          <w:sz w:val="18"/>
          <w:szCs w:val="18"/>
          <w:color w:val="auto"/>
        </w:rPr>
        <w:t>. The Period of Restriction shall lapse as to the Restricted Stock in accordance with the Notice of Restricted Stock Grant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terms of this Agreement. Subject to the terms of the Plan and Section 6(a) hereof, upon lapse of the Period of Restriction, the Grantee shall own the Shares that are subject to this Agreement free of all restrictions other than the holding period described in Section 2(c) above. Upon the occurrence of a Change in Control, unless otherwise specifically prohibited under applicable laws, or by the rules and regulations of any governing governmental agencies or national securities exchanges, any Period of Restriction or other restriction imposed on the Restricted Stock that has not previously lapsed, including the holding period described in Section 2(c) above, shall lapse.</w:t>
      </w:r>
    </w:p>
    <w:p>
      <w:pPr>
        <w:spacing w:after="0" w:line="16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8"/>
          <w:szCs w:val="18"/>
          <w:b w:val="1"/>
          <w:bCs w:val="1"/>
          <w:color w:val="auto"/>
        </w:rPr>
        <w:t>STOCK CERTIFICATES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soon as practicable following the grant of Restricted Stock, the Shares of Restricted Stock shall be registered in the Grantee’s name in certificate or book-entry form. If a certificate is issued, it shall bear an appropriate legend referring to the restrictions and it shall be held by the Company, or its agent, on behalf of the Grantee until the Period of Restriction has lapsed. If the Shares are registered in book-entry form, the restrictions shall be placed on the book-entry registration. The Grantee may be required to execute and return to the Company a blank stock power for each Restricted Stock certificate (or instruction letter, with respect to Shares registered in book-entry form), which will permit transfer to the Company, without further action, of all or any portion of the Restricted Stock that is forfeited in accordance with this Agreement.</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8"/>
          <w:szCs w:val="18"/>
          <w:b w:val="1"/>
          <w:bCs w:val="1"/>
          <w:color w:val="auto"/>
        </w:rPr>
        <w:t>SHAREHOLDER RIGHTS</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Except for the transfer and dividend restrictions, and subject to such other restrictions, if any, as determined by the Committee, the Grantee shall have all other rights of a holder of Shares, including the right to vote (or to execute proxies for voting) such Shares. Unless otherwise determined by the Committee, if all or part of a dividend in respect of the Restricted Stock is paid in Shares or any other security issued by the Company, such Shares or other securities shall be held by the Company subject to the same restrictions as the Restricted Stock in respect of which the dividend was paid.</w:t>
      </w:r>
    </w:p>
    <w:p>
      <w:pPr>
        <w:spacing w:after="0" w:line="15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8"/>
          <w:szCs w:val="18"/>
          <w:b w:val="1"/>
          <w:bCs w:val="1"/>
          <w:color w:val="auto"/>
        </w:rPr>
        <w:t>DIVIDENDS</w:t>
      </w:r>
    </w:p>
    <w:p>
      <w:pPr>
        <w:spacing w:after="0" w:line="256" w:lineRule="exact"/>
        <w:rPr>
          <w:sz w:val="20"/>
          <w:szCs w:val="20"/>
          <w:color w:val="auto"/>
        </w:rPr>
      </w:pPr>
    </w:p>
    <w:p>
      <w:pPr>
        <w:ind w:left="900" w:hanging="892"/>
        <w:spacing w:after="0"/>
        <w:tabs>
          <w:tab w:leader="none" w:pos="90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Any dividends paid with respect to Shares which remain subject to a Period of Restriction shall not be paid to the Grantee but shall be held by the</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49" w:lineRule="exact"/>
        <w:rPr>
          <w:rFonts w:ascii="Arial" w:cs="Arial" w:eastAsia="Arial" w:hAnsi="Arial"/>
          <w:sz w:val="16"/>
          <w:szCs w:val="16"/>
          <w:color w:val="auto"/>
        </w:rPr>
      </w:pPr>
    </w:p>
    <w:p>
      <w:pPr>
        <w:ind w:left="920" w:hanging="912"/>
        <w:spacing w:after="0"/>
        <w:tabs>
          <w:tab w:leader="none" w:pos="9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Such held dividends shall be subject to the same Period of Restriction as the Shares to which they relate.</w:t>
      </w:r>
    </w:p>
    <w:p>
      <w:pPr>
        <w:spacing w:after="0" w:line="49" w:lineRule="exact"/>
        <w:rPr>
          <w:rFonts w:ascii="Arial" w:cs="Arial" w:eastAsia="Arial" w:hAnsi="Arial"/>
          <w:sz w:val="18"/>
          <w:szCs w:val="18"/>
          <w:color w:val="auto"/>
        </w:rPr>
      </w:pPr>
    </w:p>
    <w:p>
      <w:pPr>
        <w:ind w:firstLine="8"/>
        <w:spacing w:after="0" w:line="297" w:lineRule="auto"/>
        <w:tabs>
          <w:tab w:leader="none" w:pos="893"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dividends held pursuant to this Section 5 which are attributable to Shares which vest pursuant to this Agreement shall be paid to the Grantee within 30 days of the applicable vesting date.</w:t>
      </w:r>
    </w:p>
    <w:p>
      <w:pPr>
        <w:ind w:left="920" w:hanging="912"/>
        <w:spacing w:after="0"/>
        <w:tabs>
          <w:tab w:leader="none" w:pos="9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Dividends attributable to Shares forfeited pursuant to Section 2 of this Agreement shall be forfeited to the Company on the date such Shares are</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forfeited.</w:t>
      </w:r>
    </w:p>
    <w:p>
      <w:pPr>
        <w:spacing w:after="0" w:line="23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8"/>
          <w:szCs w:val="18"/>
          <w:b w:val="1"/>
          <w:bCs w:val="1"/>
          <w:color w:val="auto"/>
        </w:rPr>
        <w:t>MISCELLANEOUS PROVISIONS</w:t>
      </w:r>
    </w:p>
    <w:p>
      <w:pPr>
        <w:spacing w:after="0" w:line="252" w:lineRule="exact"/>
        <w:rPr>
          <w:sz w:val="20"/>
          <w:szCs w:val="20"/>
          <w:color w:val="auto"/>
        </w:rPr>
      </w:pPr>
    </w:p>
    <w:p>
      <w:pPr>
        <w:jc w:val="both"/>
        <w:ind w:firstLine="8"/>
        <w:spacing w:after="0" w:line="334" w:lineRule="auto"/>
        <w:tabs>
          <w:tab w:leader="none" w:pos="893" w:val="left"/>
        </w:tabs>
        <w:numPr>
          <w:ilvl w:val="0"/>
          <w:numId w:val="62"/>
        </w:numPr>
        <w:rPr>
          <w:rFonts w:ascii="Arial" w:cs="Arial" w:eastAsia="Arial" w:hAnsi="Arial"/>
          <w:sz w:val="16"/>
          <w:szCs w:val="16"/>
          <w:color w:val="auto"/>
        </w:rPr>
      </w:pPr>
      <w:r>
        <w:rPr>
          <w:rFonts w:ascii="Arial" w:cs="Arial" w:eastAsia="Arial" w:hAnsi="Arial"/>
          <w:sz w:val="16"/>
          <w:szCs w:val="16"/>
          <w:b w:val="1"/>
          <w:bCs w:val="1"/>
          <w:color w:val="auto"/>
        </w:rPr>
        <w:t>Tax Withholding</w:t>
      </w:r>
      <w:r>
        <w:rPr>
          <w:rFonts w:ascii="Arial" w:cs="Arial" w:eastAsia="Arial" w:hAnsi="Arial"/>
          <w:sz w:val="16"/>
          <w:szCs w:val="16"/>
          <w:color w:val="auto"/>
        </w:rPr>
        <w:t>. Pursuant to Article 20 of the Plan, the Committee shall have the power and right to deduct or withhold, or require the Grantee</w:t>
      </w:r>
      <w:r>
        <w:rPr>
          <w:rFonts w:ascii="Arial" w:cs="Arial" w:eastAsia="Arial" w:hAnsi="Arial"/>
          <w:sz w:val="16"/>
          <w:szCs w:val="16"/>
          <w:b w:val="1"/>
          <w:bCs w:val="1"/>
          <w:color w:val="auto"/>
        </w:rPr>
        <w:t xml:space="preserve"> </w:t>
      </w:r>
      <w:r>
        <w:rPr>
          <w:rFonts w:ascii="Arial" w:cs="Arial" w:eastAsia="Arial" w:hAnsi="Arial"/>
          <w:sz w:val="16"/>
          <w:szCs w:val="16"/>
          <w:color w:val="auto"/>
        </w:rPr>
        <w:t>to remit to the Company, an amount sufficient to satisfy any federal, state and local taxes (including the Grantee’s FICA obligations) required by law to be withheld with respect to this Award. The Committee may condition the delivery of Shares upon the Grantee’s satisfaction of such withholding obligations. The Grantee may elect to satisfy all or part of such withholding requirement by tendering previously-owned Shares or by having the Company withhold Shares having a Fair Market Value equal to the minimum statutory withholding (based on minimum statutory withholding rates for federal, state and local tax purposes, as applicable, including payroll taxes) that could be imposed on the transaction, and, to the extent the Committee so permits, amounts in excess of the minimum statutory withholding to the extent it would not result in additional accounting expense. Such election shall be irrevocable, made in writing, signed by the Grantee, and shall be subject to any restrictions or limitations that the Committee, in its sole discretion, deems appropriate.</w:t>
      </w:r>
    </w:p>
    <w:p>
      <w:pPr>
        <w:spacing w:after="0" w:line="4" w:lineRule="exact"/>
        <w:rPr>
          <w:rFonts w:ascii="Arial" w:cs="Arial" w:eastAsia="Arial" w:hAnsi="Arial"/>
          <w:sz w:val="16"/>
          <w:szCs w:val="16"/>
          <w:color w:val="auto"/>
        </w:rPr>
      </w:pPr>
    </w:p>
    <w:p>
      <w:pPr>
        <w:jc w:val="both"/>
        <w:ind w:firstLine="8"/>
        <w:spacing w:after="0" w:line="297" w:lineRule="auto"/>
        <w:tabs>
          <w:tab w:leader="none" w:pos="903"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Ratification of Actions</w:t>
      </w:r>
      <w:r>
        <w:rPr>
          <w:rFonts w:ascii="Arial" w:cs="Arial" w:eastAsia="Arial" w:hAnsi="Arial"/>
          <w:sz w:val="18"/>
          <w:szCs w:val="18"/>
          <w:color w:val="auto"/>
        </w:rPr>
        <w:t>. By accepting this Agreement, the Grantee and each person claiming under or through the Grantee shall be conclusively</w:t>
      </w:r>
      <w:r>
        <w:rPr>
          <w:rFonts w:ascii="Arial" w:cs="Arial" w:eastAsia="Arial" w:hAnsi="Arial"/>
          <w:sz w:val="18"/>
          <w:szCs w:val="18"/>
          <w:b w:val="1"/>
          <w:bCs w:val="1"/>
          <w:color w:val="auto"/>
        </w:rPr>
        <w:t xml:space="preserve"> </w:t>
      </w:r>
      <w:r>
        <w:rPr>
          <w:rFonts w:ascii="Arial" w:cs="Arial" w:eastAsia="Arial" w:hAnsi="Arial"/>
          <w:sz w:val="18"/>
          <w:szCs w:val="18"/>
          <w:color w:val="auto"/>
        </w:rPr>
        <w:t>deemed to have indicated the Grantee’s acceptance and ratification of, and consent to, any action taken under the Plan or this Agreement and Notice of Restricted Stock Grant by the Company, the Board or the Committee.</w:t>
      </w:r>
    </w:p>
    <w:p>
      <w:pPr>
        <w:spacing w:after="0" w:line="1" w:lineRule="exact"/>
        <w:rPr>
          <w:rFonts w:ascii="Arial" w:cs="Arial" w:eastAsia="Arial" w:hAnsi="Arial"/>
          <w:sz w:val="18"/>
          <w:szCs w:val="18"/>
          <w:color w:val="auto"/>
        </w:rPr>
      </w:pPr>
    </w:p>
    <w:p>
      <w:pPr>
        <w:jc w:val="both"/>
        <w:ind w:firstLine="8"/>
        <w:spacing w:after="0" w:line="338" w:lineRule="auto"/>
        <w:tabs>
          <w:tab w:leader="none" w:pos="906" w:val="left"/>
        </w:tabs>
        <w:numPr>
          <w:ilvl w:val="0"/>
          <w:numId w:val="62"/>
        </w:numPr>
        <w:rPr>
          <w:rFonts w:ascii="Arial" w:cs="Arial" w:eastAsia="Arial" w:hAnsi="Arial"/>
          <w:sz w:val="17"/>
          <w:szCs w:val="17"/>
          <w:color w:val="auto"/>
        </w:rPr>
      </w:pPr>
      <w:r>
        <w:rPr>
          <w:rFonts w:ascii="Arial" w:cs="Arial" w:eastAsia="Arial" w:hAnsi="Arial"/>
          <w:sz w:val="17"/>
          <w:szCs w:val="17"/>
          <w:b w:val="1"/>
          <w:bCs w:val="1"/>
          <w:color w:val="auto"/>
        </w:rPr>
        <w:t>Notice</w:t>
      </w:r>
      <w:r>
        <w:rPr>
          <w:rFonts w:ascii="Arial" w:cs="Arial" w:eastAsia="Arial" w:hAnsi="Arial"/>
          <w:sz w:val="17"/>
          <w:szCs w:val="17"/>
          <w:color w:val="auto"/>
        </w:rPr>
        <w:t>. Any notice required by the terms of this Agreement shall be given in writing and shall be deemed effective upon personal delivery or</w:t>
      </w:r>
      <w:r>
        <w:rPr>
          <w:rFonts w:ascii="Arial" w:cs="Arial" w:eastAsia="Arial" w:hAnsi="Arial"/>
          <w:sz w:val="17"/>
          <w:szCs w:val="17"/>
          <w:b w:val="1"/>
          <w:bCs w:val="1"/>
          <w:color w:val="auto"/>
        </w:rPr>
        <w:t xml:space="preserve"> </w:t>
      </w:r>
      <w:r>
        <w:rPr>
          <w:rFonts w:ascii="Arial" w:cs="Arial" w:eastAsia="Arial" w:hAnsi="Arial"/>
          <w:sz w:val="17"/>
          <w:szCs w:val="17"/>
          <w:color w:val="auto"/>
        </w:rPr>
        <w:t>upon deposit with the United States Postal Service, by registered or certified mail, with postage and fees prepaid. Notice shall be addressed to the Company at its principal executive office and to the Grantee at the address that he or she most recently provided in writing to the Company.</w:t>
      </w:r>
    </w:p>
    <w:p>
      <w:pPr>
        <w:sectPr>
          <w:pgSz w:w="11900" w:h="16838" w:orient="portrait"/>
          <w:cols w:equalWidth="0" w:num="1">
            <w:col w:w="11420"/>
          </w:cols>
          <w:pgMar w:left="240" w:top="611" w:right="239" w:bottom="1440" w:gutter="0" w:footer="0" w:header="0"/>
        </w:sectPr>
      </w:pPr>
    </w:p>
    <w:bookmarkStart w:id="135" w:name="page136"/>
    <w:bookmarkEnd w:id="135"/>
    <w:p>
      <w:pPr>
        <w:jc w:val="both"/>
        <w:ind w:left="-8" w:firstLine="8"/>
        <w:spacing w:after="0" w:line="297" w:lineRule="auto"/>
        <w:tabs>
          <w:tab w:leader="none" w:pos="895"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Choice of Law</w:t>
      </w:r>
      <w:r>
        <w:rPr>
          <w:rFonts w:ascii="Arial" w:cs="Arial" w:eastAsia="Arial" w:hAnsi="Arial"/>
          <w:sz w:val="18"/>
          <w:szCs w:val="18"/>
          <w:color w:val="auto"/>
        </w:rPr>
        <w:t>. This Agreement and the Notice of Restricted Stock Grant shall be governed by, and construed in accordance with, the laws of</w:t>
      </w:r>
      <w:r>
        <w:rPr>
          <w:rFonts w:ascii="Arial" w:cs="Arial" w:eastAsia="Arial" w:hAnsi="Arial"/>
          <w:sz w:val="18"/>
          <w:szCs w:val="18"/>
          <w:b w:val="1"/>
          <w:bCs w:val="1"/>
          <w:color w:val="auto"/>
        </w:rPr>
        <w:t xml:space="preserve"> </w:t>
      </w:r>
      <w:r>
        <w:rPr>
          <w:rFonts w:ascii="Arial" w:cs="Arial" w:eastAsia="Arial" w:hAnsi="Arial"/>
          <w:sz w:val="18"/>
          <w:szCs w:val="18"/>
          <w:color w:val="auto"/>
        </w:rPr>
        <w:t>Florida, without regard to any conflicts of law or choice of law rule or principle that might otherwise cause the Plan, this Agreement or the Notice of Restricted Stock Grant to be governed by or construed in accordance with the substantive law of another jurisdiction.</w:t>
      </w:r>
    </w:p>
    <w:p>
      <w:pPr>
        <w:spacing w:after="0" w:line="1" w:lineRule="exact"/>
        <w:rPr>
          <w:rFonts w:ascii="Arial" w:cs="Arial" w:eastAsia="Arial" w:hAnsi="Arial"/>
          <w:sz w:val="18"/>
          <w:szCs w:val="18"/>
          <w:color w:val="auto"/>
        </w:rPr>
      </w:pPr>
    </w:p>
    <w:p>
      <w:pPr>
        <w:jc w:val="both"/>
        <w:ind w:left="-8" w:firstLine="8"/>
        <w:spacing w:after="0" w:line="334" w:lineRule="auto"/>
        <w:tabs>
          <w:tab w:leader="none" w:pos="885" w:val="left"/>
        </w:tabs>
        <w:numPr>
          <w:ilvl w:val="0"/>
          <w:numId w:val="63"/>
        </w:numPr>
        <w:rPr>
          <w:rFonts w:ascii="Arial" w:cs="Arial" w:eastAsia="Arial" w:hAnsi="Arial"/>
          <w:sz w:val="16"/>
          <w:szCs w:val="16"/>
          <w:color w:val="auto"/>
        </w:rPr>
      </w:pPr>
      <w:r>
        <w:rPr>
          <w:rFonts w:ascii="Arial" w:cs="Arial" w:eastAsia="Arial" w:hAnsi="Arial"/>
          <w:sz w:val="16"/>
          <w:szCs w:val="16"/>
          <w:b w:val="1"/>
          <w:bCs w:val="1"/>
          <w:color w:val="auto"/>
        </w:rPr>
        <w:t>Arbitration</w:t>
      </w:r>
      <w:r>
        <w:rPr>
          <w:rFonts w:ascii="Arial" w:cs="Arial" w:eastAsia="Arial" w:hAnsi="Arial"/>
          <w:sz w:val="16"/>
          <w:szCs w:val="16"/>
          <w:color w:val="auto"/>
        </w:rPr>
        <w:t>. Subject to, and in accordance with the provisions of Article 3 of the Plan, any dispute or claim arising out of or relating to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or the Notice of Restricted Stock Grant shall be settled by binding arbitration before a single arbitrator in Jacksonville, Florida and in accordance with the Commercial Arbitration Rules of the American Arbitration Association. The arbitrator shall decide any issues submitted in accordance with the provisions and commercial purposes of the Plan, this Agreement and the Notice of Restricted Stock Grant, provided that all substantive questions of law shall be determined in accordance with the state and federal laws applicable in Indiana, without regard to internal principles relating to conflict of laws.</w:t>
      </w:r>
    </w:p>
    <w:p>
      <w:pPr>
        <w:spacing w:after="0" w:line="2" w:lineRule="exact"/>
        <w:rPr>
          <w:rFonts w:ascii="Arial" w:cs="Arial" w:eastAsia="Arial" w:hAnsi="Arial"/>
          <w:sz w:val="16"/>
          <w:szCs w:val="16"/>
          <w:color w:val="auto"/>
        </w:rPr>
      </w:pPr>
    </w:p>
    <w:p>
      <w:pPr>
        <w:ind w:left="-8" w:firstLine="8"/>
        <w:spacing w:after="0" w:line="297" w:lineRule="auto"/>
        <w:tabs>
          <w:tab w:leader="none" w:pos="865"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Modification or Amendment</w:t>
      </w:r>
      <w:r>
        <w:rPr>
          <w:rFonts w:ascii="Arial" w:cs="Arial" w:eastAsia="Arial" w:hAnsi="Arial"/>
          <w:sz w:val="18"/>
          <w:szCs w:val="18"/>
          <w:color w:val="auto"/>
        </w:rPr>
        <w:t>. This Agreement may only be modified or amended by written agreement executed by the parties hereto; 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however, that the adjustments permitted pursuant to Section 4.3 of the Plan may be made without such written agreement.</w:t>
      </w:r>
    </w:p>
    <w:p>
      <w:pPr>
        <w:jc w:val="both"/>
        <w:ind w:left="-8" w:firstLine="8"/>
        <w:spacing w:after="0" w:line="297" w:lineRule="auto"/>
        <w:tabs>
          <w:tab w:leader="none" w:pos="908"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In the event any provision of this Agreement shall be held illegal or invalid for any reason, the illegality or invalidity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affect the remaining provisions of this Agreement, and this Agreement shall be construed and enforced as if such illegal or invalid provision had not been included.</w:t>
      </w:r>
    </w:p>
    <w:p>
      <w:pPr>
        <w:spacing w:after="0" w:line="1" w:lineRule="exact"/>
        <w:rPr>
          <w:rFonts w:ascii="Arial" w:cs="Arial" w:eastAsia="Arial" w:hAnsi="Arial"/>
          <w:sz w:val="18"/>
          <w:szCs w:val="18"/>
          <w:color w:val="auto"/>
        </w:rPr>
      </w:pPr>
    </w:p>
    <w:p>
      <w:pPr>
        <w:ind w:left="912" w:hanging="912"/>
        <w:spacing w:after="0"/>
        <w:tabs>
          <w:tab w:leader="none" w:pos="912"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References to Plan</w:t>
      </w:r>
      <w:r>
        <w:rPr>
          <w:rFonts w:ascii="Arial" w:cs="Arial" w:eastAsia="Arial" w:hAnsi="Arial"/>
          <w:sz w:val="18"/>
          <w:szCs w:val="18"/>
          <w:color w:val="auto"/>
        </w:rPr>
        <w:t>. All references to the Plan shall be deemed references to the Plan as may be amended from time to time.</w:t>
      </w:r>
    </w:p>
    <w:p>
      <w:pPr>
        <w:spacing w:after="0" w:line="49" w:lineRule="exact"/>
        <w:rPr>
          <w:rFonts w:ascii="Arial" w:cs="Arial" w:eastAsia="Arial" w:hAnsi="Arial"/>
          <w:sz w:val="18"/>
          <w:szCs w:val="18"/>
          <w:color w:val="auto"/>
        </w:rPr>
      </w:pPr>
    </w:p>
    <w:p>
      <w:pPr>
        <w:jc w:val="both"/>
        <w:ind w:left="-8" w:firstLine="8"/>
        <w:spacing w:after="0" w:line="313" w:lineRule="auto"/>
        <w:tabs>
          <w:tab w:leader="none" w:pos="869"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Section 409A Compliance</w:t>
      </w:r>
      <w:r>
        <w:rPr>
          <w:rFonts w:ascii="Arial" w:cs="Arial" w:eastAsia="Arial" w:hAnsi="Arial"/>
          <w:sz w:val="18"/>
          <w:szCs w:val="18"/>
          <w:color w:val="auto"/>
        </w:rPr>
        <w:t>. To the extent applicable, it is intended that the Plan and this Agreement comply with the requirements of Code</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409A and any related regulations or other guidance promulgated with respect to such Section by the U.S. Department of the Treasury or the Internal Revenue Service and the Plan and the Award Agreement shall be interpreted accordingly.</w:t>
      </w:r>
    </w:p>
    <w:p>
      <w:pPr>
        <w:sectPr>
          <w:pgSz w:w="11900" w:h="16838" w:orient="portrait"/>
          <w:cols w:equalWidth="0" w:num="1">
            <w:col w:w="11412"/>
          </w:cols>
          <w:pgMar w:left="248" w:top="607" w:right="2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Fidelity National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2005 Omnibus Incentive Plan</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Stock Option Grant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(the “Optionee”) have been granted the following option to purchase Shares of FNF Group Common Stock, par value $0.0001 per share (“Share”), by Fidelity National Financial, Inc. (the “Company”), pursuant to the Fidelity National Financial, Inc. Amended and Restated 2005 Omnibus Incentive Plan (the “Plan”):</w:t>
      </w:r>
    </w:p>
    <w:p>
      <w:pPr>
        <w:spacing w:after="0" w:line="311" w:lineRule="exact"/>
        <w:rPr>
          <w:sz w:val="20"/>
          <w:szCs w:val="20"/>
          <w:color w:val="auto"/>
        </w:rPr>
      </w:pPr>
    </w:p>
    <w:tbl>
      <w:tblPr>
        <w:tblLayout w:type="fixed"/>
        <w:tblInd w:w="670" w:type="dxa"/>
        <w:tblCellMar>
          <w:top w:w="0" w:type="dxa"/>
          <w:left w:w="0" w:type="dxa"/>
          <w:bottom w:w="0" w:type="dxa"/>
          <w:right w:w="0" w:type="dxa"/>
        </w:tblCellMar>
      </w:tblPr>
      <w:tr>
        <w:trPr>
          <w:trHeight w:val="257"/>
        </w:trPr>
        <w:tc>
          <w:tcPr>
            <w:tcW w:w="498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Name of Optionee:</w:t>
            </w:r>
          </w:p>
        </w:tc>
        <w:tc>
          <w:tcPr>
            <w:tcW w:w="5140" w:type="dxa"/>
            <w:vAlign w:val="bottom"/>
            <w:tcBorders>
              <w:top w:val="single" w:sz="8" w:color="auto"/>
              <w:right w:val="single" w:sz="8" w:color="auto"/>
            </w:tcBorders>
          </w:tcPr>
          <w:p>
            <w:pPr>
              <w:spacing w:after="0"/>
              <w:rPr>
                <w:sz w:val="22"/>
                <w:szCs w:val="22"/>
                <w:color w:val="auto"/>
              </w:rPr>
            </w:pPr>
          </w:p>
        </w:tc>
      </w:tr>
      <w:tr>
        <w:trPr>
          <w:trHeight w:val="27"/>
        </w:trPr>
        <w:tc>
          <w:tcPr>
            <w:tcW w:w="4980" w:type="dxa"/>
            <w:vAlign w:val="bottom"/>
            <w:tcBorders>
              <w:left w:val="single" w:sz="8" w:color="auto"/>
              <w:bottom w:val="single" w:sz="8" w:color="auto"/>
              <w:right w:val="single" w:sz="8" w:color="auto"/>
            </w:tcBorders>
          </w:tcPr>
          <w:p>
            <w:pPr>
              <w:spacing w:after="0"/>
              <w:rPr>
                <w:sz w:val="2"/>
                <w:szCs w:val="2"/>
                <w:color w:val="auto"/>
              </w:rPr>
            </w:pPr>
          </w:p>
        </w:tc>
        <w:tc>
          <w:tcPr>
            <w:tcW w:w="5140" w:type="dxa"/>
            <w:vAlign w:val="bottom"/>
            <w:tcBorders>
              <w:bottom w:val="single" w:sz="8" w:color="auto"/>
              <w:right w:val="single" w:sz="8" w:color="auto"/>
            </w:tcBorders>
          </w:tcPr>
          <w:p>
            <w:pPr>
              <w:spacing w:after="0"/>
              <w:rPr>
                <w:sz w:val="2"/>
                <w:szCs w:val="2"/>
                <w:color w:val="auto"/>
              </w:rPr>
            </w:pPr>
          </w:p>
        </w:tc>
      </w:tr>
      <w:tr>
        <w:trPr>
          <w:trHeight w:val="237"/>
        </w:trPr>
        <w:tc>
          <w:tcPr>
            <w:tcW w:w="49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Total Number of Shares Subject to Option:</w:t>
            </w:r>
          </w:p>
        </w:tc>
        <w:tc>
          <w:tcPr>
            <w:tcW w:w="5140" w:type="dxa"/>
            <w:vAlign w:val="bottom"/>
            <w:tcBorders>
              <w:right w:val="single" w:sz="8" w:color="auto"/>
            </w:tcBorders>
          </w:tcPr>
          <w:p>
            <w:pPr>
              <w:spacing w:after="0"/>
              <w:rPr>
                <w:sz w:val="20"/>
                <w:szCs w:val="20"/>
                <w:color w:val="auto"/>
              </w:rPr>
            </w:pPr>
          </w:p>
        </w:tc>
      </w:tr>
      <w:tr>
        <w:trPr>
          <w:trHeight w:val="27"/>
        </w:trPr>
        <w:tc>
          <w:tcPr>
            <w:tcW w:w="4980" w:type="dxa"/>
            <w:vAlign w:val="bottom"/>
            <w:tcBorders>
              <w:left w:val="single" w:sz="8" w:color="auto"/>
              <w:bottom w:val="single" w:sz="8" w:color="auto"/>
              <w:right w:val="single" w:sz="8" w:color="auto"/>
            </w:tcBorders>
          </w:tcPr>
          <w:p>
            <w:pPr>
              <w:spacing w:after="0"/>
              <w:rPr>
                <w:sz w:val="2"/>
                <w:szCs w:val="2"/>
                <w:color w:val="auto"/>
              </w:rPr>
            </w:pPr>
          </w:p>
        </w:tc>
        <w:tc>
          <w:tcPr>
            <w:tcW w:w="5140" w:type="dxa"/>
            <w:vAlign w:val="bottom"/>
            <w:tcBorders>
              <w:bottom w:val="single" w:sz="8" w:color="auto"/>
              <w:right w:val="single" w:sz="8" w:color="auto"/>
            </w:tcBorders>
          </w:tcPr>
          <w:p>
            <w:pPr>
              <w:spacing w:after="0"/>
              <w:rPr>
                <w:sz w:val="2"/>
                <w:szCs w:val="2"/>
                <w:color w:val="auto"/>
              </w:rPr>
            </w:pPr>
          </w:p>
        </w:tc>
      </w:tr>
      <w:tr>
        <w:trPr>
          <w:trHeight w:val="237"/>
        </w:trPr>
        <w:tc>
          <w:tcPr>
            <w:tcW w:w="49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Type of Option:</w:t>
            </w:r>
          </w:p>
        </w:tc>
        <w:tc>
          <w:tcPr>
            <w:tcW w:w="5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Nonqualified</w:t>
            </w:r>
          </w:p>
        </w:tc>
      </w:tr>
      <w:tr>
        <w:trPr>
          <w:trHeight w:val="27"/>
        </w:trPr>
        <w:tc>
          <w:tcPr>
            <w:tcW w:w="4980" w:type="dxa"/>
            <w:vAlign w:val="bottom"/>
            <w:tcBorders>
              <w:left w:val="single" w:sz="8" w:color="auto"/>
              <w:bottom w:val="single" w:sz="8" w:color="auto"/>
              <w:right w:val="single" w:sz="8" w:color="auto"/>
            </w:tcBorders>
          </w:tcPr>
          <w:p>
            <w:pPr>
              <w:spacing w:after="0"/>
              <w:rPr>
                <w:sz w:val="2"/>
                <w:szCs w:val="2"/>
                <w:color w:val="auto"/>
              </w:rPr>
            </w:pPr>
          </w:p>
        </w:tc>
        <w:tc>
          <w:tcPr>
            <w:tcW w:w="5140" w:type="dxa"/>
            <w:vAlign w:val="bottom"/>
            <w:tcBorders>
              <w:bottom w:val="single" w:sz="8" w:color="auto"/>
              <w:right w:val="single" w:sz="8" w:color="auto"/>
            </w:tcBorders>
          </w:tcPr>
          <w:p>
            <w:pPr>
              <w:spacing w:after="0"/>
              <w:rPr>
                <w:sz w:val="2"/>
                <w:szCs w:val="2"/>
                <w:color w:val="auto"/>
              </w:rPr>
            </w:pPr>
          </w:p>
        </w:tc>
      </w:tr>
      <w:tr>
        <w:trPr>
          <w:trHeight w:val="237"/>
        </w:trPr>
        <w:tc>
          <w:tcPr>
            <w:tcW w:w="49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Exercise Price Per Share:</w:t>
            </w:r>
          </w:p>
        </w:tc>
        <w:tc>
          <w:tcPr>
            <w:tcW w:w="5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$29.80</w:t>
            </w:r>
          </w:p>
        </w:tc>
      </w:tr>
      <w:tr>
        <w:trPr>
          <w:trHeight w:val="27"/>
        </w:trPr>
        <w:tc>
          <w:tcPr>
            <w:tcW w:w="4980" w:type="dxa"/>
            <w:vAlign w:val="bottom"/>
            <w:tcBorders>
              <w:left w:val="single" w:sz="8" w:color="auto"/>
              <w:bottom w:val="single" w:sz="8" w:color="auto"/>
              <w:right w:val="single" w:sz="8" w:color="auto"/>
            </w:tcBorders>
          </w:tcPr>
          <w:p>
            <w:pPr>
              <w:spacing w:after="0"/>
              <w:rPr>
                <w:sz w:val="2"/>
                <w:szCs w:val="2"/>
                <w:color w:val="auto"/>
              </w:rPr>
            </w:pPr>
          </w:p>
        </w:tc>
        <w:tc>
          <w:tcPr>
            <w:tcW w:w="5140" w:type="dxa"/>
            <w:vAlign w:val="bottom"/>
            <w:tcBorders>
              <w:bottom w:val="single" w:sz="8" w:color="auto"/>
              <w:right w:val="single" w:sz="8" w:color="auto"/>
            </w:tcBorders>
          </w:tcPr>
          <w:p>
            <w:pPr>
              <w:spacing w:after="0"/>
              <w:rPr>
                <w:sz w:val="2"/>
                <w:szCs w:val="2"/>
                <w:color w:val="auto"/>
              </w:rPr>
            </w:pPr>
          </w:p>
        </w:tc>
      </w:tr>
      <w:tr>
        <w:trPr>
          <w:trHeight w:val="237"/>
        </w:trPr>
        <w:tc>
          <w:tcPr>
            <w:tcW w:w="49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Effective Date of Grant:</w:t>
            </w:r>
          </w:p>
        </w:tc>
        <w:tc>
          <w:tcPr>
            <w:tcW w:w="5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November 3, 2014</w:t>
            </w:r>
          </w:p>
        </w:tc>
      </w:tr>
      <w:tr>
        <w:trPr>
          <w:trHeight w:val="27"/>
        </w:trPr>
        <w:tc>
          <w:tcPr>
            <w:tcW w:w="4980" w:type="dxa"/>
            <w:vAlign w:val="bottom"/>
            <w:tcBorders>
              <w:left w:val="single" w:sz="8" w:color="auto"/>
              <w:bottom w:val="single" w:sz="8" w:color="auto"/>
              <w:right w:val="single" w:sz="8" w:color="auto"/>
            </w:tcBorders>
          </w:tcPr>
          <w:p>
            <w:pPr>
              <w:spacing w:after="0"/>
              <w:rPr>
                <w:sz w:val="2"/>
                <w:szCs w:val="2"/>
                <w:color w:val="auto"/>
              </w:rPr>
            </w:pPr>
          </w:p>
        </w:tc>
        <w:tc>
          <w:tcPr>
            <w:tcW w:w="5140" w:type="dxa"/>
            <w:vAlign w:val="bottom"/>
            <w:tcBorders>
              <w:bottom w:val="single" w:sz="8" w:color="auto"/>
              <w:right w:val="single" w:sz="8" w:color="auto"/>
            </w:tcBorders>
          </w:tcPr>
          <w:p>
            <w:pPr>
              <w:spacing w:after="0"/>
              <w:rPr>
                <w:sz w:val="2"/>
                <w:szCs w:val="2"/>
                <w:color w:val="auto"/>
              </w:rPr>
            </w:pPr>
          </w:p>
        </w:tc>
      </w:tr>
      <w:tr>
        <w:trPr>
          <w:trHeight w:val="222"/>
        </w:trPr>
        <w:tc>
          <w:tcPr>
            <w:tcW w:w="4980" w:type="dxa"/>
            <w:vAlign w:val="bottom"/>
            <w:tcBorders>
              <w:left w:val="single" w:sz="8" w:color="auto"/>
              <w:right w:val="single" w:sz="8" w:color="auto"/>
            </w:tcBorders>
          </w:tcPr>
          <w:p>
            <w:pPr>
              <w:spacing w:after="0"/>
              <w:rPr>
                <w:sz w:val="19"/>
                <w:szCs w:val="19"/>
                <w:color w:val="auto"/>
              </w:rPr>
            </w:pPr>
          </w:p>
        </w:tc>
        <w:tc>
          <w:tcPr>
            <w:tcW w:w="5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Subject to the terms of the Plan and the Stock Option Agreement</w:t>
            </w:r>
          </w:p>
        </w:tc>
      </w:tr>
      <w:tr>
        <w:trPr>
          <w:trHeight w:val="216"/>
        </w:trPr>
        <w:tc>
          <w:tcPr>
            <w:tcW w:w="4980" w:type="dxa"/>
            <w:vAlign w:val="bottom"/>
            <w:tcBorders>
              <w:left w:val="single" w:sz="8" w:color="auto"/>
              <w:right w:val="single" w:sz="8" w:color="auto"/>
            </w:tcBorders>
          </w:tcPr>
          <w:p>
            <w:pPr>
              <w:spacing w:after="0"/>
              <w:rPr>
                <w:sz w:val="18"/>
                <w:szCs w:val="18"/>
                <w:color w:val="auto"/>
              </w:rPr>
            </w:pPr>
          </w:p>
        </w:tc>
        <w:tc>
          <w:tcPr>
            <w:tcW w:w="5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attached hereto, the right to exercise this Option shall vest with</w:t>
            </w:r>
          </w:p>
        </w:tc>
      </w:tr>
      <w:tr>
        <w:trPr>
          <w:trHeight w:val="216"/>
        </w:trPr>
        <w:tc>
          <w:tcPr>
            <w:tcW w:w="4980" w:type="dxa"/>
            <w:vAlign w:val="bottom"/>
            <w:tcBorders>
              <w:left w:val="single" w:sz="8" w:color="auto"/>
              <w:right w:val="single" w:sz="8" w:color="auto"/>
            </w:tcBorders>
          </w:tcPr>
          <w:p>
            <w:pPr>
              <w:spacing w:after="0"/>
              <w:rPr>
                <w:sz w:val="18"/>
                <w:szCs w:val="18"/>
                <w:color w:val="auto"/>
              </w:rPr>
            </w:pPr>
          </w:p>
        </w:tc>
        <w:tc>
          <w:tcPr>
            <w:tcW w:w="5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respect to one-third of the total number of Shares subject to this</w:t>
            </w:r>
          </w:p>
        </w:tc>
      </w:tr>
      <w:tr>
        <w:trPr>
          <w:trHeight w:val="230"/>
        </w:trPr>
        <w:tc>
          <w:tcPr>
            <w:tcW w:w="498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Vesting Schedule:</w:t>
            </w:r>
          </w:p>
        </w:tc>
        <w:tc>
          <w:tcPr>
            <w:tcW w:w="5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 on each anniversary of the Effective Date of Grant.</w:t>
            </w:r>
          </w:p>
        </w:tc>
      </w:tr>
      <w:tr>
        <w:trPr>
          <w:trHeight w:val="27"/>
        </w:trPr>
        <w:tc>
          <w:tcPr>
            <w:tcW w:w="4980" w:type="dxa"/>
            <w:vAlign w:val="bottom"/>
            <w:tcBorders>
              <w:left w:val="single" w:sz="8" w:color="auto"/>
              <w:bottom w:val="single" w:sz="8" w:color="auto"/>
              <w:right w:val="single" w:sz="8" w:color="auto"/>
            </w:tcBorders>
          </w:tcPr>
          <w:p>
            <w:pPr>
              <w:spacing w:after="0"/>
              <w:rPr>
                <w:sz w:val="2"/>
                <w:szCs w:val="2"/>
                <w:color w:val="auto"/>
              </w:rPr>
            </w:pPr>
          </w:p>
        </w:tc>
        <w:tc>
          <w:tcPr>
            <w:tcW w:w="5140" w:type="dxa"/>
            <w:vAlign w:val="bottom"/>
            <w:tcBorders>
              <w:bottom w:val="single" w:sz="8" w:color="auto"/>
              <w:right w:val="single" w:sz="8" w:color="auto"/>
            </w:tcBorders>
          </w:tcPr>
          <w:p>
            <w:pPr>
              <w:spacing w:after="0"/>
              <w:rPr>
                <w:sz w:val="2"/>
                <w:szCs w:val="2"/>
                <w:color w:val="auto"/>
              </w:rPr>
            </w:pPr>
          </w:p>
        </w:tc>
      </w:tr>
      <w:tr>
        <w:trPr>
          <w:trHeight w:val="376"/>
        </w:trPr>
        <w:tc>
          <w:tcPr>
            <w:tcW w:w="4980" w:type="dxa"/>
            <w:vAlign w:val="bottom"/>
            <w:tcBorders>
              <w:left w:val="single" w:sz="8" w:color="auto"/>
              <w:right w:val="single" w:sz="8" w:color="auto"/>
            </w:tcBorders>
          </w:tcPr>
          <w:p>
            <w:pPr>
              <w:spacing w:after="0"/>
              <w:rPr>
                <w:sz w:val="24"/>
                <w:szCs w:val="24"/>
                <w:color w:val="auto"/>
              </w:rPr>
            </w:pPr>
          </w:p>
        </w:tc>
        <w:tc>
          <w:tcPr>
            <w:tcW w:w="51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rPr>
              <w:t>7</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Anniversary of Effective Date of Grant</w:t>
            </w:r>
          </w:p>
        </w:tc>
      </w:tr>
      <w:tr>
        <w:trPr>
          <w:trHeight w:val="325"/>
        </w:trPr>
        <w:tc>
          <w:tcPr>
            <w:tcW w:w="4980" w:type="dxa"/>
            <w:vAlign w:val="bottom"/>
            <w:tcBorders>
              <w:left w:val="single" w:sz="8" w:color="auto"/>
              <w:right w:val="single" w:sz="8" w:color="auto"/>
            </w:tcBorders>
          </w:tcPr>
          <w:p>
            <w:pPr>
              <w:spacing w:after="0"/>
              <w:rPr>
                <w:sz w:val="24"/>
                <w:szCs w:val="24"/>
                <w:color w:val="auto"/>
              </w:rPr>
            </w:pPr>
          </w:p>
        </w:tc>
        <w:tc>
          <w:tcPr>
            <w:tcW w:w="5140" w:type="dxa"/>
            <w:vAlign w:val="bottom"/>
            <w:tcBorders>
              <w:right w:val="single" w:sz="8" w:color="auto"/>
            </w:tcBorders>
          </w:tcPr>
          <w:p>
            <w:pPr>
              <w:ind w:left="20"/>
              <w:spacing w:after="0"/>
              <w:rPr>
                <w:sz w:val="20"/>
                <w:szCs w:val="20"/>
                <w:color w:val="auto"/>
              </w:rPr>
            </w:pPr>
            <w:r>
              <w:rPr>
                <w:rFonts w:ascii="Arial" w:cs="Arial" w:eastAsia="Arial" w:hAnsi="Arial"/>
                <w:sz w:val="22"/>
                <w:szCs w:val="22"/>
                <w:color w:val="auto"/>
                <w:w w:val="92"/>
              </w:rPr>
              <w:t>The Option is subject to earlier expiration, as provided in</w:t>
            </w:r>
          </w:p>
        </w:tc>
      </w:tr>
      <w:tr>
        <w:trPr>
          <w:trHeight w:val="285"/>
        </w:trPr>
        <w:tc>
          <w:tcPr>
            <w:tcW w:w="498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Expiration Date:</w:t>
            </w:r>
          </w:p>
        </w:tc>
        <w:tc>
          <w:tcPr>
            <w:tcW w:w="5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2"/>
                <w:szCs w:val="22"/>
                <w:color w:val="auto"/>
                <w:w w:val="97"/>
              </w:rPr>
              <w:t>Section 3(b) of the attached Stock Option Agreement.</w:t>
            </w: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By your electronic acceptance/signature below, you agree and acknowledge that this Option is granted under and governed by the terms and conditions of the Plan and the attached Stock Option Agreement, which are incorporated herein by reference, and that you have been provided with a copy of the Plan and Stock Option Agreement.</w:t>
      </w:r>
    </w:p>
    <w:p>
      <w:pPr>
        <w:sectPr>
          <w:pgSz w:w="11900" w:h="16838" w:orient="portrait"/>
          <w:cols w:equalWidth="0" w:num="1">
            <w:col w:w="11420"/>
          </w:cols>
          <w:pgMar w:left="240" w:top="580" w:right="2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Fidelity National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2005 Omnibus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Agreement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b w:val="1"/>
          <w:bCs w:val="1"/>
          <w:color w:val="auto"/>
        </w:rPr>
        <w:t>GRANT OF OPTION.</w:t>
      </w:r>
    </w:p>
    <w:p>
      <w:pPr>
        <w:spacing w:after="0" w:line="252" w:lineRule="exact"/>
        <w:rPr>
          <w:sz w:val="20"/>
          <w:szCs w:val="20"/>
          <w:color w:val="auto"/>
        </w:rPr>
      </w:pPr>
    </w:p>
    <w:p>
      <w:pPr>
        <w:jc w:val="both"/>
        <w:ind w:firstLine="656"/>
        <w:spacing w:after="0" w:line="313" w:lineRule="auto"/>
        <w:tabs>
          <w:tab w:leader="none" w:pos="1496" w:val="left"/>
        </w:tabs>
        <w:numPr>
          <w:ilvl w:val="0"/>
          <w:numId w:val="64"/>
        </w:numPr>
        <w:rPr>
          <w:rFonts w:ascii="Arial" w:cs="Arial" w:eastAsia="Arial" w:hAnsi="Arial"/>
          <w:sz w:val="18"/>
          <w:szCs w:val="18"/>
          <w:color w:val="auto"/>
        </w:rPr>
      </w:pPr>
      <w:r>
        <w:rPr>
          <w:rFonts w:ascii="Arial" w:cs="Arial" w:eastAsia="Arial" w:hAnsi="Arial"/>
          <w:sz w:val="18"/>
          <w:szCs w:val="18"/>
          <w:b w:val="1"/>
          <w:bCs w:val="1"/>
          <w:u w:val="single" w:color="auto"/>
          <w:color w:val="auto"/>
        </w:rPr>
        <w:t>Option</w:t>
      </w:r>
      <w:r>
        <w:rPr>
          <w:rFonts w:ascii="Arial" w:cs="Arial" w:eastAsia="Arial" w:hAnsi="Arial"/>
          <w:sz w:val="18"/>
          <w:szCs w:val="18"/>
          <w:b w:val="1"/>
          <w:bCs w:val="1"/>
          <w:color w:val="auto"/>
        </w:rPr>
        <w:t xml:space="preserve">. </w:t>
      </w:r>
      <w:r>
        <w:rPr>
          <w:rFonts w:ascii="Arial" w:cs="Arial" w:eastAsia="Arial" w:hAnsi="Arial"/>
          <w:sz w:val="18"/>
          <w:szCs w:val="18"/>
          <w:color w:val="auto"/>
        </w:rPr>
        <w:t>On the terms and conditions set forth in the Notice of Stock Option Grant, which is incorporated by reference, and this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 Agreement (the “Agreement”), the Company grants to the Optionee on the Effective Date of Grant the Option to purchase at the Exercise Price the number of Shares set forth in the Notice of Stock Option Grant.</w:t>
      </w:r>
    </w:p>
    <w:p>
      <w:pPr>
        <w:spacing w:after="0" w:line="176" w:lineRule="exact"/>
        <w:rPr>
          <w:rFonts w:ascii="Arial" w:cs="Arial" w:eastAsia="Arial" w:hAnsi="Arial"/>
          <w:sz w:val="18"/>
          <w:szCs w:val="18"/>
          <w:color w:val="auto"/>
        </w:rPr>
      </w:pPr>
    </w:p>
    <w:p>
      <w:pPr>
        <w:jc w:val="both"/>
        <w:ind w:firstLine="656"/>
        <w:spacing w:after="0" w:line="308" w:lineRule="auto"/>
        <w:tabs>
          <w:tab w:leader="none" w:pos="1506" w:val="left"/>
        </w:tabs>
        <w:numPr>
          <w:ilvl w:val="0"/>
          <w:numId w:val="64"/>
        </w:numPr>
        <w:rPr>
          <w:rFonts w:ascii="Arial" w:cs="Arial" w:eastAsia="Arial" w:hAnsi="Arial"/>
          <w:sz w:val="18"/>
          <w:szCs w:val="18"/>
          <w:color w:val="auto"/>
        </w:rPr>
      </w:pPr>
      <w:r>
        <w:rPr>
          <w:rFonts w:ascii="Arial" w:cs="Arial" w:eastAsia="Arial" w:hAnsi="Arial"/>
          <w:sz w:val="18"/>
          <w:szCs w:val="18"/>
          <w:b w:val="1"/>
          <w:bCs w:val="1"/>
          <w:u w:val="single" w:color="auto"/>
          <w:color w:val="auto"/>
        </w:rPr>
        <w:t>Plan and Defined Terms</w:t>
      </w:r>
      <w:r>
        <w:rPr>
          <w:rFonts w:ascii="Arial" w:cs="Arial" w:eastAsia="Arial" w:hAnsi="Arial"/>
          <w:sz w:val="18"/>
          <w:szCs w:val="18"/>
          <w:b w:val="1"/>
          <w:bCs w:val="1"/>
          <w:color w:val="auto"/>
        </w:rPr>
        <w:t xml:space="preserve">. </w:t>
      </w:r>
      <w:r>
        <w:rPr>
          <w:rFonts w:ascii="Arial" w:cs="Arial" w:eastAsia="Arial" w:hAnsi="Arial"/>
          <w:sz w:val="18"/>
          <w:szCs w:val="18"/>
          <w:color w:val="auto"/>
        </w:rPr>
        <w:t>The Option is granted pursuant to the Plan. All terms, provisions, and conditions applicable to the Option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the Plan and not set forth herein are hereby incorporated by reference herein. To the extent any provision hereof is inconsistent with a provision of the Plan, the provisions of the Plan will govern. All capitalized terms that are used in the Notice of Stock Option Grant or this Agreement and not otherwise defined therein or herein shall have the meanings ascribed to them in the Plan.</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b w:val="1"/>
          <w:bCs w:val="1"/>
          <w:color w:val="auto"/>
        </w:rPr>
        <w:t>RIGHT TO EXERCISE</w:t>
      </w:r>
      <w:r>
        <w:rPr>
          <w:rFonts w:ascii="Arial" w:cs="Arial" w:eastAsia="Arial" w:hAnsi="Arial"/>
          <w:sz w:val="18"/>
          <w:szCs w:val="18"/>
          <w:color w:val="auto"/>
        </w:rPr>
        <w:t>.</w:t>
      </w:r>
    </w:p>
    <w:p>
      <w:pPr>
        <w:spacing w:after="0" w:line="2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Option hereby granted shall be exercised by written notice to the Committee, specifying the number of Shares the Optionee desires to purchase together with provision for payment of the Exercise Price. Subject to such limitations as the Committee may impose (including prohibition of one more of the following payment methods), payment of the Exercise Price may be made by (a) check payable to the order of the Company, for an amount in United States dollars equal to the aggregate Exercise Price of such Shares, (b) by tendering to the Company Shares having an aggregate Fair Market Value (as of the trading date immediately preceding the date of exercise) equal to such Exercise Price, (c) by broker-assisted exercise, or (d) by a combination of such methods. The Company may require the Optionee to furnish or execute such other documents as the Company shall reasonably deem necessary (i) to evidence such exercise and (ii) to comply with or satisfy the requirements of the Securities Act of 1933, as amended, the Exchange Act, applicable state or non-U.S. securities laws or any other law.</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b w:val="1"/>
          <w:bCs w:val="1"/>
          <w:color w:val="auto"/>
        </w:rPr>
        <w:t>TERM AND EXPIRATION.</w:t>
      </w:r>
    </w:p>
    <w:p>
      <w:pPr>
        <w:spacing w:after="0" w:line="252" w:lineRule="exact"/>
        <w:rPr>
          <w:sz w:val="20"/>
          <w:szCs w:val="20"/>
          <w:color w:val="auto"/>
        </w:rPr>
      </w:pPr>
    </w:p>
    <w:p>
      <w:pPr>
        <w:ind w:left="660" w:firstLine="645"/>
        <w:spacing w:after="0" w:line="329" w:lineRule="auto"/>
        <w:tabs>
          <w:tab w:leader="none" w:pos="2156"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Basic Term. </w:t>
      </w:r>
      <w:r>
        <w:rPr>
          <w:rFonts w:ascii="Arial" w:cs="Arial" w:eastAsia="Arial" w:hAnsi="Arial"/>
          <w:sz w:val="18"/>
          <w:szCs w:val="18"/>
          <w:color w:val="auto"/>
        </w:rPr>
        <w:t>Subject to earlier termination pursuant to the terms hereof, the Option shall expire on the expiration date set forth</w:t>
      </w:r>
      <w:r>
        <w:rPr>
          <w:rFonts w:ascii="Arial" w:cs="Arial" w:eastAsia="Arial" w:hAnsi="Arial"/>
          <w:sz w:val="18"/>
          <w:szCs w:val="18"/>
          <w:b w:val="1"/>
          <w:bCs w:val="1"/>
          <w:color w:val="auto"/>
        </w:rPr>
        <w:t xml:space="preserve"> </w:t>
      </w:r>
      <w:r>
        <w:rPr>
          <w:rFonts w:ascii="Arial" w:cs="Arial" w:eastAsia="Arial" w:hAnsi="Arial"/>
          <w:sz w:val="18"/>
          <w:szCs w:val="18"/>
          <w:color w:val="auto"/>
        </w:rPr>
        <w:t>in the Notice of Stock Option Grant.</w:t>
      </w:r>
    </w:p>
    <w:p>
      <w:pPr>
        <w:spacing w:after="0" w:line="161" w:lineRule="exact"/>
        <w:rPr>
          <w:rFonts w:ascii="Arial" w:cs="Arial" w:eastAsia="Arial" w:hAnsi="Arial"/>
          <w:sz w:val="18"/>
          <w:szCs w:val="18"/>
          <w:color w:val="auto"/>
        </w:rPr>
      </w:pPr>
    </w:p>
    <w:p>
      <w:pPr>
        <w:jc w:val="both"/>
        <w:ind w:left="660" w:firstLine="645"/>
        <w:spacing w:after="0" w:line="313" w:lineRule="auto"/>
        <w:tabs>
          <w:tab w:leader="none" w:pos="2166"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 xml:space="preserve">Termination of Employment or Service. </w:t>
      </w:r>
      <w:r>
        <w:rPr>
          <w:rFonts w:ascii="Arial" w:cs="Arial" w:eastAsia="Arial" w:hAnsi="Arial"/>
          <w:sz w:val="18"/>
          <w:szCs w:val="18"/>
          <w:color w:val="auto"/>
        </w:rPr>
        <w:t>If the Optionee’s employment or service as a Director or Consultant, as the case may</w:t>
      </w:r>
      <w:r>
        <w:rPr>
          <w:rFonts w:ascii="Arial" w:cs="Arial" w:eastAsia="Arial" w:hAnsi="Arial"/>
          <w:sz w:val="18"/>
          <w:szCs w:val="18"/>
          <w:b w:val="1"/>
          <w:bCs w:val="1"/>
          <w:color w:val="auto"/>
        </w:rPr>
        <w:t xml:space="preserve"> </w:t>
      </w:r>
      <w:r>
        <w:rPr>
          <w:rFonts w:ascii="Arial" w:cs="Arial" w:eastAsia="Arial" w:hAnsi="Arial"/>
          <w:sz w:val="18"/>
          <w:szCs w:val="18"/>
          <w:color w:val="auto"/>
        </w:rPr>
        <w:t>be, is terminated, except as otherwise provided in the Optionee’s employment, director services or similar agreement in effect at the time of the termination, the Option shall expire on the earliest of the following occasions:</w:t>
      </w:r>
    </w:p>
    <w:p>
      <w:pPr>
        <w:spacing w:after="0" w:line="180" w:lineRule="exact"/>
        <w:rPr>
          <w:rFonts w:ascii="Arial" w:cs="Arial" w:eastAsia="Arial" w:hAnsi="Arial"/>
          <w:sz w:val="18"/>
          <w:szCs w:val="18"/>
          <w:color w:val="auto"/>
        </w:rPr>
      </w:pPr>
    </w:p>
    <w:p>
      <w:pPr>
        <w:ind w:left="2780" w:hanging="827"/>
        <w:spacing w:after="0"/>
        <w:tabs>
          <w:tab w:leader="none" w:pos="27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expiration date set forth in the Notice of Stock Option Grant;</w:t>
      </w:r>
    </w:p>
    <w:p>
      <w:pPr>
        <w:spacing w:after="0" w:line="265" w:lineRule="exact"/>
        <w:rPr>
          <w:rFonts w:ascii="Arial" w:cs="Arial" w:eastAsia="Arial" w:hAnsi="Arial"/>
          <w:sz w:val="18"/>
          <w:szCs w:val="18"/>
          <w:color w:val="auto"/>
        </w:rPr>
      </w:pPr>
    </w:p>
    <w:p>
      <w:pPr>
        <w:ind w:left="2820" w:hanging="867"/>
        <w:spacing w:after="0"/>
        <w:tabs>
          <w:tab w:leader="none" w:pos="2820" w:val="left"/>
        </w:tabs>
        <w:numPr>
          <w:ilvl w:val="1"/>
          <w:numId w:val="65"/>
        </w:numPr>
        <w:rPr>
          <w:rFonts w:ascii="Arial" w:cs="Arial" w:eastAsia="Arial" w:hAnsi="Arial"/>
          <w:sz w:val="16"/>
          <w:szCs w:val="16"/>
          <w:color w:val="auto"/>
        </w:rPr>
      </w:pPr>
      <w:r>
        <w:rPr>
          <w:rFonts w:ascii="Arial" w:cs="Arial" w:eastAsia="Arial" w:hAnsi="Arial"/>
          <w:sz w:val="16"/>
          <w:szCs w:val="16"/>
          <w:color w:val="auto"/>
        </w:rPr>
        <w:t>The date three months following the termination of the Optionee’s employment or service for any reason other than</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Cause, death, or Disability;</w:t>
      </w:r>
    </w:p>
    <w:p>
      <w:pPr>
        <w:spacing w:after="0" w:line="265" w:lineRule="exact"/>
        <w:rPr>
          <w:rFonts w:ascii="Arial" w:cs="Arial" w:eastAsia="Arial" w:hAnsi="Arial"/>
          <w:sz w:val="16"/>
          <w:szCs w:val="16"/>
          <w:color w:val="auto"/>
        </w:rPr>
      </w:pPr>
    </w:p>
    <w:p>
      <w:pPr>
        <w:ind w:left="2880" w:hanging="927"/>
        <w:spacing w:after="0"/>
        <w:tabs>
          <w:tab w:leader="none" w:pos="2880" w:val="left"/>
        </w:tabs>
        <w:numPr>
          <w:ilvl w:val="1"/>
          <w:numId w:val="65"/>
        </w:numPr>
        <w:rPr>
          <w:rFonts w:ascii="Arial" w:cs="Arial" w:eastAsia="Arial" w:hAnsi="Arial"/>
          <w:sz w:val="17"/>
          <w:szCs w:val="17"/>
          <w:color w:val="auto"/>
        </w:rPr>
      </w:pPr>
      <w:r>
        <w:rPr>
          <w:rFonts w:ascii="Arial" w:cs="Arial" w:eastAsia="Arial" w:hAnsi="Arial"/>
          <w:sz w:val="17"/>
          <w:szCs w:val="17"/>
          <w:color w:val="auto"/>
        </w:rPr>
        <w:t>The date one year following the termination of the Optionee’s employment or service due to death or Disability; or</w:t>
      </w:r>
    </w:p>
    <w:p>
      <w:pPr>
        <w:spacing w:after="0" w:line="277" w:lineRule="exact"/>
        <w:rPr>
          <w:rFonts w:ascii="Arial" w:cs="Arial" w:eastAsia="Arial" w:hAnsi="Arial"/>
          <w:sz w:val="17"/>
          <w:szCs w:val="17"/>
          <w:color w:val="auto"/>
        </w:rPr>
      </w:pPr>
    </w:p>
    <w:p>
      <w:pPr>
        <w:ind w:left="2860" w:hanging="907"/>
        <w:spacing w:after="0"/>
        <w:tabs>
          <w:tab w:leader="none" w:pos="286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date of termination of the Optionee’s employment or service for Cause.</w:t>
      </w:r>
    </w:p>
    <w:p>
      <w:pPr>
        <w:spacing w:after="0" w:line="23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Optionee may exercise all or part of this Option at any time before its expiration under the preceding sentence, but, subject to the following sentence, only to the extent that the Option had become vested before the Optionee’s employment or service terminated. When the Optionee’s employment or service terminates, this Option shall expire immediately with respect to the number of Shares for which the Option is not yet vested. If the Optionee dies after termination of employment or service, but before the expiration of the Option, all or part of this Option may be exercised (prior to expiration) by the personal representative of the Optionee or by any person who has acquired this Option directly from the Optionee by will, bequest or inheritance, but only to the extent that the Option was vested and exercisable upon termination of the Optionee’s employment or service.</w:t>
      </w:r>
    </w:p>
    <w:p>
      <w:pPr>
        <w:spacing w:after="0" w:line="201" w:lineRule="exact"/>
        <w:rPr>
          <w:sz w:val="20"/>
          <w:szCs w:val="20"/>
          <w:color w:val="auto"/>
        </w:rPr>
      </w:pPr>
    </w:p>
    <w:p>
      <w:pPr>
        <w:ind w:left="660" w:firstLine="645"/>
        <w:spacing w:after="0" w:line="329" w:lineRule="auto"/>
        <w:tabs>
          <w:tab w:leader="none" w:pos="2156" w:val="left"/>
        </w:tabs>
        <w:numPr>
          <w:ilvl w:val="0"/>
          <w:numId w:val="66"/>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 of “Cause</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 “Cause” shall have the meaning ascribed to such term in the Optionee’s employment, director</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or similar agreement with the Company or any Subsidiary. If the Optionee’s employment,</w:t>
      </w:r>
    </w:p>
    <w:p>
      <w:pPr>
        <w:sectPr>
          <w:pgSz w:w="11900" w:h="16838" w:orient="portrait"/>
          <w:cols w:equalWidth="0" w:num="1">
            <w:col w:w="11420"/>
          </w:cols>
          <w:pgMar w:left="240" w:top="580" w:right="239" w:bottom="1440" w:gutter="0" w:footer="0" w:header="0"/>
        </w:sectPr>
      </w:pPr>
    </w:p>
    <w:bookmarkStart w:id="138" w:name="page139"/>
    <w:bookmarkEnd w:id="138"/>
    <w:p>
      <w:pPr>
        <w:jc w:val="both"/>
        <w:ind w:left="320"/>
        <w:spacing w:after="0" w:line="304" w:lineRule="auto"/>
        <w:rPr>
          <w:sz w:val="20"/>
          <w:szCs w:val="20"/>
          <w:color w:val="auto"/>
        </w:rPr>
      </w:pPr>
      <w:r>
        <w:rPr>
          <w:rFonts w:ascii="Arial" w:cs="Arial" w:eastAsia="Arial" w:hAnsi="Arial"/>
          <w:sz w:val="18"/>
          <w:szCs w:val="18"/>
          <w:color w:val="auto"/>
        </w:rPr>
        <w:t>director services or similar agreement does not define the term “Cause,” or if the Optionee has not entered into an employment, director services or similar agreement with the Company or any Subsidiary, the term “Cause” shall mean (i) the willful engaging by the Optionee in misconduct that is demonstrably injurious to the Company or any Parent or Subsidiary (monetarily or otherwise), (ii) the Optionee’s conviction of, or pleading guilty or nolo contendere to, a felony involving moral turpitude, or (iii) the Optionee’s violation of any confidentiality, non-solicitation, or non-competition covenant to which the Optionee is subject.</w:t>
      </w:r>
    </w:p>
    <w:p>
      <w:pPr>
        <w:spacing w:after="0" w:line="184" w:lineRule="exact"/>
        <w:rPr>
          <w:sz w:val="20"/>
          <w:szCs w:val="20"/>
          <w:color w:val="auto"/>
        </w:rPr>
      </w:pPr>
    </w:p>
    <w:p>
      <w:pPr>
        <w:jc w:val="both"/>
        <w:ind w:left="320" w:firstLine="645"/>
        <w:spacing w:after="0" w:line="326" w:lineRule="auto"/>
        <w:tabs>
          <w:tab w:leader="none" w:pos="1826" w:val="left"/>
        </w:tabs>
        <w:numPr>
          <w:ilvl w:val="0"/>
          <w:numId w:val="67"/>
        </w:numPr>
        <w:rPr>
          <w:rFonts w:ascii="Arial" w:cs="Arial" w:eastAsia="Arial" w:hAnsi="Arial"/>
          <w:sz w:val="17"/>
          <w:szCs w:val="17"/>
          <w:color w:val="auto"/>
        </w:rPr>
      </w:pPr>
      <w:r>
        <w:rPr>
          <w:rFonts w:ascii="Arial" w:cs="Arial" w:eastAsia="Arial" w:hAnsi="Arial"/>
          <w:sz w:val="17"/>
          <w:szCs w:val="17"/>
          <w:b w:val="1"/>
          <w:bCs w:val="1"/>
          <w:u w:val="single" w:color="auto"/>
          <w:color w:val="auto"/>
        </w:rPr>
        <w:t>Definition of “Disability</w:t>
      </w:r>
      <w:r>
        <w:rPr>
          <w:rFonts w:ascii="Arial" w:cs="Arial" w:eastAsia="Arial" w:hAnsi="Arial"/>
          <w:sz w:val="17"/>
          <w:szCs w:val="17"/>
          <w:b w:val="1"/>
          <w:bCs w:val="1"/>
          <w:color w:val="auto"/>
        </w:rPr>
        <w:t xml:space="preserve">.” </w:t>
      </w:r>
      <w:r>
        <w:rPr>
          <w:rFonts w:ascii="Arial" w:cs="Arial" w:eastAsia="Arial" w:hAnsi="Arial"/>
          <w:sz w:val="17"/>
          <w:szCs w:val="17"/>
          <w:color w:val="auto"/>
        </w:rPr>
        <w:t>The term “Disability” shall have the meaning ascribed to such term in the Optionee’s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 services or similar agreement with the Company or any Subsidiary. If the Optionee’s employment, director services or similar agreement does not define the term “Disability,” or if the Optionee has not entered into an employment, director services or similar agreement with the Company or any Subsidiary, the term “Disability” shall mean the Optionee’s entitlement to long-term disability benefits pursuant to the long-term disability plan maintained by the Company or in which the Company’s employees participate.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b w:val="1"/>
          <w:bCs w:val="1"/>
          <w:color w:val="auto"/>
        </w:rPr>
        <w:t>TRANSFERABILITY OF OPTION.</w:t>
      </w:r>
    </w:p>
    <w:p>
      <w:pPr>
        <w:spacing w:after="0" w:line="252" w:lineRule="exact"/>
        <w:rPr>
          <w:sz w:val="20"/>
          <w:szCs w:val="20"/>
          <w:color w:val="auto"/>
        </w:rPr>
      </w:pPr>
    </w:p>
    <w:p>
      <w:pPr>
        <w:jc w:val="both"/>
        <w:ind w:left="320" w:right="20" w:firstLine="645"/>
        <w:spacing w:after="0" w:line="313" w:lineRule="auto"/>
        <w:tabs>
          <w:tab w:leader="none" w:pos="1816"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Generally. </w:t>
      </w:r>
      <w:r>
        <w:rPr>
          <w:rFonts w:ascii="Arial" w:cs="Arial" w:eastAsia="Arial" w:hAnsi="Arial"/>
          <w:sz w:val="18"/>
          <w:szCs w:val="18"/>
          <w:color w:val="auto"/>
        </w:rPr>
        <w:t>Except as provided in Section 4(b) herein, the Option shall not be transferable by the Optionee other than by will or</w:t>
      </w:r>
      <w:r>
        <w:rPr>
          <w:rFonts w:ascii="Arial" w:cs="Arial" w:eastAsia="Arial" w:hAnsi="Arial"/>
          <w:sz w:val="18"/>
          <w:szCs w:val="18"/>
          <w:b w:val="1"/>
          <w:bCs w:val="1"/>
          <w:color w:val="auto"/>
        </w:rPr>
        <w:t xml:space="preserve"> </w:t>
      </w:r>
      <w:r>
        <w:rPr>
          <w:rFonts w:ascii="Arial" w:cs="Arial" w:eastAsia="Arial" w:hAnsi="Arial"/>
          <w:sz w:val="18"/>
          <w:szCs w:val="18"/>
          <w:color w:val="auto"/>
        </w:rPr>
        <w:t>the laws of descent and distribution, and the Option shall be exercisable during the Optionee’s lifetime only by the Optionee or on his or her behalf by the Optionee's guardian or legal representative.</w:t>
      </w:r>
    </w:p>
    <w:p>
      <w:pPr>
        <w:spacing w:after="0" w:line="176" w:lineRule="exact"/>
        <w:rPr>
          <w:rFonts w:ascii="Arial" w:cs="Arial" w:eastAsia="Arial" w:hAnsi="Arial"/>
          <w:sz w:val="18"/>
          <w:szCs w:val="18"/>
          <w:color w:val="auto"/>
        </w:rPr>
      </w:pPr>
    </w:p>
    <w:p>
      <w:pPr>
        <w:jc w:val="both"/>
        <w:ind w:left="320" w:firstLine="645"/>
        <w:spacing w:after="0" w:line="313" w:lineRule="auto"/>
        <w:tabs>
          <w:tab w:leader="none" w:pos="1826"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Transfers to Family Members. </w:t>
      </w:r>
      <w:r>
        <w:rPr>
          <w:rFonts w:ascii="Arial" w:cs="Arial" w:eastAsia="Arial" w:hAnsi="Arial"/>
          <w:sz w:val="18"/>
          <w:szCs w:val="18"/>
          <w:color w:val="auto"/>
        </w:rPr>
        <w:t>Notwithstanding Section 4(a) herein, if the Option is a Nonqualified Stock Option,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Optionee may transfer the Option for no consideration to or for the benefit of a Family Member, subject to such limits as the Committee may establish, and the transferee shall remain subject to all the terms and conditions applicable to the Option.</w:t>
      </w:r>
    </w:p>
    <w:p>
      <w:pPr>
        <w:spacing w:after="0" w:line="176" w:lineRule="exact"/>
        <w:rPr>
          <w:rFonts w:ascii="Arial" w:cs="Arial" w:eastAsia="Arial" w:hAnsi="Arial"/>
          <w:sz w:val="18"/>
          <w:szCs w:val="18"/>
          <w:color w:val="auto"/>
        </w:rPr>
      </w:pPr>
    </w:p>
    <w:p>
      <w:pPr>
        <w:jc w:val="both"/>
        <w:ind w:left="320" w:firstLine="645"/>
        <w:spacing w:after="0" w:line="303" w:lineRule="auto"/>
        <w:tabs>
          <w:tab w:leader="none" w:pos="1816"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Definition of </w:t>
      </w:r>
      <w:r>
        <w:rPr>
          <w:rFonts w:ascii="Arial" w:cs="Arial" w:eastAsia="Arial" w:hAnsi="Arial"/>
          <w:sz w:val="18"/>
          <w:szCs w:val="18"/>
          <w:color w:val="auto"/>
        </w:rPr>
        <w:t>“</w:t>
      </w:r>
      <w:r>
        <w:rPr>
          <w:rFonts w:ascii="Arial" w:cs="Arial" w:eastAsia="Arial" w:hAnsi="Arial"/>
          <w:sz w:val="18"/>
          <w:szCs w:val="18"/>
          <w:b w:val="1"/>
          <w:bCs w:val="1"/>
          <w:color w:val="auto"/>
        </w:rPr>
        <w:t xml:space="preserve">Family Member.” </w:t>
      </w:r>
      <w:r>
        <w:rPr>
          <w:rFonts w:ascii="Arial" w:cs="Arial" w:eastAsia="Arial" w:hAnsi="Arial"/>
          <w:sz w:val="18"/>
          <w:szCs w:val="18"/>
          <w:color w:val="auto"/>
        </w:rPr>
        <w:t>For purposes of this Agreement, the term “Family Member” shall mean any child, stepchild,</w:t>
      </w:r>
      <w:r>
        <w:rPr>
          <w:rFonts w:ascii="Arial" w:cs="Arial" w:eastAsia="Arial" w:hAnsi="Arial"/>
          <w:sz w:val="18"/>
          <w:szCs w:val="18"/>
          <w:b w:val="1"/>
          <w:bCs w:val="1"/>
          <w:color w:val="auto"/>
        </w:rPr>
        <w:t xml:space="preserve"> </w:t>
      </w:r>
      <w:r>
        <w:rPr>
          <w:rFonts w:ascii="Arial" w:cs="Arial" w:eastAsia="Arial" w:hAnsi="Arial"/>
          <w:sz w:val="18"/>
          <w:szCs w:val="18"/>
          <w:color w:val="auto"/>
        </w:rPr>
        <w:t>grandchild, parent, stepparent, grandparent, spouse, former spouse, sibling, niece, nephew, mother-in-law, father-in-law, son-in-law, daughter-in-law, brother-in-law, or sister-in-law of the Optionee (including adoptive relationships), any person sharing the same household as the Optionee (other than a tenant or employee), a trust in which the above persons have more than fifty percent of the beneficial interests, a foundation in which the Optionee or the above persons control the management of assets, and any other entity in which the Optionee or the above persons own more than fifty percent of the voting interests.</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b w:val="1"/>
          <w:bCs w:val="1"/>
          <w:color w:val="auto"/>
        </w:rPr>
        <w:t>MISCELLANEOUS PROVISIONS.</w:t>
      </w:r>
    </w:p>
    <w:p>
      <w:pPr>
        <w:spacing w:after="0" w:line="252" w:lineRule="exact"/>
        <w:rPr>
          <w:sz w:val="20"/>
          <w:szCs w:val="20"/>
          <w:color w:val="auto"/>
        </w:rPr>
      </w:pPr>
    </w:p>
    <w:p>
      <w:pPr>
        <w:jc w:val="both"/>
        <w:ind w:left="320" w:firstLine="645"/>
        <w:spacing w:after="0" w:line="367" w:lineRule="auto"/>
        <w:tabs>
          <w:tab w:leader="none" w:pos="1816" w:val="left"/>
        </w:tabs>
        <w:numPr>
          <w:ilvl w:val="0"/>
          <w:numId w:val="69"/>
        </w:numPr>
        <w:rPr>
          <w:rFonts w:ascii="Arial" w:cs="Arial" w:eastAsia="Arial" w:hAnsi="Arial"/>
          <w:sz w:val="16"/>
          <w:szCs w:val="16"/>
          <w:color w:val="auto"/>
        </w:rPr>
      </w:pPr>
      <w:r>
        <w:rPr>
          <w:rFonts w:ascii="Arial" w:cs="Arial" w:eastAsia="Arial" w:hAnsi="Arial"/>
          <w:sz w:val="16"/>
          <w:szCs w:val="16"/>
          <w:b w:val="1"/>
          <w:bCs w:val="1"/>
          <w:u w:val="single" w:color="auto"/>
          <w:color w:val="auto"/>
        </w:rPr>
        <w:t>Acknowledgements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Optionee hereby acknowledges that he or she has read and understands the terms of the Plan and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and agrees to be bound by their respective terms and conditions. The Optionee acknowledges that there may be tax consequences upon the exercise or transfer of the Option and that the Optionee should consult an independent tax advisor prior to any exercise or transfer of the Option.</w:t>
      </w:r>
    </w:p>
    <w:p>
      <w:pPr>
        <w:spacing w:after="0" w:line="141" w:lineRule="exact"/>
        <w:rPr>
          <w:rFonts w:ascii="Arial" w:cs="Arial" w:eastAsia="Arial" w:hAnsi="Arial"/>
          <w:sz w:val="16"/>
          <w:szCs w:val="16"/>
          <w:color w:val="auto"/>
        </w:rPr>
      </w:pPr>
    </w:p>
    <w:p>
      <w:pPr>
        <w:jc w:val="both"/>
        <w:ind w:left="320" w:firstLine="645"/>
        <w:spacing w:after="0" w:line="321" w:lineRule="auto"/>
        <w:tabs>
          <w:tab w:leader="none" w:pos="1826" w:val="left"/>
        </w:tabs>
        <w:numPr>
          <w:ilvl w:val="0"/>
          <w:numId w:val="69"/>
        </w:numPr>
        <w:rPr>
          <w:rFonts w:ascii="Arial" w:cs="Arial" w:eastAsia="Arial" w:hAnsi="Arial"/>
          <w:sz w:val="17"/>
          <w:szCs w:val="17"/>
          <w:color w:val="auto"/>
        </w:rPr>
      </w:pPr>
      <w:r>
        <w:rPr>
          <w:rFonts w:ascii="Arial" w:cs="Arial" w:eastAsia="Arial" w:hAnsi="Arial"/>
          <w:sz w:val="17"/>
          <w:szCs w:val="17"/>
          <w:b w:val="1"/>
          <w:bCs w:val="1"/>
          <w:u w:val="single" w:color="auto"/>
          <w:color w:val="auto"/>
        </w:rPr>
        <w:t>Tax Withholding</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Article 20 of the Plan, the Committee shall have the power and the right to deduct or withhold,</w:t>
      </w:r>
      <w:r>
        <w:rPr>
          <w:rFonts w:ascii="Arial" w:cs="Arial" w:eastAsia="Arial" w:hAnsi="Arial"/>
          <w:sz w:val="17"/>
          <w:szCs w:val="17"/>
          <w:b w:val="1"/>
          <w:bCs w:val="1"/>
          <w:color w:val="auto"/>
        </w:rPr>
        <w:t xml:space="preserve"> </w:t>
      </w:r>
      <w:r>
        <w:rPr>
          <w:rFonts w:ascii="Arial" w:cs="Arial" w:eastAsia="Arial" w:hAnsi="Arial"/>
          <w:sz w:val="17"/>
          <w:szCs w:val="17"/>
          <w:color w:val="auto"/>
        </w:rPr>
        <w:t>or require the Optionee to remit to the Company, an amount sufficient to satisfy any federal, state and local taxes (including the Optionee’s FICA obligations) required by law to be withheld with respect to this Option. The Committee may condition the delivery of Shares upon the Optionee’s satisfaction of such withholding obligations. The Optionee may elect to satisfy all or part of such withholding requirement by tendering previously-owned Shares or by having the Company withhold Shares having a Fair Market Value equal to the minimum statutory withholding (based on minimum statutory withholding rates for federal, state and local tax purposes, as applicable, including the Optionee’s FICA taxes) that could be imposed on the transaction, and, to the extent the Committee so permits, amounts in excess of the minimum statutory withholding to the extent it would not result in additional accounting expense. Such election shall be irrevocable, made in writing and signed by the Optionee, and shall be subject to any restrictions or limitations that the Committee, in its sole discretion, deems appropriate.</w:t>
      </w:r>
    </w:p>
    <w:p>
      <w:pPr>
        <w:spacing w:after="0" w:line="172" w:lineRule="exact"/>
        <w:rPr>
          <w:rFonts w:ascii="Arial" w:cs="Arial" w:eastAsia="Arial" w:hAnsi="Arial"/>
          <w:sz w:val="17"/>
          <w:szCs w:val="17"/>
          <w:color w:val="auto"/>
        </w:rPr>
      </w:pPr>
    </w:p>
    <w:p>
      <w:pPr>
        <w:jc w:val="both"/>
        <w:ind w:left="320" w:firstLine="645"/>
        <w:spacing w:after="0" w:line="351" w:lineRule="auto"/>
        <w:tabs>
          <w:tab w:leader="none" w:pos="1816" w:val="left"/>
        </w:tabs>
        <w:numPr>
          <w:ilvl w:val="0"/>
          <w:numId w:val="69"/>
        </w:numPr>
        <w:rPr>
          <w:rFonts w:ascii="Arial" w:cs="Arial" w:eastAsia="Arial" w:hAnsi="Arial"/>
          <w:sz w:val="16"/>
          <w:szCs w:val="16"/>
          <w:color w:val="auto"/>
        </w:rPr>
      </w:pPr>
      <w:r>
        <w:rPr>
          <w:rFonts w:ascii="Arial" w:cs="Arial" w:eastAsia="Arial" w:hAnsi="Arial"/>
          <w:sz w:val="16"/>
          <w:szCs w:val="16"/>
          <w:b w:val="1"/>
          <w:bCs w:val="1"/>
          <w:u w:val="single" w:color="auto"/>
          <w:color w:val="auto"/>
        </w:rPr>
        <w:t>Holding Period</w:t>
      </w:r>
      <w:r>
        <w:rPr>
          <w:rFonts w:ascii="Arial" w:cs="Arial" w:eastAsia="Arial" w:hAnsi="Arial"/>
          <w:sz w:val="16"/>
          <w:szCs w:val="16"/>
          <w:b w:val="1"/>
          <w:bCs w:val="1"/>
          <w:color w:val="auto"/>
        </w:rPr>
        <w:t xml:space="preserve">. </w:t>
      </w:r>
      <w:r>
        <w:rPr>
          <w:rFonts w:ascii="Arial" w:cs="Arial" w:eastAsia="Arial" w:hAnsi="Arial"/>
          <w:sz w:val="16"/>
          <w:szCs w:val="16"/>
          <w:color w:val="auto"/>
        </w:rPr>
        <w:t>If and when (i) the Optionee is an Officer (as defined in Rule 16a-1(f) of the Exchange Act) or holds the title</w:t>
      </w:r>
      <w:r>
        <w:rPr>
          <w:rFonts w:ascii="Arial" w:cs="Arial" w:eastAsia="Arial" w:hAnsi="Arial"/>
          <w:sz w:val="16"/>
          <w:szCs w:val="16"/>
          <w:b w:val="1"/>
          <w:bCs w:val="1"/>
          <w:color w:val="auto"/>
        </w:rPr>
        <w:t xml:space="preserve"> </w:t>
      </w:r>
      <w:r>
        <w:rPr>
          <w:rFonts w:ascii="Arial" w:cs="Arial" w:eastAsia="Arial" w:hAnsi="Arial"/>
          <w:sz w:val="16"/>
          <w:szCs w:val="16"/>
          <w:color w:val="auto"/>
        </w:rPr>
        <w:t>of President - Eastern Operations, President - Western Operations, President - Agency Operations, or Chief Legal Officer, and (ii) Optionee does not hold Shares of FNF Group Common Stock with a value sufficient to satisfy the applicable stock ownership guidelines of the Company in place at that time, then Optionee must retain at least 50% of the Shares acquired by Optionee as a result of any exercise of this Option (excluding from the calculation any Shares withheld, sold, cancelled, or otherwise forfeited by Optionee for purposes of satisfying the exercise price and tax</w:t>
      </w:r>
    </w:p>
    <w:p>
      <w:pPr>
        <w:sectPr>
          <w:pgSz w:w="11900" w:h="16838" w:orient="portrait"/>
          <w:cols w:equalWidth="0" w:num="1">
            <w:col w:w="11080"/>
          </w:cols>
          <w:pgMar w:left="580" w:top="611" w:right="239" w:bottom="1440" w:gutter="0" w:footer="0" w:header="0"/>
        </w:sectPr>
      </w:pPr>
    </w:p>
    <w:bookmarkStart w:id="139" w:name="page140"/>
    <w:bookmarkEnd w:id="139"/>
    <w:p>
      <w:pPr>
        <w:jc w:val="both"/>
        <w:spacing w:after="0" w:line="322" w:lineRule="auto"/>
        <w:rPr>
          <w:sz w:val="20"/>
          <w:szCs w:val="20"/>
          <w:color w:val="auto"/>
        </w:rPr>
      </w:pPr>
      <w:r>
        <w:rPr>
          <w:rFonts w:ascii="Arial" w:cs="Arial" w:eastAsia="Arial" w:hAnsi="Arial"/>
          <w:sz w:val="17"/>
          <w:szCs w:val="17"/>
          <w:color w:val="auto"/>
        </w:rPr>
        <w:t>obligations in connection with the exercise of the Option) until such time as the value of the Shares of FNF Group Common Stock remaining in Grantee’s possession following any sale, assignment, pledge, exchange, gift or other transfer of the Shares acquired by Optionee as a result of the exercise of this Option shall be sufficient to meet any applicable stock ownership guidelines of the Company in place at that time. For the avoidance of doubt, at any time when Optionee holds, in the aggregate, Shares of FNF Group Common Stock with a value sufficient to satisfy the applicable stock ownership guidelines of the Company in place at that time, Optionee may enter into a transaction with respect to any Shares acquired by Optionee as a result of the exercise of the Option without regard to the holding period requirement contained in this Section 5(c) so long as Optionee shall continue to satisfy such stock ownership guidelines following such transaction.</w:t>
      </w:r>
    </w:p>
    <w:p>
      <w:pPr>
        <w:spacing w:after="0" w:line="172" w:lineRule="exact"/>
        <w:rPr>
          <w:sz w:val="20"/>
          <w:szCs w:val="20"/>
          <w:color w:val="auto"/>
        </w:rPr>
      </w:pPr>
    </w:p>
    <w:p>
      <w:pPr>
        <w:jc w:val="both"/>
        <w:ind w:firstLine="645"/>
        <w:spacing w:after="0" w:line="330" w:lineRule="auto"/>
        <w:tabs>
          <w:tab w:leader="none" w:pos="1506" w:val="left"/>
        </w:tabs>
        <w:numPr>
          <w:ilvl w:val="0"/>
          <w:numId w:val="70"/>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 Concerning Disqualifying Dispositions</w:t>
      </w:r>
      <w:r>
        <w:rPr>
          <w:rFonts w:ascii="Arial" w:cs="Arial" w:eastAsia="Arial" w:hAnsi="Arial"/>
          <w:sz w:val="17"/>
          <w:szCs w:val="17"/>
          <w:b w:val="1"/>
          <w:bCs w:val="1"/>
          <w:color w:val="auto"/>
        </w:rPr>
        <w:t xml:space="preserve">. </w:t>
      </w:r>
      <w:r>
        <w:rPr>
          <w:rFonts w:ascii="Arial" w:cs="Arial" w:eastAsia="Arial" w:hAnsi="Arial"/>
          <w:sz w:val="17"/>
          <w:szCs w:val="17"/>
          <w:color w:val="auto"/>
        </w:rPr>
        <w:t>If the Option is an Incentive Stock Option, the Optionee shall notify the</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of any disposition of Shares issued pursuant to the exercise of the Option if the disposition constitutes a “disqualifying disposition” within the meaning of Sections 421 and 422 of the Code (or any successor provision of the Code then in effect relating to disqualifying dispositions). Such notice shall be provided by the Optionee to the Committee in writing within 10 days of any such disqualifying disposition.</w:t>
      </w:r>
    </w:p>
    <w:p>
      <w:pPr>
        <w:spacing w:after="0" w:line="167" w:lineRule="exact"/>
        <w:rPr>
          <w:rFonts w:ascii="Arial" w:cs="Arial" w:eastAsia="Arial" w:hAnsi="Arial"/>
          <w:sz w:val="17"/>
          <w:szCs w:val="17"/>
          <w:color w:val="auto"/>
        </w:rPr>
      </w:pPr>
    </w:p>
    <w:p>
      <w:pPr>
        <w:jc w:val="both"/>
        <w:ind w:firstLine="645"/>
        <w:spacing w:after="0" w:line="313" w:lineRule="auto"/>
        <w:tabs>
          <w:tab w:leader="none" w:pos="1496" w:val="left"/>
        </w:tabs>
        <w:numPr>
          <w:ilvl w:val="0"/>
          <w:numId w:val="70"/>
        </w:numPr>
        <w:rPr>
          <w:rFonts w:ascii="Arial" w:cs="Arial" w:eastAsia="Arial" w:hAnsi="Arial"/>
          <w:sz w:val="18"/>
          <w:szCs w:val="18"/>
          <w:color w:val="auto"/>
        </w:rPr>
      </w:pPr>
      <w:r>
        <w:rPr>
          <w:rFonts w:ascii="Arial" w:cs="Arial" w:eastAsia="Arial" w:hAnsi="Arial"/>
          <w:sz w:val="18"/>
          <w:szCs w:val="18"/>
          <w:b w:val="1"/>
          <w:bCs w:val="1"/>
          <w:u w:val="single" w:color="auto"/>
          <w:color w:val="auto"/>
        </w:rPr>
        <w:t>Rights as a Stockholder</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the Optionee nor the Optionee’s transferee or representative shall have any rights as a</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 with respect to any Shares subject to this Option until the Option has been exercised and Share certificates have been issued to the Optionee, transferee or representative, as the case may be.</w:t>
      </w:r>
    </w:p>
    <w:p>
      <w:pPr>
        <w:spacing w:after="0" w:line="176" w:lineRule="exact"/>
        <w:rPr>
          <w:rFonts w:ascii="Arial" w:cs="Arial" w:eastAsia="Arial" w:hAnsi="Arial"/>
          <w:sz w:val="18"/>
          <w:szCs w:val="18"/>
          <w:color w:val="auto"/>
        </w:rPr>
      </w:pPr>
    </w:p>
    <w:p>
      <w:pPr>
        <w:jc w:val="both"/>
        <w:ind w:right="20" w:firstLine="645"/>
        <w:spacing w:after="0" w:line="313" w:lineRule="auto"/>
        <w:tabs>
          <w:tab w:leader="none" w:pos="1476" w:val="left"/>
        </w:tabs>
        <w:numPr>
          <w:ilvl w:val="0"/>
          <w:numId w:val="70"/>
        </w:numPr>
        <w:rPr>
          <w:rFonts w:ascii="Arial" w:cs="Arial" w:eastAsia="Arial" w:hAnsi="Arial"/>
          <w:sz w:val="18"/>
          <w:szCs w:val="18"/>
          <w:color w:val="auto"/>
        </w:rPr>
      </w:pPr>
      <w:r>
        <w:rPr>
          <w:rFonts w:ascii="Arial" w:cs="Arial" w:eastAsia="Arial" w:hAnsi="Arial"/>
          <w:sz w:val="18"/>
          <w:szCs w:val="18"/>
          <w:b w:val="1"/>
          <w:bCs w:val="1"/>
          <w:u w:val="single" w:color="auto"/>
          <w:color w:val="auto"/>
        </w:rPr>
        <w:t>Ratification of Actions</w:t>
      </w:r>
      <w:r>
        <w:rPr>
          <w:rFonts w:ascii="Arial" w:cs="Arial" w:eastAsia="Arial" w:hAnsi="Arial"/>
          <w:sz w:val="18"/>
          <w:szCs w:val="18"/>
          <w:b w:val="1"/>
          <w:bCs w:val="1"/>
          <w:color w:val="auto"/>
        </w:rPr>
        <w:t xml:space="preserve">. </w:t>
      </w:r>
      <w:r>
        <w:rPr>
          <w:rFonts w:ascii="Arial" w:cs="Arial" w:eastAsia="Arial" w:hAnsi="Arial"/>
          <w:sz w:val="18"/>
          <w:szCs w:val="18"/>
          <w:color w:val="auto"/>
        </w:rPr>
        <w:t>By accepting this Agreement, the Optionee and each person claiming under or through the Optionee</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conclusively deemed to have indicated the Optionee’s acceptance and ratification of, and consent to, any action taken under the Plan or this Agreement and Notice of Stock Option Grant by the Company, the Board, or the Committee.</w:t>
      </w:r>
    </w:p>
    <w:p>
      <w:pPr>
        <w:spacing w:after="0" w:line="176" w:lineRule="exact"/>
        <w:rPr>
          <w:rFonts w:ascii="Arial" w:cs="Arial" w:eastAsia="Arial" w:hAnsi="Arial"/>
          <w:sz w:val="18"/>
          <w:szCs w:val="18"/>
          <w:color w:val="auto"/>
        </w:rPr>
      </w:pPr>
    </w:p>
    <w:p>
      <w:pPr>
        <w:jc w:val="both"/>
        <w:ind w:firstLine="645"/>
        <w:spacing w:after="0" w:line="308" w:lineRule="auto"/>
        <w:tabs>
          <w:tab w:leader="none" w:pos="1506" w:val="left"/>
        </w:tabs>
        <w:numPr>
          <w:ilvl w:val="0"/>
          <w:numId w:val="70"/>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 required by the terms of this Agreement shall be given in writing and shall be deemed effective upon</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 delivery or upon deposit with the United States Postal Service, by registered or certified mail, with postage and fees prepaid. Notice shall be addressed to the Company at its principal executive office and to the Optionee at the address that he or she most recently provided in writing to the Company.</w:t>
      </w:r>
    </w:p>
    <w:p>
      <w:pPr>
        <w:spacing w:after="0" w:line="179" w:lineRule="exact"/>
        <w:rPr>
          <w:rFonts w:ascii="Arial" w:cs="Arial" w:eastAsia="Arial" w:hAnsi="Arial"/>
          <w:sz w:val="18"/>
          <w:szCs w:val="18"/>
          <w:color w:val="auto"/>
        </w:rPr>
      </w:pPr>
    </w:p>
    <w:p>
      <w:pPr>
        <w:jc w:val="both"/>
        <w:ind w:firstLine="645"/>
        <w:spacing w:after="0" w:line="338" w:lineRule="auto"/>
        <w:tabs>
          <w:tab w:leader="none" w:pos="1506" w:val="left"/>
        </w:tabs>
        <w:numPr>
          <w:ilvl w:val="0"/>
          <w:numId w:val="70"/>
        </w:numPr>
        <w:rPr>
          <w:rFonts w:ascii="Arial" w:cs="Arial" w:eastAsia="Arial" w:hAnsi="Arial"/>
          <w:sz w:val="17"/>
          <w:szCs w:val="17"/>
          <w:color w:val="auto"/>
        </w:rPr>
      </w:pPr>
      <w:r>
        <w:rPr>
          <w:rFonts w:ascii="Arial" w:cs="Arial" w:eastAsia="Arial" w:hAnsi="Arial"/>
          <w:sz w:val="17"/>
          <w:szCs w:val="17"/>
          <w:b w:val="1"/>
          <w:bCs w:val="1"/>
          <w:u w:val="single" w:color="auto"/>
          <w:color w:val="auto"/>
        </w:rPr>
        <w:t>Choice of Law</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and the Notice of Stock Option Grant shall be governed by, and construed in accordance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laws of Florida, without regard to any conflicts of law or choice of law rule or principle that might otherwise cause the Plan, this Agreement or the Notice of Stock Option Grant to be governed by or construed in accordance with the substantive law of another jurisdiction.</w:t>
      </w:r>
    </w:p>
    <w:p>
      <w:pPr>
        <w:spacing w:after="0" w:line="160" w:lineRule="exact"/>
        <w:rPr>
          <w:rFonts w:ascii="Arial" w:cs="Arial" w:eastAsia="Arial" w:hAnsi="Arial"/>
          <w:sz w:val="17"/>
          <w:szCs w:val="17"/>
          <w:color w:val="auto"/>
        </w:rPr>
      </w:pPr>
    </w:p>
    <w:p>
      <w:pPr>
        <w:jc w:val="both"/>
        <w:ind w:firstLine="645"/>
        <w:spacing w:after="0" w:line="303" w:lineRule="auto"/>
        <w:tabs>
          <w:tab w:leader="none" w:pos="1466" w:val="left"/>
        </w:tabs>
        <w:numPr>
          <w:ilvl w:val="0"/>
          <w:numId w:val="70"/>
        </w:numPr>
        <w:rPr>
          <w:rFonts w:ascii="Arial" w:cs="Arial" w:eastAsia="Arial" w:hAnsi="Arial"/>
          <w:sz w:val="18"/>
          <w:szCs w:val="18"/>
          <w:color w:val="auto"/>
        </w:rPr>
      </w:pPr>
      <w:r>
        <w:rPr>
          <w:rFonts w:ascii="Arial" w:cs="Arial" w:eastAsia="Arial" w:hAnsi="Arial"/>
          <w:sz w:val="18"/>
          <w:szCs w:val="18"/>
          <w:b w:val="1"/>
          <w:bCs w:val="1"/>
          <w:u w:val="single" w:color="auto"/>
          <w:color w:val="auto"/>
        </w:rPr>
        <w:t>Arbitration</w:t>
      </w:r>
      <w:r>
        <w:rPr>
          <w:rFonts w:ascii="Arial" w:cs="Arial" w:eastAsia="Arial" w:hAnsi="Arial"/>
          <w:sz w:val="18"/>
          <w:szCs w:val="18"/>
          <w:b w:val="1"/>
          <w:bCs w:val="1"/>
          <w:color w:val="auto"/>
        </w:rPr>
        <w:t xml:space="preserve">. </w:t>
      </w:r>
      <w:r>
        <w:rPr>
          <w:rFonts w:ascii="Arial" w:cs="Arial" w:eastAsia="Arial" w:hAnsi="Arial"/>
          <w:sz w:val="18"/>
          <w:szCs w:val="18"/>
          <w:color w:val="auto"/>
        </w:rPr>
        <w:t>Subject to Article 3 of the Plan, any dispute or claim arising out of or relating to the Plan, this Agreement or the</w:t>
      </w:r>
      <w:r>
        <w:rPr>
          <w:rFonts w:ascii="Arial" w:cs="Arial" w:eastAsia="Arial" w:hAnsi="Arial"/>
          <w:sz w:val="18"/>
          <w:szCs w:val="18"/>
          <w:b w:val="1"/>
          <w:bCs w:val="1"/>
          <w:color w:val="auto"/>
        </w:rPr>
        <w:t xml:space="preserve"> </w:t>
      </w:r>
      <w:r>
        <w:rPr>
          <w:rFonts w:ascii="Arial" w:cs="Arial" w:eastAsia="Arial" w:hAnsi="Arial"/>
          <w:sz w:val="18"/>
          <w:szCs w:val="18"/>
          <w:color w:val="auto"/>
        </w:rPr>
        <w:t>Notice of Stock Option Grant shall be settled by binding arbitration before a single arbitrator in Jacksonville, Florida and in accordance with the Commercial Arbitration Rules of the American Arbitration Association. The arbitrator shall decide any issues submitted in accordance with the provisions and commercial purposes of the Plan, this Agreement and the Notice of Stock Option Grant, provided that all substantive questions of law shall be determined in accordance with the state and Federal laws applicable in Florida, without regard to internal principles relating to conflict of laws.</w:t>
      </w:r>
    </w:p>
    <w:p>
      <w:pPr>
        <w:spacing w:after="0" w:line="187" w:lineRule="exact"/>
        <w:rPr>
          <w:rFonts w:ascii="Arial" w:cs="Arial" w:eastAsia="Arial" w:hAnsi="Arial"/>
          <w:sz w:val="18"/>
          <w:szCs w:val="18"/>
          <w:color w:val="auto"/>
        </w:rPr>
      </w:pPr>
    </w:p>
    <w:p>
      <w:pPr>
        <w:ind w:firstLine="645"/>
        <w:spacing w:after="0" w:line="400" w:lineRule="auto"/>
        <w:tabs>
          <w:tab w:leader="none" w:pos="1466" w:val="left"/>
        </w:tabs>
        <w:numPr>
          <w:ilvl w:val="0"/>
          <w:numId w:val="70"/>
        </w:numPr>
        <w:rPr>
          <w:rFonts w:ascii="Arial" w:cs="Arial" w:eastAsia="Arial" w:hAnsi="Arial"/>
          <w:sz w:val="16"/>
          <w:szCs w:val="16"/>
          <w:color w:val="auto"/>
        </w:rPr>
      </w:pPr>
      <w:r>
        <w:rPr>
          <w:rFonts w:ascii="Arial" w:cs="Arial" w:eastAsia="Arial" w:hAnsi="Arial"/>
          <w:sz w:val="16"/>
          <w:szCs w:val="16"/>
          <w:b w:val="1"/>
          <w:bCs w:val="1"/>
          <w:u w:val="single" w:color="auto"/>
          <w:color w:val="auto"/>
        </w:rPr>
        <w:t>Modification or Amendment</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may only be modified or amended by written agreement executed by the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hereto; provided, however, that the adjustments permitted pursuant to Section 4.3 of the Plan may be made without such written agreement.</w:t>
      </w:r>
    </w:p>
    <w:p>
      <w:pPr>
        <w:spacing w:after="0" w:line="115" w:lineRule="exact"/>
        <w:rPr>
          <w:rFonts w:ascii="Arial" w:cs="Arial" w:eastAsia="Arial" w:hAnsi="Arial"/>
          <w:sz w:val="16"/>
          <w:szCs w:val="16"/>
          <w:color w:val="auto"/>
        </w:rPr>
      </w:pPr>
    </w:p>
    <w:p>
      <w:pPr>
        <w:jc w:val="both"/>
        <w:ind w:firstLine="645"/>
        <w:spacing w:after="0" w:line="313" w:lineRule="auto"/>
        <w:tabs>
          <w:tab w:leader="none" w:pos="1506" w:val="left"/>
        </w:tabs>
        <w:numPr>
          <w:ilvl w:val="0"/>
          <w:numId w:val="70"/>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any provision of this Agreement shall be held illegal or invalid for any reason, the illegality or</w:t>
      </w:r>
      <w:r>
        <w:rPr>
          <w:rFonts w:ascii="Arial" w:cs="Arial" w:eastAsia="Arial" w:hAnsi="Arial"/>
          <w:sz w:val="18"/>
          <w:szCs w:val="18"/>
          <w:b w:val="1"/>
          <w:bCs w:val="1"/>
          <w:color w:val="auto"/>
        </w:rPr>
        <w:t xml:space="preserve"> </w:t>
      </w:r>
      <w:r>
        <w:rPr>
          <w:rFonts w:ascii="Arial" w:cs="Arial" w:eastAsia="Arial" w:hAnsi="Arial"/>
          <w:sz w:val="18"/>
          <w:szCs w:val="18"/>
          <w:color w:val="auto"/>
        </w:rPr>
        <w:t>invalidity shall not affect the remaining provisions of this Agreement, and this Agreement shall be construed and enforced as if such illegal or invalid provision had not been included.</w:t>
      </w:r>
    </w:p>
    <w:p>
      <w:pPr>
        <w:spacing w:after="0" w:line="176" w:lineRule="exact"/>
        <w:rPr>
          <w:rFonts w:ascii="Arial" w:cs="Arial" w:eastAsia="Arial" w:hAnsi="Arial"/>
          <w:sz w:val="18"/>
          <w:szCs w:val="18"/>
          <w:color w:val="auto"/>
        </w:rPr>
      </w:pPr>
    </w:p>
    <w:p>
      <w:pPr>
        <w:ind w:right="20" w:firstLine="645"/>
        <w:spacing w:after="0" w:line="329" w:lineRule="auto"/>
        <w:tabs>
          <w:tab w:leader="none" w:pos="1466" w:val="left"/>
        </w:tabs>
        <w:numPr>
          <w:ilvl w:val="0"/>
          <w:numId w:val="70"/>
        </w:numPr>
        <w:rPr>
          <w:rFonts w:ascii="Arial" w:cs="Arial" w:eastAsia="Arial" w:hAnsi="Arial"/>
          <w:sz w:val="18"/>
          <w:szCs w:val="18"/>
          <w:color w:val="auto"/>
        </w:rPr>
      </w:pPr>
      <w:r>
        <w:rPr>
          <w:rFonts w:ascii="Arial" w:cs="Arial" w:eastAsia="Arial" w:hAnsi="Arial"/>
          <w:sz w:val="18"/>
          <w:szCs w:val="18"/>
          <w:b w:val="1"/>
          <w:bCs w:val="1"/>
          <w:u w:val="single" w:color="auto"/>
          <w:color w:val="auto"/>
        </w:rPr>
        <w:t>References to Plan</w:t>
      </w:r>
      <w:r>
        <w:rPr>
          <w:rFonts w:ascii="Arial" w:cs="Arial" w:eastAsia="Arial" w:hAnsi="Arial"/>
          <w:sz w:val="18"/>
          <w:szCs w:val="18"/>
          <w:b w:val="1"/>
          <w:bCs w:val="1"/>
          <w:color w:val="auto"/>
        </w:rPr>
        <w:t xml:space="preserve">. </w:t>
      </w:r>
      <w:r>
        <w:rPr>
          <w:rFonts w:ascii="Arial" w:cs="Arial" w:eastAsia="Arial" w:hAnsi="Arial"/>
          <w:sz w:val="18"/>
          <w:szCs w:val="18"/>
          <w:color w:val="auto"/>
        </w:rPr>
        <w:t>All references to the Plan (or to a Section or Article of the Plan) shall be deemed references to the Plan (or</w:t>
      </w:r>
      <w:r>
        <w:rPr>
          <w:rFonts w:ascii="Arial" w:cs="Arial" w:eastAsia="Arial" w:hAnsi="Arial"/>
          <w:sz w:val="18"/>
          <w:szCs w:val="18"/>
          <w:b w:val="1"/>
          <w:bCs w:val="1"/>
          <w:color w:val="auto"/>
        </w:rPr>
        <w:t xml:space="preserve"> </w:t>
      </w:r>
      <w:r>
        <w:rPr>
          <w:rFonts w:ascii="Arial" w:cs="Arial" w:eastAsia="Arial" w:hAnsi="Arial"/>
          <w:sz w:val="18"/>
          <w:szCs w:val="18"/>
          <w:color w:val="auto"/>
        </w:rPr>
        <w:t>the Section or Article) as may be amended from time to time.</w:t>
      </w:r>
    </w:p>
    <w:p>
      <w:pPr>
        <w:spacing w:after="0" w:line="161" w:lineRule="exact"/>
        <w:rPr>
          <w:rFonts w:ascii="Arial" w:cs="Arial" w:eastAsia="Arial" w:hAnsi="Arial"/>
          <w:sz w:val="18"/>
          <w:szCs w:val="18"/>
          <w:color w:val="auto"/>
        </w:rPr>
      </w:pPr>
    </w:p>
    <w:p>
      <w:pPr>
        <w:jc w:val="both"/>
        <w:ind w:firstLine="645"/>
        <w:spacing w:after="0" w:line="338" w:lineRule="auto"/>
        <w:tabs>
          <w:tab w:leader="none" w:pos="1556" w:val="left"/>
        </w:tabs>
        <w:numPr>
          <w:ilvl w:val="0"/>
          <w:numId w:val="70"/>
        </w:numPr>
        <w:rPr>
          <w:rFonts w:ascii="Arial" w:cs="Arial" w:eastAsia="Arial" w:hAnsi="Arial"/>
          <w:sz w:val="17"/>
          <w:szCs w:val="17"/>
          <w:color w:val="auto"/>
        </w:rPr>
      </w:pPr>
      <w:r>
        <w:rPr>
          <w:rFonts w:ascii="Arial" w:cs="Arial" w:eastAsia="Arial" w:hAnsi="Arial"/>
          <w:sz w:val="17"/>
          <w:szCs w:val="17"/>
          <w:b w:val="1"/>
          <w:bCs w:val="1"/>
          <w:u w:val="single" w:color="auto"/>
          <w:color w:val="auto"/>
        </w:rPr>
        <w:t>Section 409A Compliance</w:t>
      </w:r>
      <w:r>
        <w:rPr>
          <w:rFonts w:ascii="Arial" w:cs="Arial" w:eastAsia="Arial" w:hAnsi="Arial"/>
          <w:sz w:val="17"/>
          <w:szCs w:val="17"/>
          <w:b w:val="1"/>
          <w:bCs w:val="1"/>
          <w:color w:val="auto"/>
        </w:rPr>
        <w:t xml:space="preserve">. </w:t>
      </w:r>
      <w:r>
        <w:rPr>
          <w:rFonts w:ascii="Arial" w:cs="Arial" w:eastAsia="Arial" w:hAnsi="Arial"/>
          <w:sz w:val="17"/>
          <w:szCs w:val="17"/>
          <w:color w:val="auto"/>
        </w:rPr>
        <w:t>To the extent applicable, it is intended that the Plan and this Agreement comply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requirements of Code Section 409A and any related regulations or other guidance promulgated with respect to such Section by the U.S. Department of the Treasury or the Internal Revenue Service and the Plan and the Award Agreement shall be interpreted accordingly.</w:t>
      </w:r>
    </w:p>
    <w:p>
      <w:pPr>
        <w:sectPr>
          <w:pgSz w:w="11900" w:h="16838" w:orient="portrait"/>
          <w:cols w:equalWidth="0" w:num="1">
            <w:col w:w="10760"/>
          </w:cols>
          <w:pgMar w:left="900" w:top="611" w:right="2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20"/>
          <w:szCs w:val="20"/>
          <w:b w:val="1"/>
          <w:bCs w:val="1"/>
          <w:color w:val="auto"/>
        </w:rPr>
        <w:t>EXHIBIT A</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Vesting and Restrictions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grant is subject to both a Performance Restriction and a Time-Based Restriction, as described below (collectively, the “Period of Restriction”).</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Restriction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order for the Restricted Stock to vest, the Compensation Committee of the Board of Directors of the Company (the “Committee”) must determine that the Company has achieved 8.5% or greater Title Operating Margin (as defined below) in at least two calendar quarters of any of the next five calendar quarters starting October 1, 2014 (the “Performance Restriction”). The five calendar quarters starting October 1, 2014 and ending December 31, 2015 are referred to as the “Measurement Period.” “Title Operating Margin” shall mean the Title Pre-Tax Margin as used for the annual bonus plan. Calculation of Title Operating Margin will exclude claim loss reserve adjustments (positive or negative) for prior period loss development, extraordinary events or accounting adjustments, acquisitions, divestitures, major restructuring charges, and non-budgeted discontinued operations. The Committee will evaluate whether the Title Operating Margin has been achieved following the completion of each calendar quarter during the Measurement Period.</w:t>
      </w:r>
    </w:p>
    <w:p>
      <w:pPr>
        <w:spacing w:after="0" w:line="163" w:lineRule="exact"/>
        <w:rPr>
          <w:sz w:val="20"/>
          <w:szCs w:val="20"/>
          <w:color w:val="auto"/>
        </w:rPr>
      </w:pPr>
    </w:p>
    <w:tbl>
      <w:tblPr>
        <w:tblLayout w:type="fixed"/>
        <w:tblInd w:w="23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6560" w:type="dxa"/>
            <w:vAlign w:val="bottom"/>
            <w:gridSpan w:val="2"/>
          </w:tcPr>
          <w:p>
            <w:pPr>
              <w:jc w:val="right"/>
              <w:ind w:right="4501"/>
              <w:spacing w:after="0"/>
              <w:rPr>
                <w:sz w:val="20"/>
                <w:szCs w:val="20"/>
                <w:color w:val="auto"/>
              </w:rPr>
            </w:pPr>
            <w:r>
              <w:rPr>
                <w:rFonts w:ascii="Arial" w:cs="Arial" w:eastAsia="Arial" w:hAnsi="Arial"/>
                <w:sz w:val="18"/>
                <w:szCs w:val="18"/>
                <w:b w:val="1"/>
                <w:bCs w:val="1"/>
                <w:color w:val="auto"/>
                <w:w w:val="91"/>
              </w:rPr>
              <w:t>Time-Based Restrictions</w:t>
            </w:r>
          </w:p>
        </w:tc>
      </w:tr>
      <w:tr>
        <w:trPr>
          <w:trHeight w:val="351"/>
        </w:trPr>
        <w:tc>
          <w:tcPr>
            <w:tcW w:w="44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r>
        <w:trPr>
          <w:trHeight w:val="254"/>
        </w:trPr>
        <w:tc>
          <w:tcPr>
            <w:tcW w:w="4480" w:type="dxa"/>
            <w:vAlign w:val="bottom"/>
            <w:tcBorders>
              <w:left w:val="single" w:sz="8" w:color="auto"/>
            </w:tcBorders>
          </w:tcPr>
          <w:p>
            <w:pPr>
              <w:ind w:left="2160"/>
              <w:spacing w:after="0"/>
              <w:rPr>
                <w:sz w:val="20"/>
                <w:szCs w:val="20"/>
                <w:color w:val="auto"/>
              </w:rPr>
            </w:pPr>
            <w:r>
              <w:rPr>
                <w:rFonts w:ascii="Arial" w:cs="Arial" w:eastAsia="Arial" w:hAnsi="Arial"/>
                <w:sz w:val="20"/>
                <w:szCs w:val="20"/>
                <w:b w:val="1"/>
                <w:bCs w:val="1"/>
                <w:color w:val="auto"/>
              </w:rPr>
              <w:t>Anniversary Date</w:t>
            </w:r>
          </w:p>
        </w:tc>
        <w:tc>
          <w:tcPr>
            <w:tcW w:w="1380" w:type="dxa"/>
            <w:vAlign w:val="bottom"/>
            <w:tcBorders>
              <w:right w:val="single" w:sz="8" w:color="auto"/>
            </w:tcBorders>
          </w:tcPr>
          <w:p>
            <w:pPr>
              <w:spacing w:after="0"/>
              <w:rPr>
                <w:sz w:val="22"/>
                <w:szCs w:val="22"/>
                <w:color w:val="auto"/>
              </w:rPr>
            </w:pPr>
          </w:p>
        </w:tc>
        <w:tc>
          <w:tcPr>
            <w:tcW w:w="5180" w:type="dxa"/>
            <w:vAlign w:val="bottom"/>
            <w:tcBorders>
              <w:right w:val="single" w:sz="8" w:color="auto"/>
            </w:tcBorders>
          </w:tcPr>
          <w:p>
            <w:pPr>
              <w:jc w:val="right"/>
              <w:ind w:right="1581"/>
              <w:spacing w:after="0"/>
              <w:rPr>
                <w:sz w:val="20"/>
                <w:szCs w:val="20"/>
                <w:color w:val="auto"/>
              </w:rPr>
            </w:pPr>
            <w:r>
              <w:rPr>
                <w:rFonts w:ascii="Arial" w:cs="Arial" w:eastAsia="Arial" w:hAnsi="Arial"/>
                <w:sz w:val="20"/>
                <w:szCs w:val="20"/>
                <w:b w:val="1"/>
                <w:bCs w:val="1"/>
                <w:color w:val="auto"/>
              </w:rPr>
              <w:t>% of Restricted Stock</w:t>
            </w:r>
          </w:p>
        </w:tc>
      </w:tr>
      <w:tr>
        <w:trPr>
          <w:trHeight w:val="23"/>
        </w:trPr>
        <w:tc>
          <w:tcPr>
            <w:tcW w:w="4480" w:type="dxa"/>
            <w:vAlign w:val="bottom"/>
            <w:tcBorders>
              <w:left w:val="single" w:sz="8" w:color="auto"/>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5180" w:type="dxa"/>
            <w:vAlign w:val="bottom"/>
            <w:tcBorders>
              <w:bottom w:val="single" w:sz="8" w:color="auto"/>
              <w:right w:val="single" w:sz="8" w:color="auto"/>
            </w:tcBorders>
          </w:tcPr>
          <w:p>
            <w:pPr>
              <w:spacing w:after="0"/>
              <w:rPr>
                <w:sz w:val="2"/>
                <w:szCs w:val="2"/>
                <w:color w:val="auto"/>
              </w:rPr>
            </w:pPr>
          </w:p>
        </w:tc>
      </w:tr>
      <w:tr>
        <w:trPr>
          <w:trHeight w:val="277"/>
        </w:trPr>
        <w:tc>
          <w:tcPr>
            <w:tcW w:w="4480" w:type="dxa"/>
            <w:vAlign w:val="bottom"/>
            <w:tcBorders>
              <w:left w:val="single" w:sz="8" w:color="auto"/>
              <w:bottom w:val="single" w:sz="8" w:color="auto"/>
            </w:tcBorders>
          </w:tcPr>
          <w:p>
            <w:pPr>
              <w:ind w:left="20"/>
              <w:spacing w:after="0" w:line="277" w:lineRule="exact"/>
              <w:rPr>
                <w:sz w:val="20"/>
                <w:szCs w:val="20"/>
                <w:color w:val="auto"/>
              </w:rPr>
            </w:pPr>
            <w:r>
              <w:rPr>
                <w:rFonts w:ascii="Arial" w:cs="Arial" w:eastAsia="Arial" w:hAnsi="Arial"/>
                <w:sz w:val="20"/>
                <w:szCs w:val="20"/>
                <w:color w:val="auto"/>
                <w:w w:val="97"/>
              </w:rPr>
              <w:t>First (1</w:t>
            </w:r>
            <w:r>
              <w:rPr>
                <w:rFonts w:ascii="Arial" w:cs="Arial" w:eastAsia="Arial" w:hAnsi="Arial"/>
                <w:sz w:val="25"/>
                <w:szCs w:val="25"/>
                <w:color w:val="auto"/>
                <w:w w:val="97"/>
                <w:vertAlign w:val="superscript"/>
              </w:rPr>
              <w:t>st</w:t>
            </w:r>
            <w:r>
              <w:rPr>
                <w:rFonts w:ascii="Arial" w:cs="Arial" w:eastAsia="Arial" w:hAnsi="Arial"/>
                <w:sz w:val="20"/>
                <w:szCs w:val="20"/>
                <w:color w:val="auto"/>
                <w:w w:val="97"/>
              </w:rPr>
              <w:t>) anniversary of the Effective Date of Grant</w:t>
            </w:r>
          </w:p>
        </w:tc>
        <w:tc>
          <w:tcPr>
            <w:tcW w:w="1380" w:type="dxa"/>
            <w:vAlign w:val="bottom"/>
            <w:tcBorders>
              <w:bottom w:val="single" w:sz="8" w:color="auto"/>
              <w:right w:val="single" w:sz="8" w:color="auto"/>
            </w:tcBorders>
          </w:tcPr>
          <w:p>
            <w:pPr>
              <w:spacing w:after="0"/>
              <w:rPr>
                <w:sz w:val="24"/>
                <w:szCs w:val="24"/>
                <w:color w:val="auto"/>
              </w:rPr>
            </w:pPr>
          </w:p>
        </w:tc>
        <w:tc>
          <w:tcPr>
            <w:tcW w:w="5180" w:type="dxa"/>
            <w:vAlign w:val="bottom"/>
            <w:tcBorders>
              <w:bottom w:val="single" w:sz="8" w:color="auto"/>
              <w:right w:val="single" w:sz="8" w:color="auto"/>
            </w:tcBorders>
          </w:tcPr>
          <w:p>
            <w:pPr>
              <w:jc w:val="right"/>
              <w:ind w:right="4461"/>
              <w:spacing w:after="0"/>
              <w:rPr>
                <w:sz w:val="20"/>
                <w:szCs w:val="20"/>
                <w:color w:val="auto"/>
              </w:rPr>
            </w:pPr>
            <w:r>
              <w:rPr>
                <w:rFonts w:ascii="Arial" w:cs="Arial" w:eastAsia="Arial" w:hAnsi="Arial"/>
                <w:sz w:val="20"/>
                <w:szCs w:val="20"/>
                <w:color w:val="auto"/>
                <w:w w:val="88"/>
              </w:rPr>
              <w:t>33.33%</w:t>
            </w:r>
          </w:p>
        </w:tc>
      </w:tr>
      <w:tr>
        <w:trPr>
          <w:trHeight w:val="277"/>
        </w:trPr>
        <w:tc>
          <w:tcPr>
            <w:tcW w:w="4480" w:type="dxa"/>
            <w:vAlign w:val="bottom"/>
            <w:tcBorders>
              <w:left w:val="single" w:sz="8" w:color="auto"/>
              <w:bottom w:val="single" w:sz="8" w:color="auto"/>
            </w:tcBorders>
          </w:tcPr>
          <w:p>
            <w:pPr>
              <w:ind w:left="20"/>
              <w:spacing w:after="0" w:line="277" w:lineRule="exact"/>
              <w:rPr>
                <w:sz w:val="20"/>
                <w:szCs w:val="20"/>
                <w:color w:val="auto"/>
              </w:rPr>
            </w:pPr>
            <w:r>
              <w:rPr>
                <w:rFonts w:ascii="Arial" w:cs="Arial" w:eastAsia="Arial" w:hAnsi="Arial"/>
                <w:sz w:val="20"/>
                <w:szCs w:val="20"/>
                <w:color w:val="auto"/>
                <w:w w:val="90"/>
              </w:rPr>
              <w:t>Second (2</w:t>
            </w:r>
            <w:r>
              <w:rPr>
                <w:rFonts w:ascii="Arial" w:cs="Arial" w:eastAsia="Arial" w:hAnsi="Arial"/>
                <w:sz w:val="25"/>
                <w:szCs w:val="25"/>
                <w:color w:val="auto"/>
                <w:w w:val="90"/>
                <w:vertAlign w:val="superscript"/>
              </w:rPr>
              <w:t>nd</w:t>
            </w:r>
            <w:r>
              <w:rPr>
                <w:rFonts w:ascii="Arial" w:cs="Arial" w:eastAsia="Arial" w:hAnsi="Arial"/>
                <w:sz w:val="20"/>
                <w:szCs w:val="20"/>
                <w:color w:val="auto"/>
                <w:w w:val="90"/>
              </w:rPr>
              <w:t>) anniversary of the Effective Date of Grant</w:t>
            </w:r>
          </w:p>
        </w:tc>
        <w:tc>
          <w:tcPr>
            <w:tcW w:w="1380" w:type="dxa"/>
            <w:vAlign w:val="bottom"/>
            <w:tcBorders>
              <w:bottom w:val="single" w:sz="8" w:color="auto"/>
              <w:right w:val="single" w:sz="8" w:color="auto"/>
            </w:tcBorders>
          </w:tcPr>
          <w:p>
            <w:pPr>
              <w:spacing w:after="0"/>
              <w:rPr>
                <w:sz w:val="24"/>
                <w:szCs w:val="24"/>
                <w:color w:val="auto"/>
              </w:rPr>
            </w:pPr>
          </w:p>
        </w:tc>
        <w:tc>
          <w:tcPr>
            <w:tcW w:w="5180" w:type="dxa"/>
            <w:vAlign w:val="bottom"/>
            <w:tcBorders>
              <w:bottom w:val="single" w:sz="8" w:color="auto"/>
              <w:right w:val="single" w:sz="8" w:color="auto"/>
            </w:tcBorders>
          </w:tcPr>
          <w:p>
            <w:pPr>
              <w:jc w:val="right"/>
              <w:ind w:right="4461"/>
              <w:spacing w:after="0"/>
              <w:rPr>
                <w:sz w:val="20"/>
                <w:szCs w:val="20"/>
                <w:color w:val="auto"/>
              </w:rPr>
            </w:pPr>
            <w:r>
              <w:rPr>
                <w:rFonts w:ascii="Arial" w:cs="Arial" w:eastAsia="Arial" w:hAnsi="Arial"/>
                <w:sz w:val="20"/>
                <w:szCs w:val="20"/>
                <w:color w:val="auto"/>
                <w:w w:val="88"/>
              </w:rPr>
              <w:t>33.33%</w:t>
            </w:r>
          </w:p>
        </w:tc>
      </w:tr>
      <w:tr>
        <w:trPr>
          <w:trHeight w:val="277"/>
        </w:trPr>
        <w:tc>
          <w:tcPr>
            <w:tcW w:w="4480" w:type="dxa"/>
            <w:vAlign w:val="bottom"/>
            <w:tcBorders>
              <w:left w:val="single" w:sz="8" w:color="auto"/>
              <w:bottom w:val="single" w:sz="8" w:color="auto"/>
            </w:tcBorders>
          </w:tcPr>
          <w:p>
            <w:pPr>
              <w:ind w:left="20"/>
              <w:spacing w:after="0" w:line="277" w:lineRule="exact"/>
              <w:rPr>
                <w:sz w:val="20"/>
                <w:szCs w:val="20"/>
                <w:color w:val="auto"/>
              </w:rPr>
            </w:pPr>
            <w:r>
              <w:rPr>
                <w:rFonts w:ascii="Arial" w:cs="Arial" w:eastAsia="Arial" w:hAnsi="Arial"/>
                <w:sz w:val="20"/>
                <w:szCs w:val="20"/>
                <w:color w:val="auto"/>
                <w:w w:val="95"/>
              </w:rPr>
              <w:t>Third (3</w:t>
            </w:r>
            <w:r>
              <w:rPr>
                <w:rFonts w:ascii="Arial" w:cs="Arial" w:eastAsia="Arial" w:hAnsi="Arial"/>
                <w:sz w:val="25"/>
                <w:szCs w:val="25"/>
                <w:color w:val="auto"/>
                <w:w w:val="95"/>
                <w:vertAlign w:val="superscript"/>
              </w:rPr>
              <w:t>rd</w:t>
            </w:r>
            <w:r>
              <w:rPr>
                <w:rFonts w:ascii="Arial" w:cs="Arial" w:eastAsia="Arial" w:hAnsi="Arial"/>
                <w:sz w:val="20"/>
                <w:szCs w:val="20"/>
                <w:color w:val="auto"/>
                <w:w w:val="95"/>
              </w:rPr>
              <w:t>) anniversary of the Effective Date of Grant</w:t>
            </w:r>
          </w:p>
        </w:tc>
        <w:tc>
          <w:tcPr>
            <w:tcW w:w="1380" w:type="dxa"/>
            <w:vAlign w:val="bottom"/>
            <w:tcBorders>
              <w:bottom w:val="single" w:sz="8" w:color="auto"/>
              <w:right w:val="single" w:sz="8" w:color="auto"/>
            </w:tcBorders>
          </w:tcPr>
          <w:p>
            <w:pPr>
              <w:spacing w:after="0"/>
              <w:rPr>
                <w:sz w:val="24"/>
                <w:szCs w:val="24"/>
                <w:color w:val="auto"/>
              </w:rPr>
            </w:pPr>
          </w:p>
        </w:tc>
        <w:tc>
          <w:tcPr>
            <w:tcW w:w="5180" w:type="dxa"/>
            <w:vAlign w:val="bottom"/>
            <w:tcBorders>
              <w:bottom w:val="single" w:sz="8" w:color="auto"/>
              <w:right w:val="single" w:sz="8" w:color="auto"/>
            </w:tcBorders>
          </w:tcPr>
          <w:p>
            <w:pPr>
              <w:jc w:val="right"/>
              <w:ind w:right="4461"/>
              <w:spacing w:after="0"/>
              <w:rPr>
                <w:sz w:val="20"/>
                <w:szCs w:val="20"/>
                <w:color w:val="auto"/>
              </w:rPr>
            </w:pPr>
            <w:r>
              <w:rPr>
                <w:rFonts w:ascii="Arial" w:cs="Arial" w:eastAsia="Arial" w:hAnsi="Arial"/>
                <w:sz w:val="20"/>
                <w:szCs w:val="20"/>
                <w:color w:val="auto"/>
                <w:w w:val="88"/>
              </w:rPr>
              <w:t>33.34%</w:t>
            </w:r>
          </w:p>
        </w:tc>
      </w:tr>
      <w:tr>
        <w:trPr>
          <w:trHeight w:val="426"/>
        </w:trPr>
        <w:tc>
          <w:tcPr>
            <w:tcW w:w="4480" w:type="dxa"/>
            <w:vAlign w:val="bottom"/>
          </w:tcPr>
          <w:p>
            <w:pPr>
              <w:spacing w:after="0"/>
              <w:rPr>
                <w:sz w:val="24"/>
                <w:szCs w:val="24"/>
                <w:color w:val="auto"/>
              </w:rPr>
            </w:pPr>
          </w:p>
        </w:tc>
        <w:tc>
          <w:tcPr>
            <w:tcW w:w="6560" w:type="dxa"/>
            <w:vAlign w:val="bottom"/>
            <w:gridSpan w:val="2"/>
          </w:tcPr>
          <w:p>
            <w:pPr>
              <w:jc w:val="right"/>
              <w:ind w:right="5161"/>
              <w:spacing w:after="0"/>
              <w:rPr>
                <w:sz w:val="20"/>
                <w:szCs w:val="20"/>
                <w:color w:val="auto"/>
              </w:rPr>
            </w:pPr>
            <w:r>
              <w:rPr>
                <w:rFonts w:ascii="Arial" w:cs="Arial" w:eastAsia="Arial" w:hAnsi="Arial"/>
                <w:sz w:val="18"/>
                <w:szCs w:val="18"/>
                <w:b w:val="1"/>
                <w:bCs w:val="1"/>
                <w:color w:val="auto"/>
              </w:rPr>
              <w:t>Vesting</w:t>
            </w: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Performance Restriction has been achieved as of an Anniversary Date, the percentage of the Restricted Stock indicated next to such Anniversary Date shall vest on such indicated Anniversary Date (such three year vesting schedule referred to as the “Time-Based Restrictions”). If the Performance Restriction is not achieved during the Measurement Period, none of the Restricted Stock granted hereunder shall vest and, for no consideration, will be automatically forfeited to the Company.</w:t>
      </w:r>
    </w:p>
    <w:p>
      <w:pPr>
        <w:sectPr>
          <w:pgSz w:w="11900" w:h="16838" w:orient="portrait"/>
          <w:cols w:equalWidth="0" w:num="1">
            <w:col w:w="11420"/>
          </w:cols>
          <w:pgMar w:left="240" w:top="576"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21.1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tcPr>
          <w:p>
            <w:pPr>
              <w:spacing w:after="0"/>
              <w:rPr>
                <w:sz w:val="17"/>
                <w:szCs w:val="17"/>
                <w:color w:val="auto"/>
              </w:rPr>
            </w:pPr>
          </w:p>
        </w:tc>
        <w:tc>
          <w:tcPr>
            <w:tcW w:w="7720" w:type="dxa"/>
            <w:vAlign w:val="bottom"/>
            <w:gridSpan w:val="3"/>
          </w:tcPr>
          <w:p>
            <w:pPr>
              <w:jc w:val="center"/>
              <w:ind w:right="3550"/>
              <w:spacing w:after="0"/>
              <w:rPr>
                <w:sz w:val="20"/>
                <w:szCs w:val="20"/>
                <w:color w:val="auto"/>
              </w:rPr>
            </w:pPr>
            <w:r>
              <w:rPr>
                <w:rFonts w:ascii="Arial" w:cs="Arial" w:eastAsia="Arial" w:hAnsi="Arial"/>
                <w:sz w:val="18"/>
                <w:szCs w:val="18"/>
                <w:b w:val="1"/>
                <w:bCs w:val="1"/>
                <w:color w:val="auto"/>
              </w:rPr>
              <w:t>FIDELITY NATIONAL FINANCIAL, INC.</w:t>
            </w:r>
          </w:p>
        </w:tc>
      </w:tr>
      <w:tr>
        <w:trPr>
          <w:trHeight w:val="216"/>
        </w:trPr>
        <w:tc>
          <w:tcPr>
            <w:tcW w:w="3640" w:type="dxa"/>
            <w:vAlign w:val="bottom"/>
          </w:tcPr>
          <w:p>
            <w:pPr>
              <w:spacing w:after="0"/>
              <w:rPr>
                <w:sz w:val="18"/>
                <w:szCs w:val="18"/>
                <w:color w:val="auto"/>
              </w:rPr>
            </w:pPr>
          </w:p>
        </w:tc>
        <w:tc>
          <w:tcPr>
            <w:tcW w:w="7720" w:type="dxa"/>
            <w:vAlign w:val="bottom"/>
            <w:gridSpan w:val="3"/>
          </w:tcPr>
          <w:p>
            <w:pPr>
              <w:jc w:val="center"/>
              <w:ind w:right="3570"/>
              <w:spacing w:after="0"/>
              <w:rPr>
                <w:sz w:val="20"/>
                <w:szCs w:val="20"/>
                <w:color w:val="auto"/>
              </w:rPr>
            </w:pPr>
            <w:r>
              <w:rPr>
                <w:rFonts w:ascii="Arial" w:cs="Arial" w:eastAsia="Arial" w:hAnsi="Arial"/>
                <w:sz w:val="18"/>
                <w:szCs w:val="18"/>
                <w:b w:val="1"/>
                <w:bCs w:val="1"/>
                <w:color w:val="auto"/>
                <w:w w:val="89"/>
              </w:rPr>
              <w:t>List of Subsidiaries December 31, 2014</w:t>
            </w:r>
          </w:p>
        </w:tc>
      </w:tr>
      <w:tr>
        <w:trPr>
          <w:trHeight w:val="234"/>
        </w:trPr>
        <w:tc>
          <w:tcPr>
            <w:tcW w:w="3640" w:type="dxa"/>
            <w:vAlign w:val="bottom"/>
          </w:tcPr>
          <w:p>
            <w:pPr>
              <w:spacing w:after="0"/>
              <w:rPr>
                <w:sz w:val="20"/>
                <w:szCs w:val="20"/>
                <w:color w:val="auto"/>
              </w:rPr>
            </w:pPr>
          </w:p>
        </w:tc>
        <w:tc>
          <w:tcPr>
            <w:tcW w:w="7720" w:type="dxa"/>
            <w:vAlign w:val="bottom"/>
            <w:gridSpan w:val="3"/>
          </w:tcPr>
          <w:p>
            <w:pPr>
              <w:jc w:val="center"/>
              <w:ind w:right="3550"/>
              <w:spacing w:after="0"/>
              <w:rPr>
                <w:sz w:val="20"/>
                <w:szCs w:val="20"/>
                <w:color w:val="auto"/>
              </w:rPr>
            </w:pPr>
            <w:r>
              <w:rPr>
                <w:rFonts w:ascii="Arial" w:cs="Arial" w:eastAsia="Arial" w:hAnsi="Arial"/>
                <w:sz w:val="18"/>
                <w:szCs w:val="18"/>
                <w:b w:val="1"/>
                <w:bCs w:val="1"/>
                <w:color w:val="auto"/>
                <w:w w:val="89"/>
              </w:rPr>
              <w:t>Eight Significant Subsidiaries</w:t>
            </w:r>
          </w:p>
        </w:tc>
      </w:tr>
      <w:tr>
        <w:trPr>
          <w:trHeight w:val="648"/>
        </w:trPr>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COMPANY</w:t>
            </w:r>
          </w:p>
        </w:tc>
        <w:tc>
          <w:tcPr>
            <w:tcW w:w="3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980" w:type="dxa"/>
            <w:vAlign w:val="bottom"/>
          </w:tcPr>
          <w:p>
            <w:pPr>
              <w:ind w:left="1200"/>
              <w:spacing w:after="0"/>
              <w:rPr>
                <w:sz w:val="20"/>
                <w:szCs w:val="20"/>
                <w:color w:val="auto"/>
              </w:rPr>
            </w:pPr>
            <w:r>
              <w:rPr>
                <w:rFonts w:ascii="Arial" w:cs="Arial" w:eastAsia="Arial" w:hAnsi="Arial"/>
                <w:sz w:val="18"/>
                <w:szCs w:val="18"/>
                <w:b w:val="1"/>
                <w:bCs w:val="1"/>
                <w:color w:val="auto"/>
              </w:rPr>
              <w:t>INCORPORATION</w:t>
            </w:r>
          </w:p>
        </w:tc>
      </w:tr>
      <w:tr>
        <w:trPr>
          <w:trHeight w:val="27"/>
        </w:trPr>
        <w:tc>
          <w:tcPr>
            <w:tcW w:w="36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44"/>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FNTG Holdings, Inc.</w:t>
            </w:r>
          </w:p>
        </w:tc>
        <w:tc>
          <w:tcPr>
            <w:tcW w:w="3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color w:val="auto"/>
              </w:rPr>
              <w:t>Chicago Title Insurance Company</w:t>
            </w:r>
          </w:p>
        </w:tc>
        <w:tc>
          <w:tcPr>
            <w:tcW w:w="3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Nebraska</w:t>
            </w:r>
          </w:p>
        </w:tc>
      </w:tr>
      <w:tr>
        <w:trPr>
          <w:trHeight w:val="27"/>
        </w:trPr>
        <w:tc>
          <w:tcPr>
            <w:tcW w:w="36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98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Fidelity National Title Group, Inc.</w:t>
            </w:r>
          </w:p>
        </w:tc>
        <w:tc>
          <w:tcPr>
            <w:tcW w:w="3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color w:val="auto"/>
              </w:rPr>
              <w:t>Fidelity National Title Insurance Company</w:t>
            </w:r>
          </w:p>
        </w:tc>
        <w:tc>
          <w:tcPr>
            <w:tcW w:w="3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7"/>
        </w:trPr>
        <w:tc>
          <w:tcPr>
            <w:tcW w:w="36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98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Black Knight Financial Services, LLC</w:t>
            </w:r>
          </w:p>
        </w:tc>
        <w:tc>
          <w:tcPr>
            <w:tcW w:w="3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color w:val="auto"/>
              </w:rPr>
              <w:t>Black Knight Holdings, Inc.</w:t>
            </w:r>
          </w:p>
        </w:tc>
        <w:tc>
          <w:tcPr>
            <w:tcW w:w="3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
        </w:trPr>
        <w:tc>
          <w:tcPr>
            <w:tcW w:w="36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980" w:type="dxa"/>
            <w:vAlign w:val="bottom"/>
          </w:tcPr>
          <w:p>
            <w:pPr>
              <w:spacing w:after="0"/>
              <w:rPr>
                <w:sz w:val="2"/>
                <w:szCs w:val="2"/>
                <w:color w:val="auto"/>
              </w:rPr>
            </w:pPr>
          </w:p>
        </w:tc>
      </w:tr>
      <w:tr>
        <w:trPr>
          <w:trHeight w:val="250"/>
        </w:trPr>
        <w:tc>
          <w:tcPr>
            <w:tcW w:w="3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Black Knight Mortgage Processing Solutions</w:t>
            </w:r>
          </w:p>
        </w:tc>
        <w:tc>
          <w:tcPr>
            <w:tcW w:w="3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Delaware</w:t>
            </w:r>
          </w:p>
        </w:tc>
      </w:tr>
      <w:tr>
        <w:trPr>
          <w:trHeight w:val="243"/>
        </w:trPr>
        <w:tc>
          <w:tcPr>
            <w:tcW w:w="3640" w:type="dxa"/>
            <w:vAlign w:val="bottom"/>
          </w:tcPr>
          <w:p>
            <w:pPr>
              <w:ind w:left="20"/>
              <w:spacing w:after="0"/>
              <w:rPr>
                <w:sz w:val="20"/>
                <w:szCs w:val="20"/>
                <w:color w:val="auto"/>
              </w:rPr>
            </w:pPr>
            <w:r>
              <w:rPr>
                <w:rFonts w:ascii="Arial" w:cs="Arial" w:eastAsia="Arial" w:hAnsi="Arial"/>
                <w:sz w:val="18"/>
                <w:szCs w:val="18"/>
                <w:color w:val="auto"/>
              </w:rPr>
              <w:t>Black Knight Portfolio Solutions, LLC</w:t>
            </w:r>
          </w:p>
        </w:tc>
        <w:tc>
          <w:tcPr>
            <w:tcW w:w="3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380"/>
          </w:cols>
          <w:pgMar w:left="280" w:top="580" w:right="2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Fidelity National Financial, Inc.:</w:t>
      </w:r>
    </w:p>
    <w:p>
      <w:pPr>
        <w:spacing w:after="0" w:line="200" w:lineRule="exact"/>
        <w:rPr>
          <w:sz w:val="20"/>
          <w:szCs w:val="20"/>
          <w:color w:val="auto"/>
        </w:rPr>
      </w:pPr>
    </w:p>
    <w:p>
      <w:pPr>
        <w:spacing w:after="0" w:line="2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consent to the incorporation by reference in the Registration Statements (Nos. 333-198187, 333-197249, 333-197124, 333-193825, 333-190527, 333-157643, 333-132843, 333-138254, 333-129886, 333-129016 and 333-176395) on Form S-8, Registration Statements (Nos. 333-157123, 333-147391, and 333-174650) on Form S-3, and Registration Statements (Nos. 333-194938 and 333-190902) on Form S-4 of Fidelity National Financial, Inc. of our reports dated March 2, 2015, with respect to the Consolidated Balance Sheets of Fidelity National Financial, Inc. as of December 31, 2014 and 2013, and the related Consolidated Statements of Earnings, Comprehensive Earnings, Equity, and Cash Flows for each of the years in the three-year period ended December 31, 2014, and all related financial statement schedules, and the effectiveness of internal control over financial reporting as of December 31, 2014, which reports appear in the December 31, 2014 annual report on Form 10-K of Fidelity National Financial, Inc.</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Jacksonville, Florida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ectPr>
          <w:pgSz w:w="11900" w:h="16838" w:orient="portrait"/>
          <w:cols w:equalWidth="0" w:num="1">
            <w:col w:w="11420"/>
          </w:cols>
          <w:pgMar w:left="240" w:top="580" w:right="23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Raymond R. Quirk, certify that:</w:t>
      </w:r>
    </w:p>
    <w:p>
      <w:pPr>
        <w:spacing w:after="0" w:line="225" w:lineRule="exact"/>
        <w:rPr>
          <w:sz w:val="20"/>
          <w:szCs w:val="20"/>
          <w:color w:val="auto"/>
        </w:rPr>
      </w:pPr>
    </w:p>
    <w:p>
      <w:pPr>
        <w:ind w:left="180" w:hanging="172"/>
        <w:spacing w:after="0"/>
        <w:tabs>
          <w:tab w:leader="none" w:pos="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Fidelity National Financial,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7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720" w:right="80" w:hanging="377"/>
        <w:spacing w:after="0" w:line="264" w:lineRule="auto"/>
        <w:tabs>
          <w:tab w:leader="none" w:pos="720" w:val="left"/>
        </w:tabs>
        <w:numPr>
          <w:ilvl w:val="2"/>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720" w:right="80" w:hanging="382"/>
        <w:spacing w:after="0" w:line="264" w:lineRule="auto"/>
        <w:tabs>
          <w:tab w:leader="none" w:pos="720" w:val="left"/>
        </w:tabs>
        <w:numPr>
          <w:ilvl w:val="2"/>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9" w:lineRule="exact"/>
        <w:rPr>
          <w:rFonts w:ascii="Arial" w:cs="Arial" w:eastAsia="Arial" w:hAnsi="Arial"/>
          <w:sz w:val="18"/>
          <w:szCs w:val="18"/>
          <w:color w:val="auto"/>
        </w:rPr>
      </w:pPr>
    </w:p>
    <w:p>
      <w:pPr>
        <w:ind w:left="720" w:right="100" w:hanging="377"/>
        <w:spacing w:after="0" w:line="308" w:lineRule="auto"/>
        <w:tabs>
          <w:tab w:leader="none" w:pos="720" w:val="left"/>
        </w:tabs>
        <w:numPr>
          <w:ilvl w:val="2"/>
          <w:numId w:val="7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720" w:right="80" w:hanging="382"/>
        <w:spacing w:after="0" w:line="264" w:lineRule="auto"/>
        <w:tabs>
          <w:tab w:leader="none" w:pos="720" w:val="left"/>
        </w:tabs>
        <w:numPr>
          <w:ilvl w:val="2"/>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firstLine="8"/>
        <w:spacing w:after="0" w:line="277" w:lineRule="auto"/>
        <w:tabs>
          <w:tab w:leader="none" w:pos="20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760" w:right="60" w:hanging="468"/>
        <w:spacing w:after="0" w:line="277" w:lineRule="auto"/>
        <w:tabs>
          <w:tab w:leader="none" w:pos="7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760" w:right="60" w:hanging="468"/>
        <w:spacing w:after="0" w:line="277" w:lineRule="auto"/>
        <w:tabs>
          <w:tab w:leader="none" w:pos="7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2015</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31750</wp:posOffset>
            </wp:positionV>
            <wp:extent cx="22980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Raymond R. Quirk</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Anthony J. Park, certify that:</w:t>
      </w:r>
    </w:p>
    <w:p>
      <w:pPr>
        <w:spacing w:after="0" w:line="225" w:lineRule="exact"/>
        <w:rPr>
          <w:sz w:val="20"/>
          <w:szCs w:val="20"/>
          <w:color w:val="auto"/>
        </w:rPr>
      </w:pPr>
    </w:p>
    <w:p>
      <w:pPr>
        <w:ind w:left="180" w:hanging="172"/>
        <w:spacing w:after="0"/>
        <w:tabs>
          <w:tab w:leader="none" w:pos="1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Fidelity National Financial, Inc.;</w:t>
      </w:r>
    </w:p>
    <w:p>
      <w:pPr>
        <w:spacing w:after="0" w:line="225" w:lineRule="exact"/>
        <w:rPr>
          <w:rFonts w:ascii="Arial" w:cs="Arial" w:eastAsia="Arial" w:hAnsi="Arial"/>
          <w:sz w:val="18"/>
          <w:szCs w:val="18"/>
          <w:color w:val="auto"/>
        </w:rPr>
      </w:pPr>
    </w:p>
    <w:p>
      <w:pPr>
        <w:ind w:firstLine="8"/>
        <w:spacing w:after="0" w:line="342" w:lineRule="auto"/>
        <w:tabs>
          <w:tab w:leader="none" w:pos="208" w:val="left"/>
        </w:tabs>
        <w:numPr>
          <w:ilvl w:val="0"/>
          <w:numId w:val="7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720" w:right="80" w:hanging="377"/>
        <w:spacing w:after="0" w:line="264" w:lineRule="auto"/>
        <w:tabs>
          <w:tab w:leader="none" w:pos="720" w:val="left"/>
        </w:tabs>
        <w:numPr>
          <w:ilvl w:val="2"/>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8"/>
          <w:szCs w:val="18"/>
          <w:color w:val="auto"/>
        </w:rPr>
      </w:pPr>
    </w:p>
    <w:p>
      <w:pPr>
        <w:jc w:val="both"/>
        <w:ind w:left="720" w:right="80" w:hanging="382"/>
        <w:spacing w:after="0" w:line="264" w:lineRule="auto"/>
        <w:tabs>
          <w:tab w:leader="none" w:pos="720" w:val="left"/>
        </w:tabs>
        <w:numPr>
          <w:ilvl w:val="2"/>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9" w:lineRule="exact"/>
        <w:rPr>
          <w:rFonts w:ascii="Arial" w:cs="Arial" w:eastAsia="Arial" w:hAnsi="Arial"/>
          <w:sz w:val="18"/>
          <w:szCs w:val="18"/>
          <w:color w:val="auto"/>
        </w:rPr>
      </w:pPr>
    </w:p>
    <w:p>
      <w:pPr>
        <w:ind w:left="720" w:right="100" w:hanging="377"/>
        <w:spacing w:after="0" w:line="308" w:lineRule="auto"/>
        <w:tabs>
          <w:tab w:leader="none" w:pos="720" w:val="left"/>
        </w:tabs>
        <w:numPr>
          <w:ilvl w:val="2"/>
          <w:numId w:val="7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54" w:lineRule="exact"/>
        <w:rPr>
          <w:rFonts w:ascii="Arial" w:cs="Arial" w:eastAsia="Arial" w:hAnsi="Arial"/>
          <w:sz w:val="17"/>
          <w:szCs w:val="17"/>
          <w:color w:val="auto"/>
        </w:rPr>
      </w:pPr>
    </w:p>
    <w:p>
      <w:pPr>
        <w:jc w:val="both"/>
        <w:ind w:left="720" w:right="80" w:hanging="382"/>
        <w:spacing w:after="0" w:line="264" w:lineRule="auto"/>
        <w:tabs>
          <w:tab w:leader="none" w:pos="720" w:val="left"/>
        </w:tabs>
        <w:numPr>
          <w:ilvl w:val="2"/>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firstLine="8"/>
        <w:spacing w:after="0" w:line="277" w:lineRule="auto"/>
        <w:tabs>
          <w:tab w:leader="none" w:pos="208"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6" w:lineRule="exact"/>
        <w:rPr>
          <w:rFonts w:ascii="Arial" w:cs="Arial" w:eastAsia="Arial" w:hAnsi="Arial"/>
          <w:sz w:val="18"/>
          <w:szCs w:val="18"/>
          <w:color w:val="auto"/>
        </w:rPr>
      </w:pPr>
    </w:p>
    <w:p>
      <w:pPr>
        <w:ind w:left="760" w:right="60" w:hanging="468"/>
        <w:spacing w:after="0" w:line="277" w:lineRule="auto"/>
        <w:tabs>
          <w:tab w:leader="none" w:pos="7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78" w:lineRule="exact"/>
        <w:rPr>
          <w:rFonts w:ascii="Arial" w:cs="Arial" w:eastAsia="Arial" w:hAnsi="Arial"/>
          <w:sz w:val="18"/>
          <w:szCs w:val="18"/>
          <w:color w:val="auto"/>
        </w:rPr>
      </w:pPr>
    </w:p>
    <w:p>
      <w:pPr>
        <w:ind w:left="760" w:right="60" w:hanging="468"/>
        <w:spacing w:after="0" w:line="277" w:lineRule="auto"/>
        <w:tabs>
          <w:tab w:leader="none" w:pos="76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2015</w:t>
      </w:r>
    </w:p>
    <w:p>
      <w:pPr>
        <w:spacing w:after="0" w:line="200" w:lineRule="exact"/>
        <w:rPr>
          <w:sz w:val="20"/>
          <w:szCs w:val="20"/>
          <w:color w:val="auto"/>
        </w:rPr>
      </w:pPr>
    </w:p>
    <w:p>
      <w:pPr>
        <w:spacing w:after="0" w:line="241" w:lineRule="exact"/>
        <w:rPr>
          <w:sz w:val="20"/>
          <w:szCs w:val="20"/>
          <w:color w:val="auto"/>
        </w:rPr>
      </w:pPr>
    </w:p>
    <w:p>
      <w:pPr>
        <w:ind w:left="40"/>
        <w:spacing w:after="0"/>
        <w:tabs>
          <w:tab w:leader="none" w:pos="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31750</wp:posOffset>
            </wp:positionV>
            <wp:extent cx="22980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98065" cy="8890"/>
                    </a:xfrm>
                    <a:prstGeom prst="rect">
                      <a:avLst/>
                    </a:prstGeom>
                    <a:noFill/>
                  </pic:spPr>
                </pic:pic>
              </a:graphicData>
            </a:graphic>
          </wp:anchor>
        </w:drawing>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Anthony J. Park</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Executive Officer of Fidelity National Financial, Inc., a Delaware corporation (the “Company”), and hereby further certifies as follows.</w:t>
      </w:r>
    </w:p>
    <w:p>
      <w:pPr>
        <w:spacing w:after="0" w:line="333" w:lineRule="exact"/>
        <w:rPr>
          <w:sz w:val="20"/>
          <w:szCs w:val="20"/>
          <w:color w:val="auto"/>
        </w:rPr>
      </w:pPr>
    </w:p>
    <w:p>
      <w:pPr>
        <w:ind w:left="500" w:right="40" w:hanging="303"/>
        <w:spacing w:after="0" w:line="277" w:lineRule="auto"/>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278" w:lineRule="exact"/>
        <w:rPr>
          <w:rFonts w:ascii="Arial" w:cs="Arial" w:eastAsia="Arial" w:hAnsi="Arial"/>
          <w:sz w:val="18"/>
          <w:szCs w:val="18"/>
          <w:color w:val="auto"/>
        </w:rPr>
      </w:pPr>
    </w:p>
    <w:p>
      <w:pPr>
        <w:ind w:left="500" w:right="40" w:hanging="303"/>
        <w:spacing w:after="0" w:line="277" w:lineRule="auto"/>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2015</w:t>
      </w:r>
    </w:p>
    <w:p>
      <w:pPr>
        <w:spacing w:after="0" w:line="200" w:lineRule="exact"/>
        <w:rPr>
          <w:sz w:val="20"/>
          <w:szCs w:val="20"/>
          <w:color w:val="auto"/>
        </w:rPr>
      </w:pPr>
    </w:p>
    <w:p>
      <w:pPr>
        <w:spacing w:after="0" w:line="24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 /s/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31750</wp:posOffset>
            </wp:positionV>
            <wp:extent cx="26587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Raymond R. Quirk</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Financial Officer of Fidelity National Financial, Inc., a Delaware corporation (the “Company”), and hereby further certifies as follows.</w:t>
      </w:r>
    </w:p>
    <w:p>
      <w:pPr>
        <w:spacing w:after="0" w:line="116" w:lineRule="exact"/>
        <w:rPr>
          <w:sz w:val="20"/>
          <w:szCs w:val="20"/>
          <w:color w:val="auto"/>
        </w:rPr>
      </w:pPr>
    </w:p>
    <w:p>
      <w:pPr>
        <w:ind w:left="500" w:right="40" w:hanging="303"/>
        <w:spacing w:after="0" w:line="277" w:lineRule="auto"/>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278" w:lineRule="exact"/>
        <w:rPr>
          <w:rFonts w:ascii="Arial" w:cs="Arial" w:eastAsia="Arial" w:hAnsi="Arial"/>
          <w:sz w:val="18"/>
          <w:szCs w:val="18"/>
          <w:color w:val="auto"/>
        </w:rPr>
      </w:pPr>
    </w:p>
    <w:p>
      <w:pPr>
        <w:ind w:left="500" w:right="40" w:hanging="303"/>
        <w:spacing w:after="0" w:line="277" w:lineRule="auto"/>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2015</w:t>
      </w:r>
    </w:p>
    <w:p>
      <w:pPr>
        <w:spacing w:after="0" w:line="200" w:lineRule="exact"/>
        <w:rPr>
          <w:sz w:val="20"/>
          <w:szCs w:val="20"/>
          <w:color w:val="auto"/>
        </w:rPr>
      </w:pPr>
    </w:p>
    <w:p>
      <w:pPr>
        <w:spacing w:after="0" w:line="24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 /s/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3495675</wp:posOffset>
            </wp:positionH>
            <wp:positionV relativeFrom="paragraph">
              <wp:posOffset>31750</wp:posOffset>
            </wp:positionV>
            <wp:extent cx="26587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57"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Anthony J. Park</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R"/>
      <w:numFmt w:val="bullet"/>
      <w:start w:val="1"/>
    </w:lvl>
  </w:abstractNum>
  <w:abstractNum w:abstractNumId="1">
    <w:nsid w:val="5C482A97"/>
    <w:multiLevelType w:val="hybridMultilevel"/>
    <w:lvl w:ilvl="0">
      <w:lvlJc w:val="left"/>
      <w:lvlText w:val="o"/>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
      <w:numFmt w:val="bullet"/>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
      <w:numFmt w:val="bullet"/>
      <w:start w:val="1"/>
    </w:lvl>
  </w:abstractNum>
  <w:abstractNum w:abstractNumId="8">
    <w:nsid w:val="3855585C"/>
    <w:multiLevelType w:val="hybridMultilevel"/>
    <w:lvl w:ilvl="0">
      <w:lvlJc w:val="left"/>
      <w:lvlText w:val="•"/>
      <w:numFmt w:val="bullet"/>
      <w:start w:val="1"/>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1)"/>
      <w:numFmt w:val="decimal"/>
      <w:start w:val="1"/>
    </w:lvl>
  </w:abstractNum>
  <w:abstractNum w:abstractNumId="12">
    <w:nsid w:val="1D4ED43B"/>
    <w:multiLevelType w:val="hybridMultilevel"/>
    <w:lvl w:ilvl="0">
      <w:lvlJc w:val="left"/>
      <w:lvlText w:val="(%1)"/>
      <w:numFmt w:val="decimal"/>
      <w:start w:val="1"/>
    </w:lvl>
  </w:abstractNum>
  <w:abstractNum w:abstractNumId="13">
    <w:nsid w:val="725A06FB"/>
    <w:multiLevelType w:val="hybridMultilevel"/>
    <w:lvl w:ilvl="0">
      <w:lvlJc w:val="left"/>
      <w:lvlText w:val="•"/>
      <w:numFmt w:val="bullet"/>
      <w:start w:val="1"/>
    </w:lvl>
  </w:abstractNum>
  <w:abstractNum w:abstractNumId="14">
    <w:nsid w:val="2CD89A32"/>
    <w:multiLevelType w:val="hybridMultilevel"/>
    <w:lvl w:ilvl="0">
      <w:lvlJc w:val="left"/>
      <w:lvlText w:val="•"/>
      <w:numFmt w:val="bullet"/>
      <w:start w:val="1"/>
    </w:lvl>
  </w:abstractNum>
  <w:abstractNum w:abstractNumId="15">
    <w:nsid w:val="57E4CCAF"/>
    <w:multiLevelType w:val="hybridMultilevel"/>
    <w:lvl w:ilvl="0">
      <w:lvlJc w:val="left"/>
      <w:lvlText w:val="•"/>
      <w:numFmt w:val="bullet"/>
      <w:start w:val="1"/>
    </w:lvl>
  </w:abstractNum>
  <w:abstractNum w:abstractNumId="16">
    <w:nsid w:val="7A6D8D3C"/>
    <w:multiLevelType w:val="hybridMultilevel"/>
    <w:lvl w:ilvl="0">
      <w:lvlJc w:val="left"/>
      <w:lvlText w:val="•"/>
      <w:numFmt w:val="bullet"/>
      <w:start w:val="1"/>
    </w:lvl>
  </w:abstractNum>
  <w:abstractNum w:abstractNumId="17">
    <w:nsid w:val="4B588F54"/>
    <w:multiLevelType w:val="hybridMultilevel"/>
    <w:lvl w:ilvl="0">
      <w:lvlJc w:val="left"/>
      <w:lvlText w:val="•"/>
      <w:numFmt w:val="bullet"/>
      <w:start w:val="1"/>
    </w:lvl>
  </w:abstractNum>
  <w:abstractNum w:abstractNumId="18">
    <w:nsid w:val="542289EC"/>
    <w:multiLevelType w:val="hybridMultilevel"/>
    <w:lvl w:ilvl="0">
      <w:lvlJc w:val="left"/>
      <w:lvlText w:val="•"/>
      <w:numFmt w:val="bullet"/>
      <w:start w:val="1"/>
    </w:lvl>
    <w:lvl w:ilvl="1">
      <w:lvlJc w:val="left"/>
      <w:lvlText w:val="(%2)"/>
      <w:numFmt w:val="lowerRoman"/>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
      <w:numFmt w:val="bullet"/>
      <w:start w:val="1"/>
    </w:lvl>
  </w:abstractNum>
  <w:abstractNum w:abstractNumId="21">
    <w:nsid w:val="7644A45C"/>
    <w:multiLevelType w:val="hybridMultilevel"/>
    <w:lvl w:ilvl="0">
      <w:lvlJc w:val="left"/>
      <w:lvlText w:val="•"/>
      <w:numFmt w:val="bullet"/>
      <w:start w:val="1"/>
    </w:lvl>
  </w:abstractNum>
  <w:abstractNum w:abstractNumId="22">
    <w:nsid w:val="32FFF902"/>
    <w:multiLevelType w:val="hybridMultilevel"/>
    <w:lvl w:ilvl="0">
      <w:lvlJc w:val="left"/>
      <w:lvlText w:val="•"/>
      <w:numFmt w:val="bullet"/>
      <w:start w:val="1"/>
    </w:lvl>
  </w:abstractNum>
  <w:abstractNum w:abstractNumId="23">
    <w:nsid w:val="684A481A"/>
    <w:multiLevelType w:val="hybridMultilevel"/>
    <w:lvl w:ilvl="0">
      <w:lvlJc w:val="left"/>
      <w:lvlText w:val="•"/>
      <w:numFmt w:val="bullet"/>
      <w:start w:val="1"/>
    </w:lvl>
  </w:abstractNum>
  <w:abstractNum w:abstractNumId="24">
    <w:nsid w:val="579478FE"/>
    <w:multiLevelType w:val="hybridMultilevel"/>
    <w:lvl w:ilvl="0">
      <w:lvlJc w:val="left"/>
      <w:lvlText w:val="(%1)"/>
      <w:numFmt w:val="decimal"/>
      <w:start w:val="1"/>
    </w:lvl>
  </w:abstractNum>
  <w:abstractNum w:abstractNumId="25">
    <w:nsid w:val="749ABB43"/>
    <w:multiLevelType w:val="hybridMultilevel"/>
    <w:lvl w:ilvl="0">
      <w:lvlJc w:val="left"/>
      <w:lvlText w:val="(%1)"/>
      <w:numFmt w:val="decimal"/>
      <w:start w:val="1"/>
    </w:lvl>
  </w:abstractNum>
  <w:abstractNum w:abstractNumId="26">
    <w:nsid w:val="3DC240FB"/>
    <w:multiLevelType w:val="hybridMultilevel"/>
    <w:lvl w:ilvl="0">
      <w:lvlJc w:val="left"/>
      <w:lvlText w:val="(%1)"/>
      <w:numFmt w:val="decimal"/>
      <w:start w:val="1"/>
    </w:lvl>
  </w:abstractNum>
  <w:abstractNum w:abstractNumId="27">
    <w:nsid w:val="1BA026FA"/>
    <w:multiLevelType w:val="hybridMultilevel"/>
    <w:lvl w:ilvl="0">
      <w:lvlJc w:val="left"/>
      <w:lvlText w:val="(%1)"/>
      <w:numFmt w:val="decimal"/>
      <w:start w:val="1"/>
    </w:lvl>
  </w:abstractNum>
  <w:abstractNum w:abstractNumId="28">
    <w:nsid w:val="79A1DEAA"/>
    <w:multiLevelType w:val="hybridMultilevel"/>
    <w:lvl w:ilvl="0">
      <w:lvlJc w:val="left"/>
      <w:lvlText w:val="(%1)"/>
      <w:numFmt w:val="decimal"/>
      <w:start w:val="2"/>
    </w:lvl>
  </w:abstractNum>
  <w:abstractNum w:abstractNumId="29">
    <w:nsid w:val="75C6C33A"/>
    <w:multiLevelType w:val="hybridMultilevel"/>
    <w:lvl w:ilvl="0">
      <w:lvlJc w:val="left"/>
      <w:lvlText w:val="•"/>
      <w:numFmt w:val="bullet"/>
      <w:start w:val="1"/>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
      <w:numFmt w:val="bullet"/>
      <w:start w:val="1"/>
    </w:lvl>
  </w:abstractNum>
  <w:abstractNum w:abstractNumId="32">
    <w:nsid w:val="520EEDD1"/>
    <w:multiLevelType w:val="hybridMultilevel"/>
    <w:lvl w:ilvl="0">
      <w:lvlJc w:val="left"/>
      <w:lvlText w:val="(%1)"/>
      <w:numFmt w:val="lowerRoman"/>
      <w:start w:val="2"/>
    </w:lvl>
  </w:abstractNum>
  <w:abstractNum w:abstractNumId="33">
    <w:nsid w:val="374A3FE6"/>
    <w:multiLevelType w:val="hybridMultilevel"/>
    <w:lvl w:ilvl="0">
      <w:lvlJc w:val="left"/>
      <w:lvlText w:val="(%1)"/>
      <w:numFmt w:val="decimal"/>
      <w:start w:val="1"/>
    </w:lvl>
  </w:abstractNum>
  <w:abstractNum w:abstractNumId="34">
    <w:nsid w:val="4F4EF005"/>
    <w:multiLevelType w:val="hybridMultilevel"/>
    <w:lvl w:ilvl="0">
      <w:lvlJc w:val="left"/>
      <w:lvlText w:val="(%1)"/>
      <w:numFmt w:val="lowerRoman"/>
      <w:start w:val="3"/>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
      <w:numFmt w:val="bullet"/>
      <w:start w:val="1"/>
    </w:lvl>
  </w:abstractNum>
  <w:abstractNum w:abstractNumId="37">
    <w:nsid w:val="275AC794"/>
    <w:multiLevelType w:val="hybridMultilevel"/>
    <w:lvl w:ilvl="0">
      <w:lvlJc w:val="left"/>
      <w:lvlText w:val="•"/>
      <w:numFmt w:val="bullet"/>
      <w:start w:val="1"/>
    </w:lvl>
  </w:abstractNum>
  <w:abstractNum w:abstractNumId="38">
    <w:nsid w:val="39386575"/>
    <w:multiLevelType w:val="hybridMultilevel"/>
    <w:lvl w:ilvl="0">
      <w:lvlJc w:val="left"/>
      <w:lvlText w:val="•"/>
      <w:numFmt w:val="bullet"/>
      <w:start w:val="1"/>
    </w:lvl>
  </w:abstractNum>
  <w:abstractNum w:abstractNumId="39">
    <w:nsid w:val="1CF10FD8"/>
    <w:multiLevelType w:val="hybridMultilevel"/>
    <w:lvl w:ilvl="0">
      <w:lvlJc w:val="left"/>
      <w:lvlText w:val="•"/>
      <w:numFmt w:val="bullet"/>
      <w:start w:val="1"/>
    </w:lvl>
  </w:abstractNum>
  <w:abstractNum w:abstractNumId="40">
    <w:nsid w:val="180115BE"/>
    <w:multiLevelType w:val="hybridMultilevel"/>
    <w:lvl w:ilvl="0">
      <w:lvlJc w:val="left"/>
      <w:lvlText w:val="•"/>
      <w:numFmt w:val="bullet"/>
      <w:start w:val="1"/>
    </w:lvl>
  </w:abstractNum>
  <w:abstractNum w:abstractNumId="41">
    <w:nsid w:val="235BA861"/>
    <w:multiLevelType w:val="hybridMultilevel"/>
    <w:lvl w:ilvl="0">
      <w:lvlJc w:val="left"/>
      <w:lvlText w:val="•"/>
      <w:numFmt w:val="bullet"/>
      <w:start w:val="1"/>
    </w:lvl>
  </w:abstractNum>
  <w:abstractNum w:abstractNumId="42">
    <w:nsid w:val="47398C89"/>
    <w:multiLevelType w:val="hybridMultilevel"/>
    <w:lvl w:ilvl="0">
      <w:lvlJc w:val="left"/>
      <w:lvlText w:val="•"/>
      <w:numFmt w:val="bullet"/>
      <w:start w:val="1"/>
    </w:lvl>
  </w:abstractNum>
  <w:abstractNum w:abstractNumId="43">
    <w:nsid w:val="354FE9F9"/>
    <w:multiLevelType w:val="hybridMultilevel"/>
    <w:lvl w:ilvl="0">
      <w:lvlJc w:val="left"/>
      <w:lvlText w:val="(%1)"/>
      <w:numFmt w:val="decimal"/>
      <w:start w:val="1"/>
    </w:lvl>
  </w:abstractNum>
  <w:abstractNum w:abstractNumId="44">
    <w:nsid w:val="15B5AF5C"/>
    <w:multiLevelType w:val="hybridMultilevel"/>
    <w:lvl w:ilvl="0">
      <w:lvlJc w:val="left"/>
      <w:lvlText w:val="(%1)"/>
      <w:numFmt w:val="decimal"/>
      <w:start w:val="1"/>
    </w:lvl>
  </w:abstractNum>
  <w:abstractNum w:abstractNumId="45">
    <w:nsid w:val="741226BB"/>
    <w:multiLevelType w:val="hybridMultilevel"/>
    <w:lvl w:ilvl="0">
      <w:lvlJc w:val="left"/>
      <w:lvlText w:val="(%1)"/>
      <w:numFmt w:val="decimal"/>
      <w:start w:val="1"/>
    </w:lvl>
  </w:abstractNum>
  <w:abstractNum w:abstractNumId="46">
    <w:nsid w:val="D34B6A8"/>
    <w:multiLevelType w:val="hybridMultilevel"/>
    <w:lvl w:ilvl="0">
      <w:lvlJc w:val="left"/>
      <w:lvlText w:val="(%1)"/>
      <w:numFmt w:val="decimal"/>
      <w:start w:val="1"/>
    </w:lvl>
  </w:abstractNum>
  <w:abstractNum w:abstractNumId="47">
    <w:nsid w:val="10233C99"/>
    <w:multiLevelType w:val="hybridMultilevel"/>
    <w:lvl w:ilvl="0">
      <w:lvlJc w:val="left"/>
      <w:lvlText w:val="(%1)"/>
      <w:numFmt w:val="lowerLetter"/>
      <w:start w:val="2"/>
    </w:lvl>
  </w:abstractNum>
  <w:abstractNum w:abstractNumId="48">
    <w:nsid w:val="3F6AB60F"/>
    <w:multiLevelType w:val="hybridMultilevel"/>
    <w:lvl w:ilvl="0">
      <w:lvlJc w:val="left"/>
      <w:lvlText w:val="(%1)"/>
      <w:numFmt w:val="lowerLetter"/>
      <w:start w:val="1"/>
    </w:lvl>
  </w:abstractNum>
  <w:abstractNum w:abstractNumId="49">
    <w:nsid w:val="61574095"/>
    <w:multiLevelType w:val="hybridMultilevel"/>
    <w:lvl w:ilvl="0">
      <w:lvlJc w:val="left"/>
      <w:lvlText w:val="(%1)"/>
      <w:numFmt w:val="decimal"/>
      <w:start w:val="1"/>
    </w:lvl>
  </w:abstractNum>
  <w:abstractNum w:abstractNumId="50">
    <w:nsid w:val="7E0C57B1"/>
    <w:multiLevelType w:val="hybridMultilevel"/>
    <w:lvl w:ilvl="0">
      <w:lvlJc w:val="left"/>
      <w:lvlText w:val="%1."/>
      <w:numFmt w:val="upperLetter"/>
      <w:start w:val="2"/>
    </w:lvl>
  </w:abstractNum>
  <w:abstractNum w:abstractNumId="51">
    <w:nsid w:val="77AE35EB"/>
    <w:multiLevelType w:val="hybridMultilevel"/>
    <w:lvl w:ilvl="0">
      <w:lvlJc w:val="left"/>
      <w:lvlText w:val="%1."/>
      <w:numFmt w:val="upperLetter"/>
      <w:start w:val="3"/>
    </w:lvl>
  </w:abstractNum>
  <w:abstractNum w:abstractNumId="52">
    <w:nsid w:val="579BE4F1"/>
    <w:multiLevelType w:val="hybridMultilevel"/>
    <w:lvl w:ilvl="0">
      <w:lvlJc w:val="left"/>
      <w:lvlText w:val="%1."/>
      <w:numFmt w:val="upperLetter"/>
      <w:start w:val="4"/>
    </w:lvl>
  </w:abstractNum>
  <w:abstractNum w:abstractNumId="53">
    <w:nsid w:val="310C50B3"/>
    <w:multiLevelType w:val="hybridMultilevel"/>
    <w:lvl w:ilvl="0">
      <w:lvlJc w:val="left"/>
      <w:lvlText w:val="(%1)"/>
      <w:numFmt w:val="decimal"/>
      <w:start w:val="1"/>
    </w:lvl>
  </w:abstractNum>
  <w:abstractNum w:abstractNumId="54">
    <w:nsid w:val="5FF87E05"/>
    <w:multiLevelType w:val="hybridMultilevel"/>
    <w:lvl w:ilvl="0">
      <w:lvlJc w:val="left"/>
      <w:lvlText w:val="(%1)"/>
      <w:numFmt w:val="decimal"/>
      <w:start w:val="1"/>
    </w:lvl>
  </w:abstractNum>
  <w:abstractNum w:abstractNumId="55">
    <w:nsid w:val="2F305DEF"/>
    <w:multiLevelType w:val="hybridMultilevel"/>
    <w:lvl w:ilvl="0">
      <w:lvlJc w:val="left"/>
      <w:lvlText w:val="(%1)"/>
      <w:numFmt w:val="lowerLetter"/>
      <w:start w:val="1"/>
    </w:lvl>
  </w:abstractNum>
  <w:abstractNum w:abstractNumId="56">
    <w:nsid w:val="25A70BF7"/>
    <w:multiLevelType w:val="hybridMultilevel"/>
    <w:lvl w:ilvl="0">
      <w:lvlJc w:val="left"/>
      <w:lvlText w:val="(%1)"/>
      <w:numFmt w:val="lowerLetter"/>
      <w:start w:val="1"/>
    </w:lvl>
    <w:lvl w:ilvl="1">
      <w:lvlJc w:val="left"/>
      <w:lvlText w:val="(%2)"/>
      <w:numFmt w:val="lowerRoman"/>
      <w:start w:val="1"/>
    </w:lvl>
  </w:abstractNum>
  <w:abstractNum w:abstractNumId="57">
    <w:nsid w:val="1DBABF00"/>
    <w:multiLevelType w:val="hybridMultilevel"/>
    <w:lvl w:ilvl="0">
      <w:lvlJc w:val="left"/>
      <w:lvlText w:val="%1"/>
      <w:numFmt w:val="lowerLetter"/>
      <w:start w:val="1"/>
    </w:lvl>
    <w:lvl w:ilvl="1">
      <w:lvlJc w:val="left"/>
      <w:lvlText w:val="(%2)"/>
      <w:numFmt w:val="lowerRoman"/>
      <w:start w:val="3"/>
    </w:lvl>
  </w:abstractNum>
  <w:abstractNum w:abstractNumId="58">
    <w:nsid w:val="4AD084E9"/>
    <w:multiLevelType w:val="hybridMultilevel"/>
    <w:lvl w:ilvl="0">
      <w:lvlJc w:val="left"/>
      <w:lvlText w:val="(%1)"/>
      <w:numFmt w:val="lowerLetter"/>
      <w:start w:val="2"/>
    </w:lvl>
    <w:lvl w:ilvl="1">
      <w:lvlJc w:val="left"/>
      <w:lvlText w:val="%2"/>
      <w:numFmt w:val="lowerRoman"/>
      <w:start w:val="1"/>
    </w:lvl>
  </w:abstractNum>
  <w:abstractNum w:abstractNumId="59">
    <w:nsid w:val="1F48EAA1"/>
    <w:multiLevelType w:val="hybridMultilevel"/>
    <w:lvl w:ilvl="0">
      <w:lvlJc w:val="left"/>
      <w:lvlText w:val="(%1)"/>
      <w:numFmt w:val="lowerLetter"/>
      <w:start w:val="4"/>
    </w:lvl>
  </w:abstractNum>
  <w:abstractNum w:abstractNumId="60">
    <w:nsid w:val="1381823A"/>
    <w:multiLevelType w:val="hybridMultilevel"/>
    <w:lvl w:ilvl="0">
      <w:lvlJc w:val="left"/>
      <w:lvlText w:val="(%1)"/>
      <w:numFmt w:val="lowerLetter"/>
      <w:start w:val="1"/>
    </w:lvl>
  </w:abstractNum>
  <w:abstractNum w:abstractNumId="61">
    <w:nsid w:val="5DB70AE5"/>
    <w:multiLevelType w:val="hybridMultilevel"/>
    <w:lvl w:ilvl="0">
      <w:lvlJc w:val="left"/>
      <w:lvlText w:val="(%1)"/>
      <w:numFmt w:val="lowerLetter"/>
      <w:start w:val="1"/>
    </w:lvl>
  </w:abstractNum>
  <w:abstractNum w:abstractNumId="62">
    <w:nsid w:val="100F8FCA"/>
    <w:multiLevelType w:val="hybridMultilevel"/>
    <w:lvl w:ilvl="0">
      <w:lvlJc w:val="left"/>
      <w:lvlText w:val="(%1)"/>
      <w:numFmt w:val="lowerLetter"/>
      <w:start w:val="4"/>
    </w:lvl>
  </w:abstractNum>
  <w:abstractNum w:abstractNumId="63">
    <w:nsid w:val="6590700B"/>
    <w:multiLevelType w:val="hybridMultilevel"/>
    <w:lvl w:ilvl="0">
      <w:lvlJc w:val="left"/>
      <w:lvlText w:val="(%1)"/>
      <w:numFmt w:val="lowerLetter"/>
      <w:start w:val="1"/>
    </w:lvl>
  </w:abstractNum>
  <w:abstractNum w:abstractNumId="64">
    <w:nsid w:val="15014ACB"/>
    <w:multiLevelType w:val="hybridMultilevel"/>
    <w:lvl w:ilvl="0">
      <w:lvlJc w:val="left"/>
      <w:lvlText w:val="(%1)"/>
      <w:numFmt w:val="lowerLetter"/>
      <w:start w:val="1"/>
    </w:lvl>
    <w:lvl w:ilvl="1">
      <w:lvlJc w:val="left"/>
      <w:lvlText w:val="(%2)"/>
      <w:numFmt w:val="lowerRoman"/>
      <w:start w:val="1"/>
    </w:lvl>
  </w:abstractNum>
  <w:abstractNum w:abstractNumId="65">
    <w:nsid w:val="5F5E7FD0"/>
    <w:multiLevelType w:val="hybridMultilevel"/>
    <w:lvl w:ilvl="0">
      <w:lvlJc w:val="left"/>
      <w:lvlText w:val="(%1)"/>
      <w:numFmt w:val="lowerLetter"/>
      <w:start w:val="3"/>
    </w:lvl>
  </w:abstractNum>
  <w:abstractNum w:abstractNumId="66">
    <w:nsid w:val="98A3148"/>
    <w:multiLevelType w:val="hybridMultilevel"/>
    <w:lvl w:ilvl="0">
      <w:lvlJc w:val="left"/>
      <w:lvlText w:val="(%1)"/>
      <w:numFmt w:val="lowerLetter"/>
      <w:start w:val="4"/>
    </w:lvl>
  </w:abstractNum>
  <w:abstractNum w:abstractNumId="67">
    <w:nsid w:val="799D0247"/>
    <w:multiLevelType w:val="hybridMultilevel"/>
    <w:lvl w:ilvl="0">
      <w:lvlJc w:val="left"/>
      <w:lvlText w:val="(%1)"/>
      <w:numFmt w:val="lowerLetter"/>
      <w:start w:val="1"/>
    </w:lvl>
  </w:abstractNum>
  <w:abstractNum w:abstractNumId="68">
    <w:nsid w:val="6B94764"/>
    <w:multiLevelType w:val="hybridMultilevel"/>
    <w:lvl w:ilvl="0">
      <w:lvlJc w:val="left"/>
      <w:lvlText w:val="(%1)"/>
      <w:numFmt w:val="lowerLetter"/>
      <w:start w:val="1"/>
    </w:lvl>
  </w:abstractNum>
  <w:abstractNum w:abstractNumId="69">
    <w:nsid w:val="42C296BD"/>
    <w:multiLevelType w:val="hybridMultilevel"/>
    <w:lvl w:ilvl="0">
      <w:lvlJc w:val="left"/>
      <w:lvlText w:val="(%1)"/>
      <w:numFmt w:val="lowerLetter"/>
      <w:start w:val="4"/>
    </w:lvl>
  </w:abstractNum>
  <w:abstractNum w:abstractNumId="70">
    <w:nsid w:val="168E121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1">
    <w:nsid w:val="1EBA5D2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2">
    <w:nsid w:val="661E3F1E"/>
    <w:multiLevelType w:val="hybridMultilevel"/>
    <w:lvl w:ilvl="0">
      <w:lvlJc w:val="left"/>
      <w:lvlText w:val="%1."/>
      <w:numFmt w:val="decimal"/>
      <w:start w:val="1"/>
    </w:lvl>
  </w:abstractNum>
  <w:abstractNum w:abstractNumId="73">
    <w:nsid w:val="5DC79E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2019-12-29T17:57:24Z</dcterms:created>
  <dcterms:modified xsi:type="dcterms:W3CDTF">2019-12-29T17:57:24Z</dcterms:modified>
</cp:coreProperties>
</file>