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2023</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r>
      <w:tr>
        <w:trPr>
          <w:trHeight w:val="35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40" w:type="dxa"/>
            <w:vAlign w:val="bottom"/>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Current Report on Form 8-K/A (this “Current Report”) amends the Current Report on Form 8-K filed by Fidelity National Financial, Inc. (the “Company,” “FNF,” “we” or “our”) with the Securities and Exchange Commission (the “SEC”) on November 21, 2023 (the “Original Report”).</w:t>
      </w:r>
    </w:p>
    <w:p>
      <w:pPr>
        <w:spacing w:after="0" w:line="7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On November 19, 2023, the Company became aware of a cybersecurity incident that impacted certain of our systems. We promptly commenced an investigation, retained leading experts to assist the Company, notified law enforcement authorities, regulatory authorities and other stakeholders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followed our incident response plans. In addition, we took containment measures such as blocking access to certain of our systems resulting in varying</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levels of disruption to our businesses. The incident was contained on November 26, 2023. The Company is restoring normal business operations and is coordinating with its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assess the impact of the incident and whether the incident may have a material impact on the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and the Private Securities Litigation Reform Act of 1995 that involve risk and uncertainties. These forward-looking statements are based on our current beliefs, understandings and expectations and may relate to, among other things, statements regarding our current beliefs, understanding and expectations regarding this incident and its impact on our business, operations and financial results. These forward-looking statements are neither promises nor guarantees, but are subject to a variety of risks and uncertainties, many of which are beyond our control, which could cause actual results to differ materially from those contemplated in these forward-looking statements. Factors that could cause actual results to differ materially from those expressed or implied include legal, regulatory, reputational, operational, and financial risks resulting from this incident, our ongoing investigation of the incident, including the Company’s potential discovery of additional information related to the incident in connection with this investigation, any potential customer and regulatory inquiries and/or litigation to which the Company may become subject in connection with this incident, the extent of remediation and other additional costs that may be incurred by the Company in connection with this incident, the extent of insurance coverage and contractual indemnification, and the risks set forth in our Annual Report on Form 10-K for the year ended December 31, 2022, filed with the Securities and Exchange Commission on February 27, 2023, and our other filings with the Securities and Exchange Commission. The Company undertakes no obligation to revise or update any forward-looking statements,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1737995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78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29, 2023</w:t>
            </w:r>
          </w:p>
        </w:tc>
        <w:tc>
          <w:tcPr>
            <w:tcW w:w="5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18"/>
        </w:trPr>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1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34"/>
        </w:trPr>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0480"/>
      </w:cols>
      <w:pgMar w:left="58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2023-11-30T05:12:50Z</dcterms:created>
  <dcterms:modified xsi:type="dcterms:W3CDTF">2023-11-30T05:12:50Z</dcterms:modified>
</cp:coreProperties>
</file>