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2320" w:right="1080" w:hanging="1144"/>
        <w:spacing w:after="0" w:line="282"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263"/>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227"/>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right="20" w:firstLine="25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4"/>
          <w:szCs w:val="24"/>
          <w:color w:val="auto"/>
        </w:rPr>
      </w:pPr>
    </w:p>
    <w:p>
      <w:pPr>
        <w:ind w:left="40"/>
        <w:spacing w:after="0" w:line="207" w:lineRule="exact"/>
        <w:tabs>
          <w:tab w:leader="none" w:pos="3280" w:val="left"/>
          <w:tab w:leader="none" w:pos="59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96"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reporting company)</w:t>
      </w:r>
    </w:p>
    <w:p>
      <w:pPr>
        <w:spacing w:after="0" w:line="22" w:lineRule="exact"/>
        <w:rPr>
          <w:sz w:val="24"/>
          <w:szCs w:val="24"/>
          <w:color w:val="auto"/>
        </w:rPr>
      </w:pPr>
    </w:p>
    <w:p>
      <w:pPr>
        <w:ind w:left="1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YES o NO R</w:t>
      </w:r>
    </w:p>
    <w:p>
      <w:pPr>
        <w:spacing w:after="0" w:line="103" w:lineRule="exact"/>
        <w:rPr>
          <w:sz w:val="24"/>
          <w:szCs w:val="24"/>
          <w:color w:val="auto"/>
        </w:rPr>
      </w:pPr>
    </w:p>
    <w:p>
      <w:pPr>
        <w:ind w:left="220"/>
        <w:spacing w:after="0"/>
        <w:rPr>
          <w:sz w:val="20"/>
          <w:szCs w:val="20"/>
          <w:color w:val="auto"/>
        </w:rPr>
      </w:pPr>
      <w:r>
        <w:rPr>
          <w:rFonts w:ascii="Arial" w:cs="Arial" w:eastAsia="Arial" w:hAnsi="Arial"/>
          <w:sz w:val="18"/>
          <w:szCs w:val="18"/>
          <w:color w:val="auto"/>
        </w:rPr>
        <w:t>As of April 30, 2014, there were 276,850,108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March 31,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6"/>
          </w:tcPr>
          <w:p>
            <w:pPr>
              <w:spacing w:after="0" w:line="202"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FINANCIAL INFORMATION</w:t>
              </w:r>
            </w:hyperlink>
          </w:p>
        </w:tc>
        <w:tc>
          <w:tcPr>
            <w:tcW w:w="750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March 31, 2014 and December 31, 2013</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8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B. Condensed Consolidated Statements of Operations for the three-month periods ended March 31, 2014 and 2013</w:t>
              </w:r>
            </w:hyperlink>
          </w:p>
        </w:tc>
        <w:tc>
          <w:tcPr>
            <w:tcW w:w="146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2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 Condensed Consolidated Statements of Comprehensive Earnings for the three-month periods ended March 31, 2014 and 2013</w:t>
              </w:r>
            </w:hyperlink>
          </w:p>
        </w:tc>
        <w:tc>
          <w:tcPr>
            <w:tcW w:w="44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D. Condensed Consolidated Statement of Equity for the three-month period ended March 31, 2014</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83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E. Condensed Consolidated Statements of Cash Flows for the three-month periods ended March 31, 2014 and 2013</w:t>
              </w:r>
            </w:hyperlink>
          </w:p>
        </w:tc>
        <w:tc>
          <w:tcPr>
            <w:tcW w:w="142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1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F. Notes to Condensed Consolidated Financial Statements</w:t>
              </w:r>
            </w:hyperlink>
          </w:p>
        </w:tc>
        <w:tc>
          <w:tcPr>
            <w:tcW w:w="5560" w:type="dxa"/>
            <w:vAlign w:val="bottom"/>
            <w:gridSpan w:val="9"/>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9"/>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Item 3. Quantitative and Qualitative Disclosure About Market Risk</w:t>
              </w:r>
            </w:hyperlink>
          </w:p>
        </w:tc>
        <w:tc>
          <w:tcPr>
            <w:tcW w:w="2160" w:type="dxa"/>
            <w:vAlign w:val="bottom"/>
            <w:gridSpan w:val="3"/>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4.</w:t>
              </w:r>
            </w:hyperlink>
          </w:p>
        </w:tc>
        <w:tc>
          <w:tcPr>
            <w:tcW w:w="4320" w:type="dxa"/>
            <w:vAlign w:val="bottom"/>
            <w:gridSpan w:val="8"/>
          </w:tcPr>
          <w:p>
            <w:pPr>
              <w:ind w:left="20"/>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488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1.</w:t>
              </w:r>
            </w:hyperlink>
          </w:p>
        </w:tc>
        <w:tc>
          <w:tcPr>
            <w:tcW w:w="1360" w:type="dxa"/>
            <w:vAlign w:val="bottom"/>
            <w:tcBorders>
              <w:top w:val="single" w:sz="8" w:color="0000FF"/>
            </w:tcBorders>
            <w:gridSpan w:val="2"/>
          </w:tcPr>
          <w:p>
            <w:pPr>
              <w:ind w:left="20"/>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2.</w:t>
              </w:r>
            </w:hyperlink>
          </w:p>
        </w:tc>
        <w:tc>
          <w:tcPr>
            <w:tcW w:w="4380" w:type="dxa"/>
            <w:vAlign w:val="bottom"/>
            <w:gridSpan w:val="9"/>
          </w:tcPr>
          <w:p>
            <w:pPr>
              <w:ind w:left="2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Unregistered Sales of Equity Securities and Use of Proceeds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44</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6.</w:t>
              </w:r>
            </w:hyperlink>
          </w:p>
        </w:tc>
        <w:tc>
          <w:tcPr>
            <w:tcW w:w="4380" w:type="dxa"/>
            <w:vAlign w:val="bottom"/>
            <w:gridSpan w:val="9"/>
          </w:tcPr>
          <w:p>
            <w:pPr>
              <w:ind w:left="20"/>
              <w:spacing w:after="0"/>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77"/>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57"/>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77"/>
              <w:spacing w:after="0"/>
              <w:rPr>
                <w:sz w:val="20"/>
                <w:szCs w:val="20"/>
                <w:color w:val="auto"/>
              </w:rPr>
            </w:pPr>
            <w:r>
              <w:rPr>
                <w:rFonts w:ascii="Arial" w:cs="Arial" w:eastAsia="Arial" w:hAnsi="Arial"/>
                <w:sz w:val="14"/>
                <w:szCs w:val="14"/>
                <w:color w:val="auto"/>
                <w:w w:val="94"/>
              </w:rPr>
              <w:t>(Dollars in millions, except share data)</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(Unaudited)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shd w:val="clear" w:color="auto" w:fill="CCEEFF"/>
          </w:tcPr>
          <w:p>
            <w:pPr>
              <w:jc w:val="center"/>
              <w:ind w:left="977"/>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Investments: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4"/>
              </w:rPr>
              <w:t>Fixed maturity securities available for sale, at fair value, at March 31, 2014 and December 31, 2013 includes pledged fixed maturity</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securities of $343 and $261, respectively, related to secured trust deposits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3,086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stock available for sale, at fair value</w:t>
            </w:r>
          </w:p>
        </w:tc>
        <w:tc>
          <w:tcPr>
            <w:tcW w:w="1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available for sale,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3,791</w:t>
            </w:r>
          </w:p>
        </w:tc>
        <w:tc>
          <w:tcPr>
            <w:tcW w:w="0" w:type="dxa"/>
            <w:vAlign w:val="bottom"/>
          </w:tcPr>
          <w:p>
            <w:pPr>
              <w:spacing w:after="0"/>
              <w:rPr>
                <w:sz w:val="1"/>
                <w:szCs w:val="1"/>
                <w:color w:val="auto"/>
              </w:rPr>
            </w:pPr>
          </w:p>
        </w:tc>
      </w:tr>
      <w:tr>
        <w:trPr>
          <w:trHeight w:val="220"/>
        </w:trPr>
        <w:tc>
          <w:tcPr>
            <w:tcW w:w="9020" w:type="dxa"/>
            <w:vAlign w:val="bottom"/>
            <w:gridSpan w:val="3"/>
          </w:tcPr>
          <w:p>
            <w:pPr>
              <w:ind w:left="40"/>
              <w:spacing w:after="0"/>
              <w:rPr>
                <w:sz w:val="20"/>
                <w:szCs w:val="20"/>
                <w:color w:val="auto"/>
              </w:rPr>
            </w:pPr>
            <w:r>
              <w:rPr>
                <w:rFonts w:ascii="Arial" w:cs="Arial" w:eastAsia="Arial" w:hAnsi="Arial"/>
                <w:sz w:val="16"/>
                <w:szCs w:val="16"/>
                <w:color w:val="auto"/>
                <w:w w:val="92"/>
              </w:rPr>
              <w:t>Cash and cash equivalents, at March 31, 2014 and December 31, 2013 includes $101 and $339, respectively, of pledged cash related to</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secured trust deposits</w:t>
            </w:r>
          </w:p>
        </w:tc>
        <w:tc>
          <w:tcPr>
            <w:tcW w:w="1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1,969</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$23 and $21, at March 31, 2014 and December 31, 2013,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4,709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1,901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Capitalized software, net</w:t>
            </w:r>
          </w:p>
        </w:tc>
        <w:tc>
          <w:tcPr>
            <w:tcW w:w="1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Title plants</w:t>
            </w:r>
          </w:p>
        </w:tc>
        <w:tc>
          <w:tcPr>
            <w:tcW w:w="1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14,687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10,524</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spacing w:after="0" w:line="20" w:lineRule="exact"/>
              <w:rPr>
                <w:sz w:val="1"/>
                <w:szCs w:val="1"/>
                <w:color w:val="auto"/>
              </w:rPr>
            </w:pPr>
          </w:p>
        </w:tc>
        <w:tc>
          <w:tcPr>
            <w:tcW w:w="7660" w:type="dxa"/>
            <w:vAlign w:val="bottom"/>
            <w:tcBorders>
              <w:top w:val="single" w:sz="8" w:color="CCEEFF"/>
              <w:bottom w:val="single" w:sz="8" w:color="CCEEFF"/>
            </w:tcBorders>
            <w:vMerge w:val="restart"/>
          </w:tcPr>
          <w:p>
            <w:pPr>
              <w:jc w:val="center"/>
              <w:ind w:left="957"/>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Accounts payable and accrued liabilities, at December 31, 2013 includes accounts payable to related parties of $3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Reserve for title claim losses</w:t>
            </w:r>
          </w:p>
        </w:tc>
        <w:tc>
          <w:tcPr>
            <w:tcW w:w="1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Secured trust deposits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4,982</w:t>
            </w:r>
          </w:p>
        </w:tc>
        <w:tc>
          <w:tcPr>
            <w:tcW w:w="0" w:type="dxa"/>
            <w:vAlign w:val="bottom"/>
          </w:tcPr>
          <w:p>
            <w:pPr>
              <w:spacing w:after="0"/>
              <w:rPr>
                <w:sz w:val="1"/>
                <w:szCs w:val="1"/>
                <w:color w:val="auto"/>
              </w:rPr>
            </w:pPr>
          </w:p>
        </w:tc>
      </w:tr>
      <w:tr>
        <w:trPr>
          <w:trHeight w:val="231"/>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Commitments and Contingencies: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Redeemable non-controlling interest by 35% minority holder of Black Knight Financial Services, LLC and ServiceLink, LLC</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0" w:type="dxa"/>
            <w:vAlign w:val="bottom"/>
          </w:tcPr>
          <w:p>
            <w:pPr>
              <w:ind w:left="40"/>
              <w:spacing w:after="0"/>
              <w:rPr>
                <w:sz w:val="20"/>
                <w:szCs w:val="20"/>
                <w:color w:val="auto"/>
              </w:rPr>
            </w:pPr>
            <w:r>
              <w:rPr>
                <w:rFonts w:ascii="Arial" w:cs="Arial" w:eastAsia="Arial" w:hAnsi="Arial"/>
                <w:sz w:val="16"/>
                <w:szCs w:val="16"/>
                <w:color w:val="auto"/>
                <w:w w:val="98"/>
              </w:rPr>
              <w:t>Equity:</w:t>
            </w:r>
          </w:p>
        </w:tc>
        <w:tc>
          <w:tcPr>
            <w:tcW w:w="8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4"/>
              </w:rPr>
              <w:t>Common stock, Class A, $0.0001 par value; authorized 600,000,000 shares as of March 31, 2014 and December 31, 2013; issued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318,732,813 as of March 31, 2014 and 292,289,166 as of December 31, 2013</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Less: treasury stock, 41,948,518 shares as of March 31, 2014 and December 31, 2013, respectively, at cost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5,542</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14,687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10,524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08" w:right="239" w:bottom="92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921"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w:t>
      </w:r>
    </w:p>
    <w:p>
      <w:pPr>
        <w:spacing w:after="0" w:line="148"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9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480" w:type="dxa"/>
            <w:vAlign w:val="bottom"/>
          </w:tcPr>
          <w:p>
            <w:pPr>
              <w:ind w:left="280"/>
              <w:spacing w:after="0"/>
              <w:rPr>
                <w:sz w:val="20"/>
                <w:szCs w:val="20"/>
                <w:color w:val="auto"/>
              </w:rPr>
            </w:pPr>
            <w:r>
              <w:rPr>
                <w:rFonts w:ascii="Arial" w:cs="Arial" w:eastAsia="Arial" w:hAnsi="Arial"/>
                <w:sz w:val="14"/>
                <w:szCs w:val="14"/>
                <w:color w:val="auto"/>
              </w:rPr>
              <w:t>Direct title insurance premiums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76"/>
        </w:trPr>
        <w:tc>
          <w:tcPr>
            <w:tcW w:w="9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Agency title insurance premiums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264"/>
        </w:trPr>
        <w:tc>
          <w:tcPr>
            <w:tcW w:w="9480" w:type="dxa"/>
            <w:vAlign w:val="bottom"/>
          </w:tcPr>
          <w:p>
            <w:pPr>
              <w:ind w:left="280"/>
              <w:spacing w:after="0"/>
              <w:rPr>
                <w:sz w:val="20"/>
                <w:szCs w:val="20"/>
                <w:color w:val="auto"/>
              </w:rPr>
            </w:pPr>
            <w:r>
              <w:rPr>
                <w:rFonts w:ascii="Arial" w:cs="Arial" w:eastAsia="Arial" w:hAnsi="Arial"/>
                <w:sz w:val="14"/>
                <w:szCs w:val="14"/>
                <w:color w:val="auto"/>
              </w:rPr>
              <w:t>Escrow, title related and other fees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276"/>
        </w:trPr>
        <w:tc>
          <w:tcPr>
            <w:tcW w:w="9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Restaurant revenue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64"/>
        </w:trPr>
        <w:tc>
          <w:tcPr>
            <w:tcW w:w="9480" w:type="dxa"/>
            <w:vAlign w:val="bottom"/>
          </w:tcPr>
          <w:p>
            <w:pPr>
              <w:ind w:left="280"/>
              <w:spacing w:after="0"/>
              <w:rPr>
                <w:sz w:val="20"/>
                <w:szCs w:val="20"/>
                <w:color w:val="auto"/>
              </w:rPr>
            </w:pPr>
            <w:r>
              <w:rPr>
                <w:rFonts w:ascii="Arial" w:cs="Arial" w:eastAsia="Arial" w:hAnsi="Arial"/>
                <w:sz w:val="14"/>
                <w:szCs w:val="14"/>
                <w:color w:val="auto"/>
              </w:rPr>
              <w:t>Auto parts revenue</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76"/>
        </w:trPr>
        <w:tc>
          <w:tcPr>
            <w:tcW w:w="9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and investment income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64"/>
        </w:trPr>
        <w:tc>
          <w:tcPr>
            <w:tcW w:w="94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Realized gains and losses, net</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6"/>
        </w:trPr>
        <w:tc>
          <w:tcPr>
            <w:tcW w:w="94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revenues</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264"/>
        </w:trPr>
        <w:tc>
          <w:tcPr>
            <w:tcW w:w="9480" w:type="dxa"/>
            <w:vAlign w:val="bottom"/>
          </w:tcPr>
          <w:p>
            <w:pPr>
              <w:ind w:left="40"/>
              <w:spacing w:after="0"/>
              <w:rPr>
                <w:sz w:val="20"/>
                <w:szCs w:val="20"/>
                <w:color w:val="auto"/>
              </w:rPr>
            </w:pPr>
            <w:r>
              <w:rPr>
                <w:rFonts w:ascii="Arial" w:cs="Arial" w:eastAsia="Arial" w:hAnsi="Arial"/>
                <w:sz w:val="14"/>
                <w:szCs w:val="14"/>
                <w:color w:val="auto"/>
              </w:rPr>
              <w:t>Expenses: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Personnel costs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64"/>
        </w:trPr>
        <w:tc>
          <w:tcPr>
            <w:tcW w:w="9480" w:type="dxa"/>
            <w:vAlign w:val="bottom"/>
          </w:tcPr>
          <w:p>
            <w:pPr>
              <w:ind w:left="280"/>
              <w:spacing w:after="0"/>
              <w:rPr>
                <w:sz w:val="20"/>
                <w:szCs w:val="20"/>
                <w:color w:val="auto"/>
              </w:rPr>
            </w:pPr>
            <w:r>
              <w:rPr>
                <w:rFonts w:ascii="Arial" w:cs="Arial" w:eastAsia="Arial" w:hAnsi="Arial"/>
                <w:sz w:val="14"/>
                <w:szCs w:val="14"/>
                <w:color w:val="auto"/>
              </w:rPr>
              <w:t>Agent commissions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76"/>
        </w:trPr>
        <w:tc>
          <w:tcPr>
            <w:tcW w:w="9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91"/>
        </w:trPr>
        <w:tc>
          <w:tcPr>
            <w:tcW w:w="9480" w:type="dxa"/>
            <w:vAlign w:val="bottom"/>
            <w:vMerge w:val="restart"/>
          </w:tcPr>
          <w:p>
            <w:pPr>
              <w:ind w:left="280"/>
              <w:spacing w:after="0"/>
              <w:rPr>
                <w:sz w:val="20"/>
                <w:szCs w:val="20"/>
                <w:color w:val="auto"/>
              </w:rPr>
            </w:pPr>
            <w:r>
              <w:rPr>
                <w:rFonts w:ascii="Arial" w:cs="Arial" w:eastAsia="Arial" w:hAnsi="Arial"/>
                <w:sz w:val="14"/>
                <w:szCs w:val="14"/>
                <w:color w:val="auto"/>
                <w:w w:val="99"/>
              </w:rPr>
              <w:t>Cost of auto parts revenue, includes $14 and $18 of depreciation and amortization for the three months ended March 31, 2014 and 2013, respectively</w:t>
            </w:r>
          </w:p>
        </w:tc>
        <w:tc>
          <w:tcPr>
            <w:tcW w:w="2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74"/>
        </w:trPr>
        <w:tc>
          <w:tcPr>
            <w:tcW w:w="9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9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restaurant revenue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64"/>
        </w:trPr>
        <w:tc>
          <w:tcPr>
            <w:tcW w:w="948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6"/>
        </w:trPr>
        <w:tc>
          <w:tcPr>
            <w:tcW w:w="9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title claim losses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64"/>
        </w:trPr>
        <w:tc>
          <w:tcPr>
            <w:tcW w:w="94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50"/>
        </w:trPr>
        <w:tc>
          <w:tcPr>
            <w:tcW w:w="94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expenses</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1,904</w:t>
            </w:r>
          </w:p>
        </w:tc>
        <w:tc>
          <w:tcPr>
            <w:tcW w:w="0" w:type="dxa"/>
            <w:vAlign w:val="bottom"/>
          </w:tcPr>
          <w:p>
            <w:pPr>
              <w:spacing w:after="0"/>
              <w:rPr>
                <w:sz w:val="1"/>
                <w:szCs w:val="1"/>
                <w:color w:val="auto"/>
              </w:rPr>
            </w:pPr>
          </w:p>
        </w:tc>
      </w:tr>
      <w:tr>
        <w:trPr>
          <w:trHeight w:val="250"/>
        </w:trPr>
        <w:tc>
          <w:tcPr>
            <w:tcW w:w="9480" w:type="dxa"/>
            <w:vAlign w:val="bottom"/>
          </w:tcPr>
          <w:p>
            <w:pPr>
              <w:ind w:left="40"/>
              <w:spacing w:after="0"/>
              <w:rPr>
                <w:sz w:val="20"/>
                <w:szCs w:val="20"/>
                <w:color w:val="auto"/>
              </w:rPr>
            </w:pPr>
            <w:r>
              <w:rPr>
                <w:rFonts w:ascii="Arial" w:cs="Arial" w:eastAsia="Arial" w:hAnsi="Arial"/>
                <w:sz w:val="14"/>
                <w:szCs w:val="14"/>
                <w:color w:val="auto"/>
              </w:rPr>
              <w:t>(Loss) earnings from continuing operations before income taxes and equity in losses of unconsolidated affiliates</w:t>
            </w:r>
          </w:p>
        </w:tc>
        <w:tc>
          <w:tcPr>
            <w:tcW w:w="2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50"/>
        </w:trPr>
        <w:tc>
          <w:tcPr>
            <w:tcW w:w="9480" w:type="dxa"/>
            <w:vAlign w:val="bottom"/>
          </w:tcPr>
          <w:p>
            <w:pPr>
              <w:ind w:left="40"/>
              <w:spacing w:after="0"/>
              <w:rPr>
                <w:sz w:val="20"/>
                <w:szCs w:val="20"/>
                <w:color w:val="auto"/>
              </w:rPr>
            </w:pPr>
            <w:r>
              <w:rPr>
                <w:rFonts w:ascii="Arial" w:cs="Arial" w:eastAsia="Arial" w:hAnsi="Arial"/>
                <w:sz w:val="14"/>
                <w:szCs w:val="14"/>
                <w:color w:val="auto"/>
              </w:rPr>
              <w:t>(Loss) earnings from continuing operations before equity in losses of unconsolidated affiliates</w:t>
            </w:r>
          </w:p>
        </w:tc>
        <w:tc>
          <w:tcPr>
            <w:tcW w:w="2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affiliates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9480" w:type="dxa"/>
            <w:vAlign w:val="bottom"/>
          </w:tcPr>
          <w:p>
            <w:pPr>
              <w:ind w:left="40"/>
              <w:spacing w:after="0"/>
              <w:rPr>
                <w:sz w:val="20"/>
                <w:szCs w:val="20"/>
                <w:color w:val="auto"/>
              </w:rPr>
            </w:pPr>
            <w:r>
              <w:rPr>
                <w:rFonts w:ascii="Arial" w:cs="Arial" w:eastAsia="Arial" w:hAnsi="Arial"/>
                <w:sz w:val="14"/>
                <w:szCs w:val="14"/>
                <w:color w:val="auto"/>
              </w:rPr>
              <w:t>Net (loss) earnings from continuing operations</w:t>
            </w:r>
          </w:p>
        </w:tc>
        <w:tc>
          <w:tcPr>
            <w:tcW w:w="2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from discontinued operations, net of tax</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9480" w:type="dxa"/>
            <w:vAlign w:val="bottom"/>
          </w:tcPr>
          <w:p>
            <w:pPr>
              <w:ind w:left="40"/>
              <w:spacing w:after="0"/>
              <w:rPr>
                <w:sz w:val="20"/>
                <w:szCs w:val="20"/>
                <w:color w:val="auto"/>
              </w:rPr>
            </w:pPr>
            <w:r>
              <w:rPr>
                <w:rFonts w:ascii="Arial" w:cs="Arial" w:eastAsia="Arial" w:hAnsi="Arial"/>
                <w:sz w:val="14"/>
                <w:szCs w:val="14"/>
                <w:color w:val="auto"/>
              </w:rPr>
              <w:t>Net (loss) earnings</w:t>
            </w: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interests - redeemable and non-redeemable</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9480" w:type="dxa"/>
            <w:vAlign w:val="bottom"/>
          </w:tcPr>
          <w:p>
            <w:pPr>
              <w:ind w:left="440"/>
              <w:spacing w:after="0"/>
              <w:rPr>
                <w:sz w:val="20"/>
                <w:szCs w:val="20"/>
                <w:color w:val="auto"/>
              </w:rPr>
            </w:pPr>
            <w:r>
              <w:rPr>
                <w:rFonts w:ascii="Arial" w:cs="Arial" w:eastAsia="Arial" w:hAnsi="Arial"/>
                <w:sz w:val="14"/>
                <w:szCs w:val="14"/>
                <w:color w:val="auto"/>
              </w:rPr>
              <w:t>Net (loss) earnings attributable to Fidelity National Financial, Inc. common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Basic</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earnings attributable to Fidelity National Financial, Inc. common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51"/>
        </w:trPr>
        <w:tc>
          <w:tcPr>
            <w:tcW w:w="94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Diluted</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earnings attributable to Fidelity National Financial, Inc. common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1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basic basis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shares outstanding, diluted basis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1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dividends paid per share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386"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Unrealized gain on investments and other financial instruments, net (excluding investments in unconsolidated affiliates) (1)</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Unrealized loss on investments in unconsolidated affiliates (2)</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foreign currency translation and cash flow hedging (3)</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Reclassification adjustments for change in unrealized gains and losses included in net earnings (4)</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Minimum pension liability adjustment (5)</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Other comprehensive earnings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earnings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Less: Comprehensive loss attributable to non-controlling interests - redeemable and non-redeemable</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earnings attributable to Fidelity National Financial, Inc.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$5 million and $8 million for the three-month periods ended March 31, 2014 and 2013, respectively.</w:t>
      </w:r>
    </w:p>
    <w:p>
      <w:pPr>
        <w:spacing w:after="0" w:line="171"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$4 million and $5 million for the three-month periods ended March 31, 2014 and 2013, respectively.</w:t>
      </w:r>
    </w:p>
    <w:p>
      <w:pPr>
        <w:spacing w:after="0" w:line="171"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$2 million for the three-month periods ended March 31, 2014 and 2013, respectively.</w:t>
      </w:r>
    </w:p>
    <w:p>
      <w:pPr>
        <w:spacing w:after="0" w:line="171"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less than $1 million for the three-month period ended March 31, 2013.</w:t>
      </w:r>
    </w:p>
    <w:p>
      <w:pPr>
        <w:spacing w:after="0" w:line="171"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less than $1 million for the three-month period ended March 31, 2013.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w w:val="96"/>
              </w:rPr>
              <w:t>Fidelity National Financial, Inc. Common Shareholders</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Redeemable</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4"/>
                <w:szCs w:val="14"/>
                <w:color w:val="auto"/>
              </w:rPr>
            </w:pPr>
          </w:p>
        </w:tc>
        <w:tc>
          <w:tcPr>
            <w:tcW w:w="15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440" w:type="dxa"/>
            <w:vAlign w:val="bottom"/>
            <w:gridSpan w:val="4"/>
            <w:vMerge w:val="restart"/>
          </w:tcPr>
          <w:p>
            <w:pPr>
              <w:jc w:val="right"/>
              <w:ind w:right="159"/>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controlling</w:t>
            </w:r>
          </w:p>
        </w:tc>
        <w:tc>
          <w:tcPr>
            <w:tcW w:w="12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9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1"/>
              </w:rPr>
              <w:t>controlling</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56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4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2"/>
                <w:szCs w:val="22"/>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Earnings (Loss)</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22"/>
                <w:szCs w:val="2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22"/>
                <w:szCs w:val="22"/>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206"/>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w:t>
            </w: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4,642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1,096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5,542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rPr>
              <w:t>Acquisition of Lender</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w w:val="99"/>
              </w:rPr>
              <w:t>Processing Services, Inc.</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w w:val="92"/>
              </w:rPr>
              <w:t>Tax benefit associated with</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6"/>
                <w:szCs w:val="16"/>
                <w:color w:val="auto"/>
              </w:rPr>
              <w:t>the exercise of stock</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options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 unrealized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on investments and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other financial instruments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(excluding investments in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affiliates)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rPr>
              <w:t>Other comprehensive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6"/>
                <w:szCs w:val="16"/>
                <w:color w:val="auto"/>
                <w:w w:val="92"/>
              </w:rPr>
              <w:t>earnings — unrealized loss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6"/>
                <w:szCs w:val="16"/>
                <w:color w:val="auto"/>
              </w:rPr>
              <w:t>on investments in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unconsolidated affiliates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earnings — unrealized loss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on foreign currency</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translation and cash flow</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hedging</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w w:val="92"/>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rPr>
              <w:t>Contribution by minority</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6"/>
                <w:szCs w:val="16"/>
                <w:color w:val="auto"/>
                <w:w w:val="99"/>
              </w:rPr>
              <w:t>owner to acquire minority</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6"/>
                <w:szCs w:val="16"/>
                <w:color w:val="auto"/>
              </w:rPr>
              <w:t>interest in Black Knight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6"/>
                <w:szCs w:val="16"/>
                <w:color w:val="auto"/>
              </w:rPr>
              <w:t>Financial Services, LLC</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and ServiceLink, LLC</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Subsidiary dividends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declared to non-controlling</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March 31, 2014</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6,276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p>
      <w:pPr>
        <w:jc w:val="center"/>
        <w:ind w:left="9520"/>
        <w:spacing w:after="0"/>
        <w:rPr>
          <w:sz w:val="20"/>
          <w:szCs w:val="20"/>
          <w:color w:val="auto"/>
        </w:rPr>
      </w:pPr>
      <w:r>
        <w:rPr>
          <w:rFonts w:ascii="Arial" w:cs="Arial" w:eastAsia="Arial" w:hAnsi="Arial"/>
          <w:sz w:val="16"/>
          <w:szCs w:val="16"/>
          <w:b w:val="1"/>
          <w:bCs w:val="1"/>
          <w:color w:val="auto"/>
        </w:rPr>
        <w:t>For the Three Months</w:t>
      </w:r>
    </w:p>
    <w:p>
      <w:pPr>
        <w:spacing w:after="0" w:line="26" w:lineRule="exact"/>
        <w:rPr>
          <w:sz w:val="20"/>
          <w:szCs w:val="20"/>
          <w:color w:val="auto"/>
        </w:rPr>
      </w:pPr>
    </w:p>
    <w:p>
      <w:pPr>
        <w:jc w:val="center"/>
        <w:ind w:left="9520"/>
        <w:spacing w:after="0"/>
        <w:rPr>
          <w:sz w:val="20"/>
          <w:szCs w:val="20"/>
          <w:color w:val="auto"/>
        </w:rPr>
      </w:pPr>
      <w:r>
        <w:rPr>
          <w:rFonts w:ascii="Arial" w:cs="Arial" w:eastAsia="Arial" w:hAnsi="Arial"/>
          <w:sz w:val="16"/>
          <w:szCs w:val="16"/>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33020</wp:posOffset>
            </wp:positionV>
            <wp:extent cx="1226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(loss) earnings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(loss) earnings to net cash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losses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(Gain) loss on sales of investments and other assets,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Stock-based compensation cost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decrease in pledged cash, pledged investments, and secured trust deposits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decrease in trade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increase in prepaid expenses and other assets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increase (decrease) in reserve for title claim losses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sales of investment securities available for sale</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sale of other assets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 and capitalized software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(purchases of) proceeds from short-term investment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purchases of other long-term investments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 from (contributions to) investments in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other investing activities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Lender Processing Services, Inc.,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Acquisition of USA Industries, Inc., net of cash acquired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Debt service payments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35% of Black Knight Financial Services, LLC and ServiceLink, LLC to minority interest holder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Exercise of stock options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treasury stock</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 excluding pledged cash related to secured trust deposits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40"/>
              <w:spacing w:after="0"/>
              <w:rPr>
                <w:sz w:val="20"/>
                <w:szCs w:val="20"/>
                <w:color w:val="auto"/>
              </w:rPr>
            </w:pPr>
            <w:r>
              <w:rPr>
                <w:rFonts w:ascii="Arial" w:cs="Arial" w:eastAsia="Arial" w:hAnsi="Arial"/>
                <w:sz w:val="16"/>
                <w:szCs w:val="16"/>
                <w:color w:val="auto"/>
              </w:rPr>
              <w:t>Supplemental cash flow information:</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paid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Interest paid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35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354"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This report should be read in conjunction with our Annual Report on Form 10-K for the year ended December 31, 2013.</w:t>
      </w:r>
    </w:p>
    <w:p>
      <w:pPr>
        <w:spacing w:after="0" w:line="79" w:lineRule="exact"/>
        <w:rPr>
          <w:sz w:val="20"/>
          <w:szCs w:val="20"/>
          <w:color w:val="auto"/>
        </w:rPr>
      </w:pPr>
    </w:p>
    <w:p>
      <w:pPr>
        <w:ind w:right="800" w:firstLine="324"/>
        <w:spacing w:after="0" w:line="402" w:lineRule="auto"/>
        <w:rPr>
          <w:sz w:val="20"/>
          <w:szCs w:val="20"/>
          <w:color w:val="auto"/>
        </w:rPr>
      </w:pPr>
      <w:r>
        <w:rPr>
          <w:rFonts w:ascii="Arial" w:cs="Arial" w:eastAsia="Arial" w:hAnsi="Arial"/>
          <w:sz w:val="18"/>
          <w:szCs w:val="18"/>
          <w:color w:val="auto"/>
        </w:rPr>
        <w:t xml:space="preserve">Certain reclassifications have been made in the 2013 Condensed Consolidated Financial Statements to conform to classifications used in 2014. </w:t>
      </w:r>
      <w:r>
        <w:rPr>
          <w:rFonts w:ascii="Arial" w:cs="Arial" w:eastAsia="Arial" w:hAnsi="Arial"/>
          <w:sz w:val="18"/>
          <w:szCs w:val="18"/>
          <w:b w:val="1"/>
          <w:bCs w:val="1"/>
          <w:i w:val="1"/>
          <w:iCs w:val="1"/>
          <w:color w:val="auto"/>
        </w:rPr>
        <w:t>Description of Business</w:t>
      </w:r>
    </w:p>
    <w:p>
      <w:pPr>
        <w:spacing w:after="0" w:line="3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leading provider of title insurance, technology and transaction services to the real estate and mortgage industries. We are the nation’s largest title insurance company through our title insurance underwriters - Fidelity National Title, Chicago Title, Commonwealth Land Title, Alamo Title and National Title of New York - that collectively issue more title insurance policies than any other title company in the United States. We also provide industry-leading mortgage technology solutions and transaction services, including MSP®, the leading residential mortgage servicing technology platform in the U.S., through our majority-owned subsidiaries, Black Knight Financial Services, LLC ("BKFS") and ServiceLink Holdings, LLC ("ServiceLink"). In addition, we own majority and minority equity investment stakes in a number of entities, including American Blue Ribbon Holdings, LLC ("ABRH"), J. Alexander’s, LLC ("J. Alexander's"), Remy International, Inc. ("Remy"), Ceridian HCM, Inc., Comdata Inc. (collectively "Ceridian") and Digital Insurance, Inc. ("Digital Insurance").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 2014, we completed the purchase of Lender Processing Services, Inc. ("LPS"). The purchase consideration paid was $37.14 per share, of which $28.10 per share was paid in cash and the remaining $9.04 was paid in FNF common shares. The purchase consideration represented an exchange ratio of 0.28742 per share of LPS common stock. Total consideration paid for LPS was $3.4 billion, which consisted of $2,248 million in cash, net of cash acquired and $839 million in FNF common stock. In order to pay the stock component of the consideration, we issued 25,920,078 shares to the former LPS shareholders. See Note B for further discussion.</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31, 2014 we announced our plans to form a new tracking stock for Fidelity National Financial Ventures (“FNFV”). As a result, we have decided to begin separately reporting the results of our core operations, which include our Title segment and BKFS, and our FNFV operations, which include Remy, the Restaurant Group, Digital Insurance, our minority equity investment in Ceridian and other smaller operations. We expect to complete the formation of our tracking stock on or about June 30, 2014.</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13, 2014, Remy acquired substantially all of the assets of United Starters and Alternators Industries, Inc. ("USA Industries") pursuant to the terms and conditions of the Asset Purchase Agreement, effective as of January 13, 2014. USA Industries is a leading North American distributor of premium quality re-manufactured and new alternators, starters, constant velocity axles and disc brake calipers for the light-duty aftermarket. Total consideration paid was $40 million, net of cash acquired.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from two closed J. Alexander's locations and a settlement services company closed in the second quarter of 2013 are reflected in the Condensed Consolidated Statements of Operations as discontinued operations for all periods presented. Total revenues included in discontinued operations was $8 million for the three months ending March 31, 2013. Pre-tax earnings included in discontinued operations are $1 million for the three months ended March 31, 2013.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9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we no longer have any shared officers with Fidelity National Information Services, Inc. ("FIS"), effective January 1, 2014, we no longer consider FIS a related party.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FIS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agreements that were in effect with FIS through December 31, 2013 is as follows:</w:t>
      </w:r>
    </w:p>
    <w:p>
      <w:pPr>
        <w:spacing w:after="0" w:line="279"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Technology (“IT”) and data processing services from FIS. This agreement governs IT support services provided to us by FIS, primarily consisting of infrastructure support and data center management. Subject to certain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early termination provisions, the agreement expires on or about June 30, 2014, with an option to renew for one additional year. Certain subsidiaries of FIS also provided technology consulting services to FNF during 2013.</w:t>
      </w:r>
    </w:p>
    <w:p>
      <w:pPr>
        <w:spacing w:after="0" w:line="3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Administrative aviation corporate support and cost-sharing services to FIS.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detail of net revenues and expenses between us and FIS that were included in our results of operations for the periods presented is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Three months ended</w:t>
            </w:r>
          </w:p>
        </w:tc>
      </w:tr>
      <w:tr>
        <w:trPr>
          <w:trHeight w:val="192"/>
        </w:trPr>
        <w:tc>
          <w:tcPr>
            <w:tcW w:w="9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March 31, 2013</w:t>
            </w:r>
          </w:p>
        </w:tc>
      </w:tr>
      <w:tr>
        <w:trPr>
          <w:trHeight w:val="196"/>
        </w:trPr>
        <w:tc>
          <w:tcPr>
            <w:tcW w:w="9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and cost-sharing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Data processing expense</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9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9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amounts earned by us or charged to us under each of the foregoing arrangements are fair and reasonable. The IT infrastructure support and data center management services provided to us are priced within the range of prices that FIS offers to its unaffiliated third party customers for the same types of services. However, the amounts we earned or were charged under these arrangements were not negotiated at arm’s-length, and may not represent the terms that we might have obtained from an unrelated third party. The net amount due to FIS as a result of these agreements was $3 million as of December 31, 2013.</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Included in equity securities available for sale at December 31, 2013, are 1,303,860 shares of FIS stock which were purchased during the fourth quarter of 2009 in connection with a merger between FIS and Metavante Technologies, Inc. The fair value of our investment was $70 million as of December 31, 2013.</w:t>
      </w:r>
    </w:p>
    <w:p>
      <w:pPr>
        <w:spacing w:after="0" w:line="73" w:lineRule="exact"/>
        <w:rPr>
          <w:sz w:val="20"/>
          <w:szCs w:val="20"/>
          <w:color w:val="auto"/>
        </w:rPr>
      </w:pPr>
    </w:p>
    <w:p>
      <w:pPr>
        <w:ind w:right="2220" w:firstLine="324"/>
        <w:spacing w:after="0" w:line="375" w:lineRule="auto"/>
        <w:rPr>
          <w:sz w:val="20"/>
          <w:szCs w:val="20"/>
          <w:color w:val="auto"/>
        </w:rPr>
      </w:pPr>
      <w:r>
        <w:rPr>
          <w:rFonts w:ascii="Arial" w:cs="Arial" w:eastAsia="Arial" w:hAnsi="Arial"/>
          <w:sz w:val="18"/>
          <w:szCs w:val="18"/>
          <w:color w:val="auto"/>
        </w:rPr>
        <w:t xml:space="preserve">Also included in fixed maturities available for sale are FIS bonds with a fair value of $42 million as of December 31, 2013. </w:t>
      </w:r>
      <w:r>
        <w:rPr>
          <w:rFonts w:ascii="Arial" w:cs="Arial" w:eastAsia="Arial" w:hAnsi="Arial"/>
          <w:sz w:val="18"/>
          <w:szCs w:val="18"/>
          <w:b w:val="1"/>
          <w:bCs w:val="1"/>
          <w:i w:val="1"/>
          <w:iCs w:val="1"/>
          <w:color w:val="auto"/>
        </w:rPr>
        <w:t>Earnings Per Share</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Basic earnings per share, as presented on the Condensed Consolidated Statement of Operations,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options and shares of restricted stock as well as convertible debt instruments which have been treated as common share equivalents for purposes of calculating diluted earnings per share for periods in which positive earnings have been reported.</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to purchase shares of our common stock that are antidilutive are excluded from the computation of diluted earnings per share. As we recorded a net loss during the three-month period ended March 31, 2014 there were no antidilutive options. There were one million shares related to antidilutive options excluded for the three-month period ended March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April 2014, the Financial Accounting Standards Board ("FASB") issued Accounting Standards Update ("ASU") No. 2014-08,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Statements (Topic 205) and Property, Plant, and Equipment (Topic 360): Reporting Discontinued Operations and Disclosures of Disposals of Components of an Entity. </w:t>
      </w:r>
      <w:r>
        <w:rPr>
          <w:rFonts w:ascii="Arial" w:cs="Arial" w:eastAsia="Arial" w:hAnsi="Arial"/>
          <w:sz w:val="16"/>
          <w:szCs w:val="16"/>
          <w:color w:val="auto"/>
        </w:rPr>
        <w:t>This ASU raises the threshold for a disposal to qualify as a discontinued operation and requires new disclosures of both</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discontinued operations and certain other disposals that do not meet the definition of a discontinued operation. This ASU is effective for annual periods beginning after December 15, 2014, and interim periods within annual periods beginning on or after December 15, 2015, with early adoption permitted. We plan to adopt this ASU for the period beginning January 1, 2015 and do not expect this update to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 of Lender Processing Services, Inc.</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results of operations and financial position of the entities acquired during any year are included in the Condensed Consolidated Financial Statements from and after the date of acquisition.</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January 2, 2014, we completed the purchase of LPS. The purchase consideration paid was $37.14 per share, of which $28.10 per share was paid in cash and the remaining $9.04 was paid in FNF common shares. The purchase consideration represented an exchange ratio of 0.28742 per share of LPS common stock, included in assets acquired was $287 million of cash. Total consideration paid for LPS was $3.4 billion, which consisted of $2,248 million in net cash and $839 million in FNF common stock. In order to pay the stock component of the consideration, we issued 25,920,078 shares to the former LPS shareholders. Goodwill has been recorded based on the amount that the purchase price exceeded the fair value of the net assets acquired.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260" w:type="dxa"/>
            <w:vAlign w:val="bottom"/>
          </w:tcPr>
          <w:p>
            <w:pPr>
              <w:ind w:left="320"/>
              <w:spacing w:after="0"/>
              <w:rPr>
                <w:sz w:val="20"/>
                <w:szCs w:val="20"/>
                <w:color w:val="auto"/>
              </w:rPr>
            </w:pPr>
            <w:r>
              <w:rPr>
                <w:rFonts w:ascii="Arial" w:cs="Arial" w:eastAsia="Arial" w:hAnsi="Arial"/>
                <w:sz w:val="18"/>
                <w:szCs w:val="18"/>
                <w:color w:val="auto"/>
              </w:rPr>
              <w:t>The initial purchase price is as follows (in millions):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35"/>
        </w:trPr>
        <w:tc>
          <w:tcPr>
            <w:tcW w:w="10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LPS outstanding shares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2,535</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Less: cash acquired from LPS</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10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paid for LPS</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2,248</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FNF common stock issued (25,920,078 shares)</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839</w:t>
            </w:r>
          </w:p>
        </w:tc>
      </w:tr>
      <w:tr>
        <w:trPr>
          <w:trHeight w:val="27"/>
        </w:trPr>
        <w:tc>
          <w:tcPr>
            <w:tcW w:w="10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consideration paid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3,087</w:t>
            </w:r>
          </w:p>
        </w:tc>
      </w:tr>
      <w:tr>
        <w:trPr>
          <w:trHeight w:val="20"/>
        </w:trPr>
        <w:tc>
          <w:tcPr>
            <w:tcW w:w="10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purchase price has been initially allocated to the LPS assets acquired and liabilities assumed based on our best estimates of their fair values as of the acquisition date. Goodwill has been recorded based on the amount that the purchase price exceeds the fair value of the net assets acquired. This estimate is preliminary and subject to adjustments as we complete our valuation process over trade and notes receivable, capitalized software, intangible assets, legal contingencies, income taxes and goodwill, which we expect to have substantially complete by the end of 2014. The initial purchase price allocation is as follows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notes receivable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10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10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Intangible assets including title plants</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1,166</w:t>
            </w:r>
          </w:p>
        </w:tc>
      </w:tr>
      <w:tr>
        <w:trPr>
          <w:trHeight w:val="27"/>
        </w:trPr>
        <w:tc>
          <w:tcPr>
            <w:tcW w:w="10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2,794</w:t>
            </w:r>
          </w:p>
        </w:tc>
      </w:tr>
      <w:tr>
        <w:trPr>
          <w:trHeight w:val="27"/>
        </w:trPr>
        <w:tc>
          <w:tcPr>
            <w:tcW w:w="10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5,239</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1,091</w:t>
            </w:r>
          </w:p>
        </w:tc>
      </w:tr>
      <w:tr>
        <w:trPr>
          <w:trHeight w:val="27"/>
        </w:trPr>
        <w:tc>
          <w:tcPr>
            <w:tcW w:w="10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for title claims</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590</w:t>
            </w:r>
          </w:p>
        </w:tc>
      </w:tr>
      <w:tr>
        <w:trPr>
          <w:trHeight w:val="27"/>
        </w:trPr>
        <w:tc>
          <w:tcPr>
            <w:tcW w:w="10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 assumed</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37"/>
        </w:trPr>
        <w:tc>
          <w:tcPr>
            <w:tcW w:w="102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2,152</w:t>
            </w:r>
          </w:p>
        </w:tc>
      </w:tr>
      <w:tr>
        <w:trPr>
          <w:trHeight w:val="27"/>
        </w:trPr>
        <w:tc>
          <w:tcPr>
            <w:tcW w:w="10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3,087</w:t>
            </w:r>
          </w:p>
        </w:tc>
      </w:tr>
      <w:tr>
        <w:trPr>
          <w:trHeight w:val="20"/>
        </w:trPr>
        <w:tc>
          <w:tcPr>
            <w:tcW w:w="10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Subsequent to the LPS acquisition, we formed a wholly-owned subsidiary, Black Knight Holdings, Inc., ("Black Knight"). Black Knight is the mortgage and finance industries' leading provider of integrated technology, data and analytics solutions, and transaction services. Black Knight has two operating businesses, ServiceLink and BKFS. We retained a 65% ownership interest in each of the subsidiaries and issued the remaining 35% minority ownership interest to funds affiliated with Thomas H. Lee Partners, and certain related entities on January 3, 2014. ServiceLink and BKFS now own and operate the former LPS businesses and our legacy ServiceLink business.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intangible assets acquired (in millions, except for useful life):</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Residual Value</w:t>
            </w:r>
          </w:p>
        </w:tc>
      </w:tr>
      <w:tr>
        <w:trPr>
          <w:trHeight w:val="216"/>
        </w:trPr>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Fair Value as of</w:t>
            </w: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Useful Life in Years</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as of March 31,</w:t>
            </w:r>
          </w:p>
        </w:tc>
      </w:tr>
      <w:tr>
        <w:trPr>
          <w:trHeight w:val="234"/>
        </w:trPr>
        <w:tc>
          <w:tcPr>
            <w:tcW w:w="6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Consolidation</w:t>
            </w: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of Consolidation</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6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Amortizing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725</w:t>
            </w: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Tradenames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w:t>
            </w:r>
          </w:p>
        </w:tc>
      </w:tr>
      <w:tr>
        <w:trPr>
          <w:trHeight w:val="324"/>
        </w:trPr>
        <w:tc>
          <w:tcPr>
            <w:tcW w:w="6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Non-amortizing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Title plants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57"/>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Total intangible assets and capitalized software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1,863</w:t>
            </w:r>
          </w:p>
        </w:tc>
      </w:tr>
      <w:tr>
        <w:trPr>
          <w:trHeight w:val="20"/>
        </w:trPr>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Pro-forma Financial Results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comparative purposes, selected unaudited pro-forma consolidated results of operations of FNF for the three months ending March 31, 2014 and 2013 are presented below. Pro-forma results presented assume the consolidation of Black Knight occurred as of the beginning of the 2013 period. Amounts reflect our 65% ownership interest in BKFS and ServiceLink and were adjusted to exclude costs directly attributable to the acquisition of LPS including transaction costs, severance costs and costs related to our synergy bonus program related to the acquisition (in millions).</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Three months ended March 31,</w:t>
            </w:r>
          </w:p>
        </w:tc>
      </w:tr>
      <w:tr>
        <w:trPr>
          <w:trHeight w:val="243"/>
        </w:trPr>
        <w:tc>
          <w:tcPr>
            <w:tcW w:w="8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41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8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2,522</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Net earnings attributable to FNF common shareholders</w:t>
            </w: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our acquisition of LPS, the following additions have been made to our significant accounting policies during the first quarter of 2014: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BKFS Revenue Recognition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Within our BKFS segment, we recognize revenues in accordance with Financial Accounting Standards Board (“FASB”) Accounting Standards Codification (“ASC”) Topic 605, Revenue Recognition (“ASC 605”). Recording revenues requires judgment, including determining whether an arrangement includes multiple elements, whether any of the elements are essential to the functionality of any other elements, and the allocation of the consideration based on each element's relative selling price. Customers receive certain contract elements over time and changes to the elements in an arrangement, or in our determination of the relative selling price for these elements, could materially impact the amount of earned and unearned revenue reflected in our financial statements.</w:t>
      </w:r>
    </w:p>
    <w:p>
      <w:pPr>
        <w:spacing w:after="0" w:line="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primary judgments relating to our revenue recognition are determining when all of the following criteria are met: (1) persuasive evidence of an arrangement exists; (2) delivery has occurred or services have been rendered; (3) the seller’s price to the buyer is fixed or determinable; and (4) collectability is reasonably assured. Judgment is also required to determine whether an arrangement involving more than one deliverable contains more than one unit of accounting and how the arrangement consideration should be measured and allocated to the separate units of accounting.</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deliverables under a contract are software related, we determine the appropriate units of accounting and how the arrangement consideration should be measured and allocated to the separate units. This determination, as well as management’s ability to establish vendor specific objective evidence (“VSOE”) for the individual deliverables, can impact both the amount and the timing of revenue recognition under these agreements. The inability to establish VSOE for each contract deliverable results in having to record deferred revenues and/or applying the residual method. For arrangements where we determine VSOE for software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maintenance using a stated renewal rate within the contract, we use judgment to determine whether the renewal rate represents fair value for that element as if it had been sold on a stand-alone basis. For a small percentage of revenues, we use contract accounting when the arrangement with the customer includes significant customization, modification, or production of software. For elements accounted for under contract accounting, revenue is recognized using the percentage-of-completion method since reasonably dependable estimates of revenues and contract hours applicable to various elements of a contract can be made.</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often party to multiple concurrent contracts with the same customer. These situations require judgment to determine whether the individual contracts should be aggregated or evaluated separately for purposes of revenue recognition. In making this determination we consider the timing of negotiating and executing the contracts, whether the different elements of the contracts are interdependent and whether any of the payment terms of the contracts are interrelated.</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large number, broad nature and average size of individual contracts we are a party to, the impact of judgments and assumptions that we apply in recognizing revenue for any single contract is not likely to have a material effect on our consolidated operations. However, the broader accounting policy assumptions that we apply across similar arrangements or classes of customers could significantly influence the timing and amount of revenue recognized in our result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Capitalized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5 to 10 years. In our BKFS segment we have significant internally developed software. These costs are amortized using the straight-line method over the estimated useful life. Useful lives of computer software range from 3 to 10 years. Capitalized software development costs are accounted for in accordance with either ASC Topic 985, Software, Subtopic 20, Costs of Software to Be Sold, Leased, or Marketed (“ASC 985-20”), or ASC 350, Subtopic 40, Internal-Use Software (“ASC 350-40”). For software products to be sold, leased, or otherwise marketed (ASC 985-20 software), all costs incurred to establish the technological feasibility are research and development costs, and are expensed as they are incurred. Costs incurred subsequent to establishing technological feasibility, such as programmers' salaries and related payroll costs and costs of independent contractors, are capitalized and amortized on a product by product basis commencing on the date of general release to customers. We do not capitalize any costs once the product is available for general release to customers. For internal-use computer software products (ASC 350-40 software),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also assess the recorded value of computer software for impairment on a regular basis by comparing the carrying value to the estimated future cash flows to be generated by the underlying software asset. There is an inherent uncertainty in determining the expected useful life of or cash flows to be generated from computer software. We have not historically experienced material changes in these estimates but could be subject to them in the future.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discussed above, subsequent to the Acquisition of LPS we issued 35% ownership interest in BKFS and ServiceLink to funds affiliated with Thomas H. Lee Parters ("THL" or "the minority interest holder"). As part of the Unit Purchase Agreement with THL, THL has an option to put their ownership interests of either or both of BKFS and ServiceLink to us if no public offering of the corresponding business has been consummated after four years. The units owned by THL ("redeemable noncontrolling interests") may be settled in cash or common stock of FNF or a combination of both at our election in an amount equivalent. The redeemable noncontrolling interests will be settled at the current fair value at the time we receive notice of THL's put election as determined by the parties or by a third party appraisal under the terms of the Unit Purchase Agreement.</w:t>
      </w:r>
    </w:p>
    <w:p>
      <w:pPr>
        <w:spacing w:after="0" w:line="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these redeemable noncontrolling interests provide for redemption features not solely within the control of us, the issuer, we classify the redeemable noncontrolling interests outside of permanent equity in accordance with ASC 480-10, “Distinguishing Liabilities from Equity”. Redeemable noncontrolling interests held by third parties in subsidiaries owned or controlled by FNF is reported on the condensed consolidated balance sheet outside permanent equity; and the condensed consolidated statement of operations reflects the respective redeemable noncontrolling interests in Net loss attributable to non-controlling interests - redeemable and non-redeemable, the effect of which is removed from the net loss attributable to FNF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fair value hierarchy for those assets and liabilities measured at fair value on a recurring basis as of March 31,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March 31, 2014</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48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4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200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3,175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48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4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vMerge w:val="restart"/>
          </w:tcPr>
          <w:p>
            <w:pPr>
              <w:jc w:val="right"/>
              <w:ind w:right="150"/>
              <w:spacing w:after="0"/>
              <w:rPr>
                <w:sz w:val="20"/>
                <w:szCs w:val="20"/>
                <w:color w:val="auto"/>
              </w:rPr>
            </w:pPr>
            <w:r>
              <w:rPr>
                <w:rFonts w:ascii="Arial" w:cs="Arial" w:eastAsia="Arial" w:hAnsi="Arial"/>
                <w:sz w:val="18"/>
                <w:szCs w:val="18"/>
                <w:color w:val="auto"/>
              </w:rPr>
              <w:t>11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December 31, 2013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04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209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0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 as follows:</w:t>
      </w:r>
    </w:p>
    <w:p>
      <w:pPr>
        <w:spacing w:after="0" w:line="71" w:lineRule="exact"/>
        <w:rPr>
          <w:sz w:val="20"/>
          <w:szCs w:val="20"/>
          <w:color w:val="auto"/>
        </w:rPr>
      </w:pPr>
    </w:p>
    <w:p>
      <w:pPr>
        <w:ind w:left="660" w:right="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agency mortgage-backed securities, collaterized mortgage obligations, and asset-backed securities. They are valued based on available trade information, dealer quotes, cash flows, relevant indices and market data for similar assets in active markets.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ind w:left="660" w:right="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Preferred stock: Preferred stocks are valued by calculating the appropriate spread over a comparable U.S. Treasury security. Inputs include benchmark quotes and other relevant market data.</w:t>
      </w:r>
    </w:p>
    <w:p>
      <w:pPr>
        <w:spacing w:after="0" w:line="7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Level 2 fair value measures for our interest rate swap, foreign currency contracts, and commodity contracts are valued using the income approach. This approach uses techniques to convert future amounts to a single present value amount based upon market expectations (including present value techniques, option-pricing and excess earnings models).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Level 3 investments consist of structured notes that were purchased in 2009. The structured notes had a par value of $38 million and fair value of $40 million at March 31, 2014, and a par value and a fair value of $38 million at December 31, 2013. The structured notes are held for general investment purposes and represent approximately one percent of our total investment portfolio. The structured notes are classified as other long-term investments and are measured in their entirety at fair value with changes in fair value recognized in earnings. The fair value of these instruments represents exit prices obtained from a broker-dealer. These exit prices are the product of a proprietary valuation model utilized by the trading desk of the broker-dealer and contain assumptions relating to volatility, the level of interest rates, and the value of the underlying commodity indices. We reviewed the pricing methodologies for our Level 3 investments to ensure that they are reasonable and believe they represent an exit price for the securities as of March 31, 2014.</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our investments that are classified as Level 3 for the period ended March 31, 2014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43"/>
        </w:trPr>
        <w:tc>
          <w:tcPr>
            <w:tcW w:w="10020" w:type="dxa"/>
            <w:vAlign w:val="bottom"/>
          </w:tcPr>
          <w:p>
            <w:pPr>
              <w:ind w:left="40"/>
              <w:spacing w:after="0"/>
              <w:rPr>
                <w:sz w:val="20"/>
                <w:szCs w:val="20"/>
                <w:color w:val="auto"/>
              </w:rPr>
            </w:pPr>
            <w:r>
              <w:rPr>
                <w:rFonts w:ascii="Arial" w:cs="Arial" w:eastAsia="Arial" w:hAnsi="Arial"/>
                <w:sz w:val="18"/>
                <w:szCs w:val="18"/>
                <w:color w:val="auto"/>
              </w:rPr>
              <w:t>Net realized gain</w:t>
            </w:r>
          </w:p>
        </w:tc>
        <w:tc>
          <w:tcPr>
            <w:tcW w:w="6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100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2014</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0"/>
        </w:trPr>
        <w:tc>
          <w:tcPr>
            <w:tcW w:w="10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March 31, 2014 and December 31, 2013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2014</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1,072</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1,739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104</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135</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3,372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3,372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2013</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1,606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136</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3,246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5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cost basis of fixed maturity securities available for sale includes an adjustment for amortized premium or discount since the date of purchase.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March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2014</w:t>
            </w:r>
          </w:p>
        </w:tc>
        <w:tc>
          <w:tcPr>
            <w:tcW w:w="122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r>
      <w:tr>
        <w:trPr>
          <w:trHeight w:val="27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(Dollars in millions)</w:t>
            </w:r>
          </w:p>
        </w:tc>
        <w:tc>
          <w:tcPr>
            <w:tcW w:w="1220" w:type="dxa"/>
            <w:vAlign w:val="bottom"/>
            <w:tcBorders>
              <w:top w:val="single" w:sz="8" w:color="auto"/>
            </w:tcBorders>
          </w:tcPr>
          <w:p>
            <w:pPr>
              <w:spacing w:after="0"/>
              <w:rPr>
                <w:sz w:val="21"/>
                <w:szCs w:val="21"/>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67</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97"/>
        </w:trPr>
        <w:tc>
          <w:tcPr>
            <w:tcW w:w="64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51"/>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Subject to call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Included above in amounts subject to call are $1,348 million and $1,380 million in amortized cost and fair value, respectively, of fixed maturity securities with make-whole call provisions as of March 31, 2014.</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Included in our other long-term investments are fixed maturity structured notes purchased in 2009 and various cost-method investments. The structured notes are carried at fair value (see Note C) and changes in the fair value of these structured notes are recorded as Realized gains and losses in the Condensed Consolidated Statements of Operations. The carrying value of the structured notes was $40 million and $38 million as of March 31, 2014 and December 31, 2013, respectively. We recorded a $2 million gain relating to the structured notes during the three months ended March 31, 2014, and recorded a net loss of $1 million in the three-month period ended March 31, 2013.</w:t>
      </w:r>
    </w:p>
    <w:p>
      <w:pPr>
        <w:spacing w:after="0" w:line="8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unrealized losses on investment securities and the fair value of the related securities, aggregated by investment category and length of time that individual securities have been in a continuous unrealized loss position at March 31, 2014 and December 31, 2013, were as follows (in millions):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4"/>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22"/>
                <w:szCs w:val="22"/>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22"/>
                <w:szCs w:val="22"/>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w w:val="98"/>
              </w:rPr>
              <w:t>Unrealized</w:t>
            </w:r>
          </w:p>
        </w:tc>
      </w:tr>
      <w:tr>
        <w:trPr>
          <w:trHeight w:val="276"/>
        </w:trPr>
        <w:tc>
          <w:tcPr>
            <w:tcW w:w="40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Losses</w:t>
            </w:r>
          </w:p>
        </w:tc>
      </w:tr>
      <w:tr>
        <w:trPr>
          <w:trHeight w:val="243"/>
        </w:trPr>
        <w:tc>
          <w:tcPr>
            <w:tcW w:w="4000" w:type="dxa"/>
            <w:vAlign w:val="bottom"/>
          </w:tcPr>
          <w:p>
            <w:pPr>
              <w:ind w:left="520"/>
              <w:spacing w:after="0"/>
              <w:rPr>
                <w:sz w:val="20"/>
                <w:szCs w:val="20"/>
                <w:color w:val="auto"/>
              </w:rPr>
            </w:pPr>
            <w:r>
              <w:rPr>
                <w:rFonts w:ascii="Arial" w:cs="Arial" w:eastAsia="Arial" w:hAnsi="Arial"/>
                <w:sz w:val="18"/>
                <w:szCs w:val="18"/>
                <w:color w:val="auto"/>
              </w:rPr>
              <w:t>State and political subdivisions</w:t>
            </w:r>
          </w:p>
        </w:tc>
        <w:tc>
          <w:tcPr>
            <w:tcW w:w="780" w:type="dxa"/>
            <w:vAlign w:val="bottom"/>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635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7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22"/>
                <w:szCs w:val="22"/>
                <w:color w:val="auto"/>
              </w:rPr>
            </w:pPr>
          </w:p>
        </w:tc>
        <w:tc>
          <w:tcPr>
            <w:tcW w:w="96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Unrealized</w:t>
            </w:r>
          </w:p>
        </w:tc>
      </w:tr>
      <w:tr>
        <w:trPr>
          <w:trHeight w:val="276"/>
        </w:trPr>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Value</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Losses</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States and political subdivisions</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602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three-month period ended March 31, 2014 and 2013, we recorded no impairment charges relating to investments that were determined to be other-than-temporarily impaired. As of March 31, 2014, we held no fixed maturity securities for which an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three-month periods ending March 31, 2014 and 2013,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Three months ended March 31, 2014</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00" w:type="dxa"/>
            <w:vAlign w:val="bottom"/>
          </w:tcPr>
          <w:p>
            <w:pPr>
              <w:spacing w:after="0"/>
              <w:rPr>
                <w:sz w:val="13"/>
                <w:szCs w:val="13"/>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Gross Realized</w:t>
            </w:r>
          </w:p>
        </w:tc>
        <w:tc>
          <w:tcPr>
            <w:tcW w:w="260" w:type="dxa"/>
            <w:vAlign w:val="bottom"/>
          </w:tcPr>
          <w:p>
            <w:pPr>
              <w:spacing w:after="0"/>
              <w:rPr>
                <w:sz w:val="13"/>
                <w:szCs w:val="13"/>
                <w:color w:val="auto"/>
              </w:rPr>
            </w:pPr>
          </w:p>
        </w:tc>
        <w:tc>
          <w:tcPr>
            <w:tcW w:w="86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Net Realized</w:t>
            </w: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4"/>
              </w:rPr>
              <w:t>Realized</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Gains (Losses)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(Dollars 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8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700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Three months ended March 31, 2013</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000" w:type="dxa"/>
            <w:vAlign w:val="bottom"/>
          </w:tcPr>
          <w:p>
            <w:pPr>
              <w:spacing w:after="0"/>
              <w:rPr>
                <w:sz w:val="13"/>
                <w:szCs w:val="13"/>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Gross Realized</w:t>
            </w:r>
          </w:p>
        </w:tc>
        <w:tc>
          <w:tcPr>
            <w:tcW w:w="260" w:type="dxa"/>
            <w:vAlign w:val="bottom"/>
          </w:tcPr>
          <w:p>
            <w:pPr>
              <w:spacing w:after="0"/>
              <w:rPr>
                <w:sz w:val="13"/>
                <w:szCs w:val="13"/>
                <w:color w:val="auto"/>
              </w:rPr>
            </w:pPr>
          </w:p>
        </w:tc>
        <w:tc>
          <w:tcPr>
            <w:tcW w:w="86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Net Realized</w:t>
            </w: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4"/>
              </w:rPr>
              <w:t>Realized</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Gains (Losses)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(Dollars 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6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As of March 31, 2014 and December 31, 2013, investments in unconsolidated affiliates consisted of the following (dollars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 Ownership</w:t>
            </w:r>
          </w:p>
        </w:tc>
        <w:tc>
          <w:tcPr>
            <w:tcW w:w="14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73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Other</w:t>
            </w: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Various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73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year ended December 31, 2013, we purchased $32 million in Ceridian bonds which are included in Fixed maturity securities available for sale on the Condensed Consolidated Balance Sheets, and have a fair value of $36 million as of March 31, 2014 and December 31, 2013.</w:t>
      </w:r>
    </w:p>
    <w:p>
      <w:pPr>
        <w:spacing w:after="0" w:line="3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historically accounted for our equity in Ceridian on a three-month lag, however, during the first quarter of 2014, we began to account for our equity in Ceridian on a real-time basis. Accordingly, our net earnings for the three-month period ended March 31, 2014, includes our equity in Ceridian’s earnings for the three-month periods ended December 31, 2013, and March 31, 2014, and our net earnings for the three-month period ended March 31, 2013, includes our equity in Ceridian’s earnings for the three-month period ended December 31, 2012. During the three month periods ended March 31, 2014 and 2013, we recorded $30 million and $4 million, in equity in losses of Ceridian, respectively. The three month period ending March 31, 2014 includes $4 million and $(34) million in equity in Ceridian's earnings (losses) for the three months ending March 31, 2014 and December 31, 2013. Equity in (losses) earnings of other unconsolidated affiliates were $(1) million and $1 million for the three month periods ended March 31, 2014 and 2013, respectively.</w:t>
      </w:r>
    </w:p>
    <w:p>
      <w:pPr>
        <w:spacing w:after="0" w:line="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for Ceridian for the relevant dates and time periods included in our Condensed Consolidated Financial Statements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196"/>
        </w:trPr>
        <w:tc>
          <w:tcPr>
            <w:tcW w:w="8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 before customer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Customer funds</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3,897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122</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10,222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9,568</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 before customer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958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3,406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9,405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8,747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821</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10,222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9,568</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6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w w:val="97"/>
              </w:rPr>
              <w:t>Six Months Ended March</w:t>
            </w:r>
          </w:p>
        </w:tc>
        <w:tc>
          <w:tcPr>
            <w:tcW w:w="220" w:type="dxa"/>
            <w:vAlign w:val="bottom"/>
          </w:tcPr>
          <w:p>
            <w:pPr>
              <w:spacing w:after="0"/>
              <w:rPr>
                <w:sz w:val="14"/>
                <w:szCs w:val="14"/>
                <w:color w:val="auto"/>
              </w:rPr>
            </w:pPr>
          </w:p>
        </w:tc>
        <w:tc>
          <w:tcPr>
            <w:tcW w:w="1540" w:type="dxa"/>
            <w:vAlign w:val="bottom"/>
          </w:tcPr>
          <w:p>
            <w:pPr>
              <w:jc w:val="right"/>
              <w:ind w:right="117"/>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31, 2014</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9"/>
              </w:rPr>
              <w:t>December 31, 2012</w:t>
            </w:r>
          </w:p>
        </w:tc>
      </w:tr>
      <w:tr>
        <w:trPr>
          <w:trHeight w:val="196"/>
        </w:trPr>
        <w:tc>
          <w:tcPr>
            <w:tcW w:w="7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60" w:type="dxa"/>
            <w:vAlign w:val="bottom"/>
            <w:gridSpan w:val="3"/>
          </w:tcPr>
          <w:p>
            <w:pPr>
              <w:jc w:val="right"/>
              <w:ind w:right="1297"/>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—Remy Derivative Financial Instruments and Concentration of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financial market risks faced by, and derivative instruments held by, Remy.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Remy manufactures and sells products primarily in North America, South America, Asia, Europe and Africa. As a result, financial results could be significantly affected by factors such as changes in foreign currency exchange rates or weak economic conditions in foreign markets in which Remy manufactures and sells products. Remy generally tries to use natural hedges within its foreign currency activities, including the matching of revenues and costs, to minimize foreign currency risk. Where natural hedges are not in place, Remy considers managing certain aspects of its foreign currency activities through the use of foreign exchange contracts. Remy primarily utilizes forward exchange contracts with maturities generally within eighteen months to hedge against currency rate fluctuations, all of which are designated as hedges. As of March 31, 2014 and December 31, 2013, Remy had the following outstanding foreign currency contracts to hedge forecasted purchases and revenues (in millions):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Currency Denomination</w:t>
            </w:r>
          </w:p>
        </w:tc>
      </w:tr>
      <w:tr>
        <w:trPr>
          <w:trHeight w:val="252"/>
        </w:trPr>
        <w:tc>
          <w:tcPr>
            <w:tcW w:w="8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Foreign currency contract</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2014</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 Korean Won Forward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Mexican Peso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Brazilian Real Forward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Hungarian Forint Forward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British Pound Forward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were net accumulated unrealized gains of $1 million relating to these instruments as of March 31, 2014. Accumulated unrealized net gains of $2 million were recorded in Accumulated other comprehensive earnings (loss) as of December 31, 2013, related to these instruments. As of March 31, 2014, gains related to these instruments of $1 million are expected to be reclassified to the Condensed Consolidated Statement of Operations within the next 12 months. Any ineffectiveness during the three-month period ended March 31, 2014 was immaterial.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2010, Remy entered into an interest rate swap agreement in respect of 50% of the outstanding principal balance of its Term B Loan under which a variable LIBOR rate with a floor of 1.75% was swapped to a fixed rate of 3.35%. Due to the significant value of the terminated swaps which were transferred into this swap, this interest rate swap is an undesignated hedge and changes in the fair value are recorded as Interest expense in the accompanying Condensed Consolidated Statements of Operations.</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March 27, 2013, Remy terminated its undesignated Term B Loan interest rate swap and transferred the value into a new undesignated interest rate swap agreement of $72 million of the outstanding principal loan balance under which Remy will swap a variable LIBOR rate with a floor of 1.25% to a fixed rate of 4.05% with an effective date of December 30, 2016 and expiration date of December 31, 2019. The notional value of this interest rate swap is $72 million. Due to the significant value of the terminated swaps which were transferred into this new swap, this interest rate swap is an undesignated hedge and changes in the fair value are recorded as Interest expense in the accompanying Condensed Consolidated Statements of Operations.</w:t>
      </w:r>
    </w:p>
    <w:p>
      <w:pPr>
        <w:spacing w:after="0" w:line="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27, 2013, Remy also entered into a designated interest rate swap agreement for $72 million of the outstanding principal balance of its long term debt. Under the terms of the new interest rate swap agreement, Remy will swap a variable LIBOR rate with a floor of 1.25% to a fixed rate of 2.75% with an effective date of December 30, 2016 and expiration date of December 31, 2019. The notional value of this interest rate swap is $72 million. This interest rate swap has been designated as a cash flow hedging instrument. Accumulated unrealized net gains of $1 million were recorded in Accumulated other comprehensive (loss) earnings as of March 31, 2014 and December 31, 2013. As of March 31, 2014, no gains are expected to be reclassified to the Condensed Consolidated Statement of Operations within the next twelve months. Any ineffectiveness during the three-month period ended March 31, 2014 was immaterial.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interest rate swaps reduce Remy's overall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production processes are dependent upon the supply of certain components whose raw materials are exposed to price fluctuations on the open market. The primary purpose of Remy's commodity price forward contract activity is to manage the volatility associated with forecasted purchases. Remy monitors commodity price risk exposures regularly to maximize the overall effectiveness of commodity forward contracts. The principal raw material hedged is copper. Forward contracts are used to mitigate commodity price risk associated with raw materials, generally related to purchases forecast for up to twenty-four months in the future. Additionally, Remy purchases certain commodities during the normal course of business which result in physical delivery and are excluded from hedge accounting.</w:t>
      </w:r>
    </w:p>
    <w:p>
      <w:pPr>
        <w:spacing w:after="0" w:line="24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Remy had twenty-nine commodity price hedge contracts outstanding at March 31, 2014, and thirty-two commodity price hedge contracts outstanding at December 31, 2013, with combined notional quantities of 5,660 and 6,368 metric tons of copper, respectively. These contracts mature within the next eighteen months and are designated as cash flow hedging instruments. Accumulated unrealized net losses of $4 million and $1 million, excluding the tax effect, were recorded in Accumulated other comprehensive earnings as of March 31, 2014 and December 31, 2013, respectively, related to these contracts. As of March 31, 2014, net losses related to these contracts of $3 million are expected to be reclassified to the accompanying Condensed Consolidated Statement of Operations within the next 12 months. Hedging ineffectiveness during the three-month period ended March 31, 2014 was immaterial.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Remy's derivative positions and any related material collateral under master netting agreements are presented on a gross basis.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derivatives designated as cash flow hedges, changes in the time value are excluded from the assessment of hedge effectiveness. Unrealized gains and losses associated with ineffective hedges, determined using the change in fair value method, are recognized in the accompanying Condensed Consolidated Statement of Operations. Derivative gains and losses included in Accumulated other comprehensive earnings for effective hedges are reclassified into the accompanying Condensed Consolidated Statement of Operations upon recognition of the hedged transaction.</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Any derivative instrument designated initially, but no longer effective as a hedge, or initially not effective as a hedge, is recorded at fair value and the related gains and losses are recognized in the accompanying Condensed Consolidated Statement of Operations. Remy's undesignated hedges are primarily Remy's interest rate swaps whose fair value at inception of the instrument due to the rollover of existing interest rate swaps resulted in ineffectiveness. All asset and liability derivatives are included in Prepaid expenses and other assets and Accounts payable and accrued liabilities, respectively, on the Condensed Consolidated Balance Sheets. The following table discloses the fair values of Remy's derivative instruments (in millions):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ind w:left="580"/>
              <w:spacing w:after="0"/>
              <w:rPr>
                <w:sz w:val="20"/>
                <w:szCs w:val="20"/>
                <w:color w:val="auto"/>
              </w:rPr>
            </w:pPr>
            <w:r>
              <w:rPr>
                <w:rFonts w:ascii="Arial" w:cs="Arial" w:eastAsia="Arial" w:hAnsi="Arial"/>
                <w:sz w:val="18"/>
                <w:szCs w:val="18"/>
                <w:b w:val="1"/>
                <w:bCs w:val="1"/>
                <w:color w:val="auto"/>
              </w:rPr>
              <w:t>March 31, 2014</w:t>
            </w:r>
          </w:p>
        </w:tc>
        <w:tc>
          <w:tcPr>
            <w:tcW w:w="160" w:type="dxa"/>
            <w:vAlign w:val="bottom"/>
          </w:tcPr>
          <w:p>
            <w:pPr>
              <w:spacing w:after="0"/>
              <w:rPr>
                <w:sz w:val="20"/>
                <w:szCs w:val="20"/>
                <w:color w:val="auto"/>
              </w:rPr>
            </w:pPr>
          </w:p>
        </w:tc>
        <w:tc>
          <w:tcPr>
            <w:tcW w:w="24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2013</w:t>
            </w:r>
          </w:p>
        </w:tc>
      </w:tr>
      <w:tr>
        <w:trPr>
          <w:trHeight w:val="27"/>
        </w:trPr>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Asset</w:t>
            </w:r>
          </w:p>
        </w:tc>
        <w:tc>
          <w:tcPr>
            <w:tcW w:w="16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Liability</w:t>
            </w:r>
          </w:p>
        </w:tc>
      </w:tr>
      <w:tr>
        <w:trPr>
          <w:trHeight w:val="234"/>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Derivatives</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Derivatives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Derivatives</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Derivatives</w:t>
            </w:r>
          </w:p>
        </w:tc>
      </w:tr>
      <w:tr>
        <w:trPr>
          <w:trHeight w:val="27"/>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6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Gains and losses on Remy's derivative instruments, which are reclassified from Accumulated other comprehensive earnings (AOCE) into earnings, are included in Cost of auto parts revenue for commodity and foreign currency contracts, and Interest expense for interest rate swap contracts on the accompanying Condensed Consolidated Statement of Operations.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effect of Remy's derivative instruments for the three months ended March 31,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Amount of gain (loss)</w:t>
            </w:r>
          </w:p>
        </w:tc>
        <w:tc>
          <w:tcPr>
            <w:tcW w:w="18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Amount of gain (loss)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Amount of gain</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3"/>
              </w:rPr>
              <w:t>Amount of gain</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recognized in AOCE</w:t>
            </w: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into earnings (effective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excluded from</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(loss) recognized in</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 portion)</w:t>
            </w:r>
          </w:p>
        </w:tc>
        <w:tc>
          <w:tcPr>
            <w:tcW w:w="12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portion)</w:t>
            </w:r>
          </w:p>
        </w:tc>
        <w:tc>
          <w:tcPr>
            <w:tcW w:w="1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effectiveness testing)</w:t>
            </w: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earnings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cash flow hedging instruments: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9"/>
        </w:trPr>
        <w:tc>
          <w:tcPr>
            <w:tcW w:w="10060" w:type="dxa"/>
            <w:vAlign w:val="bottom"/>
            <w:gridSpan w:val="10"/>
          </w:tcPr>
          <w:p>
            <w:pPr>
              <w:ind w:left="340"/>
              <w:spacing w:after="0"/>
              <w:rPr>
                <w:sz w:val="20"/>
                <w:szCs w:val="20"/>
                <w:color w:val="auto"/>
              </w:rPr>
            </w:pPr>
            <w:r>
              <w:rPr>
                <w:rFonts w:ascii="Arial" w:cs="Arial" w:eastAsia="Arial" w:hAnsi="Arial"/>
                <w:sz w:val="18"/>
                <w:szCs w:val="18"/>
                <w:color w:val="auto"/>
                <w:w w:val="94"/>
              </w:rPr>
              <w:t>The following table discloses the effect of Remy's derivative instruments for the three months ended March 31, 2013 (in millions):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Amount of gain (loss)</w:t>
            </w:r>
          </w:p>
        </w:tc>
        <w:tc>
          <w:tcPr>
            <w:tcW w:w="180" w:type="dxa"/>
            <w:vAlign w:val="bottom"/>
          </w:tcPr>
          <w:p>
            <w:pPr>
              <w:spacing w:after="0"/>
              <w:rPr>
                <w:sz w:val="24"/>
                <w:szCs w:val="2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Amount of gain (loss)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Amount of gain</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3"/>
              </w:rPr>
              <w:t>Amount of gain</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recognized in AOCE</w:t>
            </w: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into earnings (effective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excluded from</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(loss) recognized in</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 portion)</w:t>
            </w:r>
          </w:p>
        </w:tc>
        <w:tc>
          <w:tcPr>
            <w:tcW w:w="12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portion)</w:t>
            </w:r>
          </w:p>
        </w:tc>
        <w:tc>
          <w:tcPr>
            <w:tcW w:w="1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effectiveness testing)</w:t>
            </w: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earnings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cash flow hedging instruments: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4"/>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31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Note F —Notes Payable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836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0"/>
        </w:trPr>
        <w:tc>
          <w:tcPr>
            <w:tcW w:w="8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(In millions)</w:t>
            </w:r>
          </w:p>
        </w:tc>
      </w:tr>
      <w:tr>
        <w:trPr>
          <w:trHeight w:val="270"/>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Unsecured convertible notes, net of discount, interest payable semi-annually at 4.25%, due August 2018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BKFS notes, including premium, interest payable semi-annually at 5.75%, due April 2023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7"/>
              </w:rPr>
              <w:t>Revolving Credit Facility, unsecured, unused portion of $500 at March 31, 2014, due July 2018 with interest</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payable monthly at LIBOR + 1.45% (1.60% at March 31, 2014)</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FNF Term Loan, interest payable monthly at LIBOR + 1.75% (1.90% at March 31, 2014), due January 2019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8"/>
              </w:rPr>
              <w:t>Remy Amended and Restated Term B Loan, interest payable quarterly at LIBOR (floor of 1.25%) + 3.00%</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(4.25% at March 31, 2014), due March 2020</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Remy Revolving Credit Facility, unused portion of $73 at March 31, 2014, due September 2018 with interest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monthly at base rate 3.25% + base rate margin .50% (3.75% at March 31, 2014)</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3"/>
              </w:rPr>
              <w:t>Restaurant Group Term Loan, interest payable monthly at LIBOR + 3.75% (3.90% at March 31, 2014), due May</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Restaurant Group Revolving Credit Facility, unused portion of $62 at March 31, 2014, due May 2017 with</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payable monthly at base rate 3.25% + base rate margin 2.75% (6.00% at March 31, 2014)</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At March 31, 2014, the estimated fair value of our long-term debt was approximately $3,620 million or $276 million higher than its carrying value. The fair value of our long-term debt at December 31, 2013 was approximately $1,555 million or $232 million higher than its carrying value. The fair value of our unsecured notes payable was $1,875 million as of March 31, 2014. The fair values of our unsecured notes payable are based on established market prices for the securities on March 31, 2014 and are considered Level 2 financial liabilities. The fair value of our revolving credit facility was $303 million at March 31, 2014. The fair value of our revolving credit facility is based on discounted cash flows and is considered a Level 2 financial liability. The fair value of our FNF Term Loan was $1,100 million at March 31, 2014. The fair value of our FNF Term Loan is based on established market prices for the security on March 31, 2014 and is considered a Level 2 financial liability. The fair value of our Remy Term Loan was $267 million, based on established market prices for the security on March 31, 2014 and is considered a Level 2 financial liability. The fair value of our Restaurant Group Term Loan was $53 million, based on established market prices for the securities on March 31, 2014 and is considered a Level 2 financial liability.</w:t>
      </w:r>
    </w:p>
    <w:p>
      <w:pPr>
        <w:spacing w:after="0" w:line="16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January 2, 2014, as a result of the LPS acquisition, FNF acquired $600 million aggregate principal amount of 5.75% Senior Notes due 2023, initially issued by Black Knight Infoserv, LLC (formerly LPS, "Black Knight Infoserv") on October 12, 2012 (the "Black Knight Senior Notes"). The Black Knight Senior Notes were registered under the Securities Act of 1933, as amended, carry an interest rate of 5.75% and will mature on April 15, 2023. Interest is payable semi-annually on the 15th day of April and October. The Black Knight Senior Notes are senior unsecured obligations and were guaranteed by us as of January 2, 2014. At any time and from time to time, prior to October 15, 2015, Black Knight Infoserv may redeem up to a maximum of 35% of the original aggregate principal amount of the Black Knight Senior Notes with the proceeds of one or more equity offerings, at a redemption price equal to 105.75% of the principal amount thereof, plus accrued and unpaid interest thereon, if any, to the redemption date (subject to the right of holders of record on the relevant record date to receive interest due on the relevant interest payment date). Prior to October 15, 2017, Black Knight Infoserv may redeem some or all of the Black Knight Senior Notes by paying a “make-whole” premium based on U.S. Treasury rates. On or after October 15, 2017, Black Knight Infoserv may redeem some or all of the Black Knight Senior Notes at the redemption prices described in the Black Knight Senior Notes indenture, plus accrued and unpaid interest. In addition, if a change of control occurs, Black Knight Infoserv is required to offer to purchase all</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outstanding Black Knight Senior Notes at a price equal to 101% of the principal amount plus accrued and unpaid interest, if any, to the date of purchase (subject to the right of holders of record on the relevant record date to receive interest due on the relevant interest payment date).The Black Knight Senior Notes contain covenants that, among other things, limit Black Knight Infoserv's ability and the ability of certain of its subsidiaries (a) to incur or guarantee additional indebtedness or issue preferred stock, (b) to make certain restricted payments, including dividends or distributions on equity interests held by persons other than Black Knight Infoserv or certain subsidiaries, in excess of an amount generally equal to 50% of consolidated net income generated since July 1, 2008, (c) to create or incur certain liens, (d) to engage in sale and leaseback transactions, (e) to create restrictions that would prevent or limit the ability of certain subsidiaries to (i) pay dividends or other distributions to Black Knight Infoserv or certain other subsidiaries, (ii) repay any debt or make any loans or advances to Black Knight Infoserv or certain other subsidiaries or (iii) transfer any property or assets to Black Knight Infoserv or certain other subsidiaries,</w:t>
      </w:r>
    </w:p>
    <w:p>
      <w:pPr>
        <w:spacing w:after="0" w:line="1" w:lineRule="exact"/>
        <w:rPr>
          <w:sz w:val="20"/>
          <w:szCs w:val="20"/>
          <w:color w:val="auto"/>
        </w:rPr>
      </w:pPr>
    </w:p>
    <w:p>
      <w:pPr>
        <w:jc w:val="both"/>
        <w:ind w:firstLine="8"/>
        <w:spacing w:after="0" w:line="284" w:lineRule="auto"/>
        <w:tabs>
          <w:tab w:leader="none" w:pos="239"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sell or dispose of assets of Black Knight Infoserv or any restricted subsidiary or enter into merger or consolidation transactions and (g) to engage in certain transactions with affiliates. As a result of our guarantee of the Black Knight Senior Notes on January 2, 2014, the notes became rated investment grade. The indenture provides that certain covenants are suspended while the Black Knight Senior Notes are rated investment grade. Currently covenants (a), (b), (e), certain provisions of (f) and (g) outlined above are suspended. These covenants will continue to be suspended as long as the notes are rated investment grade, as defined in the indenture. These covenants are subject to a number of exceptions, limitations and qualifications in the Black Knight Senior Notes indenture. The Black Knight Senior Notes contain customary events of default, including failure of Black Knight Infoserv (i) to pay principal and interest when due and payable and breach of certain other covenants and (ii) to make an offer to purchase and pay for the Black Knight Senior Notes tendered as required by the Black Knight Senior Notes. Events of default also include defaults with respect to any other debt of Black Knight Infoserv or debt of certain subsidiaries having an outstanding principal amount of $80 million or more in the aggregate for all such debt, arising from (i) failure to make a principal payment when due and such defaulted payment is not made, waived or extended within the applicable grace period or (ii) the occurrence of an event which results in such debt being due and payable prior to its scheduled maturity. Upon the occurrence of an event of default (other than a bankruptcy default with respect to Black Knight Infoserv or certain subsidiaries), the trustee or holders of at least 25% of the Black Knight Senior Notes then outstanding may accelerate the Black Knight Senior Notes by giving us appropriate notice. If, however, a bankruptcy default occurs with respect to Black Knight Infoserv or certain subsidiaries, then the principal of and accrued interest on the Black Knight Senior Notes then outstanding will accelerate immediately without any declaration or other act on the part of the trustee or any holder. Subsequent to year end, on January 16, 2014, we issued an offer to purchase the Black Knight Senior Notes pursuant to the change of control provisions above at a purchase price of 101% of the principal amount plus accrued interest to the purchase date. The offer expired on February 18, 2014. As a result of the offer, bondholders tendered $5 million in principal of the Black Knight Senior Notes, which were subsequently purchased by us on February 24, 2014.</w:t>
      </w:r>
    </w:p>
    <w:p>
      <w:pPr>
        <w:spacing w:after="0" w:line="28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October 24, 2013, FNF entered into a bridge loan commitment letter (the “Bridge Loan Commitment Letter”) with Merrill Lynch, Pierce, Fenner &amp; Smith Incorporated, Bank of America, N.A. (“Bank of America”), J.P. Morgan Securities LLC and JP Morgan Chase Bank, N.A. The Bridge Loan Commitment Letter provides for up to an $800 million short-term loan facility (the “Bridge Facility”). The proceeds of the loans under the Bridge Facility were used to fund, in part, the cash consideration for the acquisition of LPS and pay certain costs, fees and expenses in connection with the LPS merger. Pursuant to the Bridge Loan Commitment Letter, we executed a promissory note in favor of the Bridge Facility lenders on the closing date of the Merger that evidenced the terms of the Bridge Facility. The Bridge Facility matured on the second business day following the funding thereof and required scheduled amortization payments. Borrowings under the Bridge Facility bear interest at a rate equal to the highest of (i) the Bank of America prime rate, (ii) the federal fund effective rate from time to time plus 0.5% and (iii) the one month adjusted London interbank offered rate ("LIBOR") plus 1.0%. Other than as set forth in this paragraph, the terms of the Bridge Facility are substantially the same as the terms of the Amended Term Loan Agreement discussed below. Subsequent to year end, as part of the acquisition of LPS on January 2, 2014, the Bridge Facility was funded and subsequently repaid the following day.</w:t>
      </w:r>
    </w:p>
    <w:p>
      <w:pPr>
        <w:spacing w:after="0" w:line="6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July 11, 2013, FNF entered into a term loan credit agreement with Bank of America, N.A., as administrative agent (in such capacity, the “TL Administrative Agent”), the lenders party thereto and the other agents party thereto (the “Term Loan Agreement”). The Term Loan Agreement permits us to borrow up to $1.1 billion to fund the acquisition of LPS. The term loans under the Term Loan Agreement mature on the date that is five years from the funding date of the term loans under the Term Loan Agreement. Term loans under the Term Loan Agreement generally bear interest at a variable rate based on either (i) the base rate (which is the highest of (a) 0.5% in excess of the federal funds rate, (b) the TL Administrative Agent’s “prime rate”, or (c) the sum of 1.0% plus one-month LIBOR) plus a margin of between 50 basis points and 100 basis points depending on the senior unsecured long-term debt ratings of FNF or (ii) LIBOR plus a margin of between 150 basis points and 200 basis points depending on the senior unsecured long-term debt ratings of FNF. Based on our current Moody’s and Standard &amp; Poor’s senior unsecured long-term debt ratings of Baa3/BBB-, respectively, the applicable margin for term loans subject to LIBOR is 175 basis points over LIBOR. Under the Term Loan Agreement, we are subject to customary affirmative, negative and financial covenants, including, among</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Term Loan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term loans may be accelerated and/or the lenders’ commitments may be terminated. In addition, upon the occurrence of certain insolvency or bankruptcy related events of default, all amounts payable under the Term Loan Agreement shall automatically become immediately due and payable, and the lenders’ commitments will automatically terminate. Under the Term Loan Agreement the financial covenants are the same as under the Restated Credit Agreement. On October 27, 2013, we amended the Term Loan Agreement to permit us to incur the indebtedness in respect of the Bridge Facility and incorporate other technical changes to describe the structure of the LPS merger. Subsequent to year end, as part of the acquisition of LPS on January 2, 2014, the Term Loan Agreement was fully funded.</w:t>
      </w:r>
    </w:p>
    <w:p>
      <w:pPr>
        <w:spacing w:after="0" w:line="5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7"/>
          <w:szCs w:val="17"/>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Among other changes, the Revolving Credit Facility amends the Existing Credit Agreement to permit us to make a borrowing under the Revolving Credit Facility to finance a portion of the acquisition of LPS on a “limited conditionality” basis, incorporates other technical changes to permit us to enter into the Acquisition and extends the maturity of the Existing Credit Agreement. The lenders under the Existing Credit Agreement have agreed to extend the maturity date of their commitments under the credit facility from April 16, 2016 to July 15, 2018 under the Revolving Credit Facility. Revolving loans under the credit facility generally bear interest at a variable rate based on either (i) the base rate (which is the highest of (a) one-half of one percent in excess of the federal funds rate, (b) the Administrative Agent's “prime rate”, or (c) the sum of one percent plus one-month LIBOR) plus a margin of between 32.5 and 60 basis points depending on the senior unsecured long-term debt ratings of FNF or (ii) LIBOR plus a margin of between 132.5 and 160 basis points depending on the senior unsecured long-term debt ratings of FNF. Based on our current Moody’s and Standard &amp; Poor’s senior unsecured long-term debt ratings of Baa3/BBB-, respectively, the applicable margin for revolving loans subject to LIBOR is 145 basis points. In addition, we will pay a facility fee of between 17.5 and 40 basis points on the entire facility, also depending on our senior unsecured long-term debt ratings. Under the Revolving Credit Facility,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Revolving Credit Facility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These events of default include a cross-default provision that, subject to limited exceptions, permits the lenders 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In addition, upon the occurrence of certain insolvency or bankruptcy related events of default, all amounts payable under the Revolving Credit Facility shall automatically become immediately due and payable, and the lenders' commitments will automatically terminate. Under the Revolving Credit Facility the financial covenants remain essentially the same as under the Existing Credit Agreement, except that the total debt to total capitalization ratio limit of 35% will increase to 37.5% for a period of one year after the closing of the LPS acquisition and the net worth test was reset. As of March 31, 2014, there was $300 million outstanding balance under the Revolving Credit Facility.</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Also on October 24, 2013, FNF entered into amendments to amend the Revolving Credit Facility to permit us to incur the indebtedness in respect of the Bridge Facility and incorporate other technical changes to describe the structure of the LPS merger.</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March 5, 2013, Remy entered into a First Amendment to its existing five year Asset-Based Revolving Credit Facility (the "Remy Credit Facility" and "Remy Credit Facility First Amendment") to extend the maturity date of the Remy Credit Facility from December 17, 2015 to September 5, 2018 and reduce the interest rate. The Remy Credit Facility now bears interest at a defined Base Rate plus 0.50%-1.00% per year or, at Remy's election, at an applicable LIBOR Rate plus 1.50%-2.00% per year and is paid monthly. The Remy Credit Facility First Amendment maintains the current maximum availability at $95 million, which may be increased, under certain circumstances, by $20 million, though the actual amount that may be borrowed is based on the amount of collateral. The Remy Credit Facility is secured by substantially all domestic accounts receivable and inventory held by Remy. Remy will incur an unused commitment fee of 0.375% on the unused amount of commitments under the Remy Credit Facility First Amendment. At March 31, 2014, the Remy Credit Facility balance was zero. Based upon the collateral supporting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Remy Credit Facility, the amount borrowed, and the outstanding letters of credit of $14 million, there was additional availability for borrowing of $73 million on March 31, 2014. The Remy Credit Facility contains various restrictive covenants, which include, among other things: (i) a maximum leverage ratio, decreasing over the term of the facility; (ii) a minimum interest coverage ratio, increasing over the term of the facility; (iii) mandatory prepayments upon certain asset sales and debt issuances; (iv) requirements for minimum liquidity; and (v) limitations on the payment of dividends in excess of a specified amount. During the three months ended March 31, 2014, Remy borrowed and repaid $4 million under this facility.</w:t>
      </w:r>
    </w:p>
    <w:p>
      <w:pPr>
        <w:spacing w:after="0" w:line="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5, 2013, Remy entered into a $300 million Amended and Restated Term B Loan Credit Agreement ("Term B Amendment") to refinance the existing $287 million Term B Loan, extend the maturity from December 17, 2016 to March 5, 2020, and reduce the interest rate. The Term B Amendment now bears interest at LIBOR (subject to a floor of 1.25%) plus 3% per year, with an original issue discount of approximately $1 million. The Term B Amendment also contains an option to increase the borrowing provided certain conditions are satisfied, including maintaining a maximum leverage ratio. The Term B Amendment is secured by a first priority lien on the stock of Remy's subsidiaries and substantially all domestic assets other than accounts receivable and inventory pledged to the Remy Credit Facility. Principal payments in the amount of approximately $1 million are due at the end of each calendar quarter with termination and final payment no later than March 5, 2020. The Term B Amendment also includes covenants and events of default customary for a facility of this type, including a cross-default provision under which the lenders may declare the loan in default if Remy (i) fails to make a payment when due under any debt having a principal amount greater than $5 million or (ii) breaches any other covenant in any such debt as a result of which the holders of such debt are permitted to accelerate its maturity. Remy is in compliance with all covenants as of March 31, 2014. The Term B Loan is subject to an excess cash calculation which may require the payment of additional principal on an annual basis. At March 31, 2014, the average borrowing rate, including the impact of the interest rate swaps, was 4.25%.</w:t>
      </w:r>
    </w:p>
    <w:p>
      <w:pPr>
        <w:spacing w:after="0" w:line="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28, 2012, FNF completed an offering of $400 million in aggregate principal amount of 5.50% notes due September 2022 (the "5.50% notes"), pursuant to an effective registration statement previously filed with the Securities and Exchange Commission. The notes were priced at 99.513% of par to yield 5.564% annual interest. As such we recorded a discount of $2 million, which is netted against the $400 million aggregate principal amount of the 5.50% notes. The discount is amortized to September 2022 when the 5.50% notes mature. The 5.50% notes will pay interest semi-annually on the 1st of March and September, beginning March 1, 2013. We received net proceeds of $396 million, after expenses, which were used to repay the $237 million aggregate principal amount outstanding of our 5.25% unsecured notes maturing in March 2013, the $50 million outstanding on our revolving credit facility, and the remainder is being held for general corporate purposes.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7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May 31, 2012, ABRH entered into a credit agreement (the “ABRH Credit Facility”) with Wells Fargo Capital Finance, LLC as administrative agent and swing lender (the “ABRH Administrative Lender”) and the other financial institutions party thereto. The ABRH Credit Facility provides for a maximum revolving loan of $80 million with a maturity date of May 31, 2017. Additionally, the ABRH Credit Facility provides for a maximum term loan ("Restaurant Group Term Loan") of $85 million with quarterly installment repayments through December 25, 2016 and a maturity date of May 31, 2017 for the outstanding unpaid principal balance and all accrued and unpaid interest. On May 31, 2012, ABRH borrowed the entire $85 million under such term loan. Pricing for the ABRH Credit Facility is based on an applicable margin between 300 basis points to 375 basis points over LIBOR. The ABRH Credit Facility is subject to affirmative, negative and financial covenants customary for financings of this type, including, among other things, limits on ABRH's creation of liens, sales of assets, incurrence of indebtedness, restricted payments, transactions with affiliates, and certain amendments. The covenants addressing restricted payments include certain limitations on the declaration or payment of dividends by ABRH to its parent, Fidelity Newport Holdings, LLC (“FNH”), and by FNH to its members, and one such limitation restricts the amount of dividends that ABRH can pay to its parent (and that FNH can in turn pay to its members) to $5 million in the aggregate (outside of certain other permitted dividend payments) in fiscal year 2012 (with varying amounts for subsequent years). The ABRH Credit Facility includes customary events of default for facilities of this type (with customary grace periods, as applicable), which include a cross-default provision whereby an event of default will be deemed to have occurred if (i) ABRH or any of its guarantors, which consists of FNH and certain of its subsidiaries, (together, the “Loan Parties”) or any of their subsidiaries default on any agreement with a third party of $2 million or more related to their indebtedness and such default (a) occurs at the final maturity of the obligations thereunder or (b) results in a right by such third party to accelerate such Loan Party's or its subsidiary's obligations or (ii) a default or an early termination occurs with respect to certain hedge agreements to which a Loan Party or its subsidiaries is a party involving an amount of $0.75 million or more. The ABRH Credit Facility provides that, upon the occurrence of an event of default, the ABRH Administrative Lender may (i) declare the principal of, and any and all accrued and unpaid interest and fees in respect of, the loans immediately due and payable, (ii)</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terminate loan commitments and (iii) exercise all other rights and remedies available to the ABRH Administrative Lender or the lenders under the loan documents. As of March 31, 2014, the balance of the term loan was $53 million and there was no outstanding balance on the revolving loan. ABRH had $18 million of outstanding letters of credit and $62 million of remaining borrowing capacity under our revolving credit facility as of March 31, 2014.</w:t>
      </w:r>
    </w:p>
    <w:p>
      <w:pPr>
        <w:spacing w:after="0" w:line="5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August 2, 2011, FNF completed an offering of $300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$22 million to be amortized to August 2018, when the Notes mature. The Notes will be convertible into cash, shares of common stock, or a combination of cash and shares of common stock, at our election, based on an initial conversion rate, subject to adjustment, of 46.387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ten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 As of October 1, 2013, these notes were convertible under the 130% Sale Price Condition described above. On March 28, 2014, $42 million in principal of these bonds were converted at the election of the bondholder, these bonds had a fair value of $63 million and are subject to a 30-day waiting period before the conversion is complete. We expect for the conversion to be final in the second quarter of 2014.</w:t>
      </w:r>
    </w:p>
    <w:p>
      <w:pPr>
        <w:spacing w:after="0" w:line="3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December 2010, Remy entered into a $300 million Term B Loan (“Term B”) facility. The Term B is secured by a first priority lien on the stock of Remy's subsidiaries and substantially all Remy domestic assets other than accounts receivable and inventory pledged to the Asset-Based Revolving Credit Facility ("Remy Credit Facility"), as described below. The Term B bears an interest rate of LIBOR (subject to a floor of 1.75%) plus 4.5% per annum. The Term B matures on December 17, 2016. Principal payments in the amount of $0.8 million are due at the end of each calendar quarter with termination and final payment no later than December 17, 2016. The Term B facility is subject to an excess cash calculation which may require the payment of additional principal on an annual basis. The Term B also includes events of default customary for a facility of this type, including a cross-default provision under which the lenders may declare the loan in default if we (i) fail to make a payment when due under any debt having a principal amount greater than $5 million or (ii) breach any other covenant in any such debt as a result of which the holders of such debt are permitted to accelerate its maturity. This facility was replaced on March 5, 2013 by the Term B Amendment noted above.</w:t>
      </w:r>
    </w:p>
    <w:p>
      <w:pPr>
        <w:spacing w:after="0" w:line="4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Remy also has revolving credit facilities with three Korean banks with a total facility amount of approximately $12 million, of which $2 million is borrowed at average interest rates of 3.46% at March 31, 2014. In Hungary, there are two revolving credit facilities with two separate banks for a total facility amount of $4 million, of which nothing is borrowed at March 31, 2014. During the three months ended March 31, 2014, Remy entered into a revolving credit facility in China with one bank for a total credit facility of $10 million, of which $3 million was borrowed at an average interest rate of 5.6%</w:t>
      </w:r>
    </w:p>
    <w:p>
      <w:pPr>
        <w:spacing w:after="0" w:line="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5, 2010, FNF completed an offering of $300 million in aggregate principal amount of our 6.60% notes due May 2017 (the "6.60% Notes"), pursuant to an effective registration statement previously filed with the Securities and Exchange Commission. The 6.60% Notes were priced at 99.897% of par to yield 6.61% annual interest. We received net proceeds of $297 million, after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March 31, 2014 are as follows (in millions):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10020" w:type="dxa"/>
            <w:vAlign w:val="bottom"/>
          </w:tcPr>
          <w:p>
            <w:pPr>
              <w:ind w:left="20"/>
              <w:spacing w:after="0"/>
              <w:rPr>
                <w:sz w:val="20"/>
                <w:szCs w:val="20"/>
                <w:color w:val="auto"/>
              </w:rPr>
            </w:pPr>
            <w:r>
              <w:rPr>
                <w:rFonts w:ascii="Arial" w:cs="Arial" w:eastAsia="Arial" w:hAnsi="Arial"/>
                <w:sz w:val="18"/>
                <w:szCs w:val="18"/>
                <w:color w:val="auto"/>
              </w:rPr>
              <w:t>2014</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783</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w:t>
            </w:r>
          </w:p>
        </w:tc>
      </w:tr>
      <w:tr>
        <w:trPr>
          <w:trHeight w:val="237"/>
        </w:trPr>
        <w:tc>
          <w:tcPr>
            <w:tcW w:w="100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3,360</w:t>
            </w:r>
          </w:p>
        </w:tc>
      </w:tr>
      <w:tr>
        <w:trPr>
          <w:trHeight w:val="27"/>
        </w:trPr>
        <w:tc>
          <w:tcPr>
            <w:tcW w:w="10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ordinary course of business, we are involved in various pending and threatened litigation matters related to our title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other than the matters discussed below, depart from customary litigation incidental to our insurance business.</w:t>
      </w:r>
    </w:p>
    <w:p>
      <w:pPr>
        <w:spacing w:after="0" w:line="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Remy is a defendant from time to time in various legal proceedings arising in the ordinary course of business, including claims relating to commercial transactions, product liability, safety, health, taxes, environmental, intellectual property and other matters.</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and claims from guests or employees alleging illness, injury or other food quality, health or operational concerns. These companies are also subject to compliance with extensive government laws and regulations related to employment practices and policies and the manufacture, preparation, and sale of food and alcohol.</w:t>
      </w:r>
    </w:p>
    <w:p>
      <w:pPr>
        <w:spacing w:after="0" w:line="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Our accrual for legal and regulatory matters was $87 million and $9 million as of March 31, 2014 and December 31, 2013, respectively. Of this accrual, $73 million relates to historical LPS matters. As discussed elsewhere, LPS was acquired on January 2, 2014. None of the amounts we have currently recorded are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a review by the Board of Governors of the Federal Reserve System, the Federal Deposit Insurance Corporation, the Office of the Comptroller of the Currency and the Office of Thrift Supervision (collectively, the “banking agencies”), LPS entered into a consent order (the “Order”) dated April 13, 2011 with the banking agencies. The banking agencies' review of LPS' services included the services provided by its default operations to mortgage servicers regulated by the banking agencies, including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document execution services. The Order does not make any findings of fact or conclusions of wrongdoing, nor does LPS admit any fault or liability. Under the Order, LPS agreed to further study the issues identified in the review and to enhance its compliance, internal audit, risk management and board oversight plans with respect to those businesses. LPS also agreed to engage an independent third party to conduct a risk assessment and review of its default management businesses and the document execution services we provided to servicers from January 1, 2008 through December 31, 2010. The document execution review by the independent third party is likely to take longer than previously anticipated. LPS accrued for the additional fees and costs expected to be charged by the independent third party to complete the review. To the extent such review, once completed, requires additional remediation of mortgage documents or identifies any financial injury from the document execution services LPS provided, LPS agreed to implement an appropriate plan to address the issues. The Order contains various deadlines by which LPS has agreed to accomplish the undertakings set forth therein, including the preparation of a remediation plan following the completion of the document execution review. LPS agreed and we will continue to make periodic reports to the banking agencies on our progress with respect to each of the undertakings in the Order. The Order does not include any fine or other monetary penalty, although the banking agencies have not yet concluded their assessment of whether any civil monetary penalties may be imposed.</w:t>
      </w:r>
    </w:p>
    <w:p>
      <w:pPr>
        <w:spacing w:after="0" w:line="1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On December 16, 2013, LPS received notice that Merion Capital, L.P. and Merion Capital II, L.P. (together "Merion Capital"). were asserting their appraisal right relative to their ownership of 5,682,276 shares of LPS stock. On January 2, 2014, the date of the acquisition of LPS, we deposited approximately 1.6 million shares of common stock and approximately $160 million in cash to the exchange fund as merger consideration for Merion Capital's LPS ownership, which Merion Capital did not accept. Under Delaware state law, holders of LPS common stock who follow applicable Delaware law procedure relating to appraisal rights are entitled, in lieu of receiving the merger consideration, to have the "fair value" of their shares determined by the Delaware Court of Chancery paid to them in cash together with a fair rate of interest unless decided otherwise by the Delaware Court of Chancery. On February 6, 2014, </w:t>
      </w:r>
      <w:r>
        <w:rPr>
          <w:rFonts w:ascii="Arial" w:cs="Arial" w:eastAsia="Arial" w:hAnsi="Arial"/>
          <w:sz w:val="16"/>
          <w:szCs w:val="16"/>
          <w:i w:val="1"/>
          <w:iCs w:val="1"/>
          <w:color w:val="auto"/>
        </w:rPr>
        <w:t>Merion Capital LP and Merion Capital II, LP v. Lender Processing Services, Inc. n/k/a Black Knight InfoServ, LLC (“LPS”)</w:t>
      </w:r>
      <w:r>
        <w:rPr>
          <w:rFonts w:ascii="Arial" w:cs="Arial" w:eastAsia="Arial" w:hAnsi="Arial"/>
          <w:sz w:val="16"/>
          <w:szCs w:val="16"/>
          <w:color w:val="auto"/>
        </w:rPr>
        <w:t xml:space="preserve"> was filed in the Court of Chancery in Delaware. This suit involves a demand upon LPS for appraisal of their 5,682,276 shares of common stock under Delaware law. The matter is in the initial stages and we are in the process of responding to Interrogatories and Requests to Produce by Merion Capital. We filed an answer to this suit on March 3, 2014. We do not believe this matter will have a material impact on our results of operations. The resolution of this matter may impact our cash flow in the future if we are required to remit the entire merger consideration in cash. We intend to vigorously defend this action.</w:t>
      </w:r>
    </w:p>
    <w:p>
      <w:pPr>
        <w:spacing w:after="0" w:line="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0000" w:type="dxa"/>
            <w:vAlign w:val="bottom"/>
            <w:gridSpan w:val="3"/>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542"/>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640" w:type="dxa"/>
            <w:vAlign w:val="bottom"/>
          </w:tcPr>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40" w:type="dxa"/>
            <w:vAlign w:val="bottom"/>
          </w:tcPr>
          <w:p>
            <w:pPr>
              <w:jc w:val="center"/>
              <w:spacing w:after="0"/>
              <w:rPr>
                <w:sz w:val="20"/>
                <w:szCs w:val="20"/>
                <w:color w:val="auto"/>
              </w:rPr>
            </w:pPr>
            <w:r>
              <w:rPr>
                <w:rFonts w:ascii="Arial" w:cs="Arial" w:eastAsia="Arial" w:hAnsi="Arial"/>
                <w:sz w:val="18"/>
                <w:szCs w:val="18"/>
                <w:b w:val="1"/>
                <w:bCs w:val="1"/>
                <w:color w:val="auto"/>
                <w:w w:val="98"/>
              </w:rPr>
              <w:t>NOTES TO CONDENSED CONSOLIDATED FINANCIAL STATEMENTS (UNAUDITED) — continued</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675"/>
        </w:trPr>
        <w:tc>
          <w:tcPr>
            <w:tcW w:w="10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0"/>
        </w:trPr>
        <w:tc>
          <w:tcPr>
            <w:tcW w:w="220" w:type="dxa"/>
            <w:vAlign w:val="bottom"/>
          </w:tcPr>
          <w:p>
            <w:pPr>
              <w:spacing w:after="0"/>
              <w:rPr>
                <w:sz w:val="21"/>
                <w:szCs w:val="21"/>
                <w:color w:val="auto"/>
              </w:rPr>
            </w:pPr>
          </w:p>
        </w:tc>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2014 remaining</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r>
      <w:tr>
        <w:trPr>
          <w:trHeight w:val="243"/>
        </w:trPr>
        <w:tc>
          <w:tcPr>
            <w:tcW w:w="1360" w:type="dxa"/>
            <w:vAlign w:val="bottom"/>
            <w:gridSpan w:val="2"/>
          </w:tcPr>
          <w:p>
            <w:pPr>
              <w:ind w:left="240"/>
              <w:spacing w:after="0"/>
              <w:rPr>
                <w:sz w:val="20"/>
                <w:szCs w:val="20"/>
                <w:color w:val="auto"/>
              </w:rPr>
            </w:pPr>
            <w:r>
              <w:rPr>
                <w:rFonts w:ascii="Arial" w:cs="Arial" w:eastAsia="Arial" w:hAnsi="Arial"/>
                <w:sz w:val="18"/>
                <w:szCs w:val="18"/>
                <w:color w:val="auto"/>
              </w:rPr>
              <w:t>2015</w:t>
            </w:r>
          </w:p>
        </w:tc>
        <w:tc>
          <w:tcPr>
            <w:tcW w:w="8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169</w:t>
            </w:r>
          </w:p>
        </w:tc>
      </w:tr>
      <w:tr>
        <w:trPr>
          <w:trHeight w:val="27"/>
        </w:trPr>
        <w:tc>
          <w:tcPr>
            <w:tcW w:w="1360" w:type="dxa"/>
            <w:vAlign w:val="bottom"/>
            <w:gridSpan w:val="2"/>
          </w:tcPr>
          <w:p>
            <w:pPr>
              <w:spacing w:after="0"/>
              <w:rPr>
                <w:sz w:val="2"/>
                <w:szCs w:val="2"/>
                <w:color w:val="auto"/>
              </w:rPr>
            </w:pPr>
          </w:p>
        </w:tc>
        <w:tc>
          <w:tcPr>
            <w:tcW w:w="8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8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r>
      <w:tr>
        <w:trPr>
          <w:trHeight w:val="243"/>
        </w:trPr>
        <w:tc>
          <w:tcPr>
            <w:tcW w:w="1360" w:type="dxa"/>
            <w:vAlign w:val="bottom"/>
            <w:gridSpan w:val="2"/>
          </w:tcPr>
          <w:p>
            <w:pPr>
              <w:ind w:left="240"/>
              <w:spacing w:after="0"/>
              <w:rPr>
                <w:sz w:val="20"/>
                <w:szCs w:val="20"/>
                <w:color w:val="auto"/>
              </w:rPr>
            </w:pPr>
            <w:r>
              <w:rPr>
                <w:rFonts w:ascii="Arial" w:cs="Arial" w:eastAsia="Arial" w:hAnsi="Arial"/>
                <w:sz w:val="18"/>
                <w:szCs w:val="18"/>
                <w:color w:val="auto"/>
              </w:rPr>
              <w:t>2017</w:t>
            </w:r>
          </w:p>
        </w:tc>
        <w:tc>
          <w:tcPr>
            <w:tcW w:w="8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113</w:t>
            </w:r>
          </w:p>
        </w:tc>
      </w:tr>
      <w:tr>
        <w:trPr>
          <w:trHeight w:val="27"/>
        </w:trPr>
        <w:tc>
          <w:tcPr>
            <w:tcW w:w="1360" w:type="dxa"/>
            <w:vAlign w:val="bottom"/>
            <w:gridSpan w:val="2"/>
          </w:tcPr>
          <w:p>
            <w:pPr>
              <w:spacing w:after="0"/>
              <w:rPr>
                <w:sz w:val="2"/>
                <w:szCs w:val="2"/>
                <w:color w:val="auto"/>
              </w:rPr>
            </w:pPr>
          </w:p>
        </w:tc>
        <w:tc>
          <w:tcPr>
            <w:tcW w:w="8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8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r>
      <w:tr>
        <w:trPr>
          <w:trHeight w:val="243"/>
        </w:trPr>
        <w:tc>
          <w:tcPr>
            <w:tcW w:w="220" w:type="dxa"/>
            <w:vAlign w:val="bottom"/>
          </w:tcPr>
          <w:p>
            <w:pPr>
              <w:spacing w:after="0"/>
              <w:rPr>
                <w:sz w:val="21"/>
                <w:szCs w:val="21"/>
                <w:color w:val="auto"/>
              </w:rPr>
            </w:pPr>
          </w:p>
        </w:tc>
        <w:tc>
          <w:tcPr>
            <w:tcW w:w="97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305</w:t>
            </w:r>
          </w:p>
        </w:tc>
      </w:tr>
      <w:tr>
        <w:trPr>
          <w:trHeight w:val="27"/>
        </w:trPr>
        <w:tc>
          <w:tcPr>
            <w:tcW w:w="2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6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220" w:type="dxa"/>
            <w:vAlign w:val="bottom"/>
          </w:tcPr>
          <w:p>
            <w:pPr>
              <w:spacing w:after="0"/>
              <w:rPr>
                <w:sz w:val="22"/>
                <w:szCs w:val="22"/>
                <w:color w:val="auto"/>
              </w:rPr>
            </w:pPr>
          </w:p>
        </w:tc>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future minimum operating lease payments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Dividends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April 29, 2014, our Board of Directors declared cash dividends of $0.18 per share, payable on June 30, 2014, to shareholders of record as of June 16, 2014.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08"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I — Segment Information</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Summarized financial information concerning our reportable segments is shown in the following tables. During the fourth quarter of 2013, we determined that the Corporate and Other segment would be split in order to differentiate operations and costs related to our FNF Core businesses from those associated with FNFV. As a result, we reorganized our reporting segments to reflect this change. On January 2, 2014, we acquired LPS. As a result we have a new segment, BKFS, which contains the technology, data and analytics operations of the former LPS company. We have combined the acquired transaction services business of LPS with our existing ServiceLink operations which reside in the Title segment. There are several intercompany arrangements between our various FNF Core businesses. The effects of these arrangements including results of operating activities, intercompany notes and related interest and any other intercompany revenues and expenses have been eliminated in the segment presentations below.</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Total FNF</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color w:val="auto"/>
              </w:rPr>
              <w:t>FNFV</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40"/>
              <w:spacing w:after="0" w:line="131" w:lineRule="exact"/>
              <w:rPr>
                <w:sz w:val="20"/>
                <w:szCs w:val="20"/>
                <w:color w:val="auto"/>
              </w:rPr>
            </w:pPr>
            <w:r>
              <w:rPr>
                <w:rFonts w:ascii="Arial" w:cs="Arial" w:eastAsia="Arial" w:hAnsi="Arial"/>
                <w:sz w:val="13"/>
                <w:szCs w:val="13"/>
                <w:color w:val="auto"/>
              </w:rPr>
              <w:t>FNF Corporate</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6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BKFS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4"/>
              </w:rPr>
              <w:t>Core</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Remy</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4"/>
              </w:rPr>
              <w:t>FNFV</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Eliminations</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2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755</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b w:val="1"/>
                <w:bCs w:val="1"/>
                <w:color w:val="auto"/>
              </w:rPr>
              <w:t>618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rPr>
              <w:t>646</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 parts revenues</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Restaurant revenues</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354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354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354</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1,373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2,057</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w w:val="99"/>
              </w:rPr>
              <w:t>Interest and investment income (loss),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88"/>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including realized gains and losses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1,208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1,403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686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2,089</w:t>
            </w:r>
          </w:p>
        </w:tc>
        <w:tc>
          <w:tcPr>
            <w:tcW w:w="0" w:type="dxa"/>
            <w:vAlign w:val="bottom"/>
          </w:tcPr>
          <w:p>
            <w:pPr>
              <w:spacing w:after="0"/>
              <w:rPr>
                <w:sz w:val="1"/>
                <w:szCs w:val="1"/>
                <w:color w:val="auto"/>
              </w:rPr>
            </w:pPr>
          </w:p>
        </w:tc>
      </w:tr>
      <w:tr>
        <w:trPr>
          <w:trHeight w:val="250"/>
        </w:trPr>
        <w:tc>
          <w:tcPr>
            <w:tcW w:w="24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21"/>
                <w:szCs w:val="21"/>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b w:val="1"/>
                <w:bCs w:val="1"/>
                <w:color w:val="auto"/>
              </w:rPr>
              <w:t>101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rPr>
              <w:t>118</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Earnings (loss) from continuing</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rPr>
              <w:t>operations, before income taxes and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rPr>
              <w:t>equity in earnings (loss) of</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(100)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unconsolidated affiliates</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137"/>
        </w:trPr>
        <w:tc>
          <w:tcPr>
            <w:tcW w:w="242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w:t>
            </w: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rPr>
              <w:t>operations, before equity in earnings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(loss) of unconsolidated affiliates</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42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4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(73)</w:t>
            </w:r>
          </w:p>
        </w:tc>
        <w:tc>
          <w:tcPr>
            <w:tcW w:w="0" w:type="dxa"/>
            <w:vAlign w:val="bottom"/>
          </w:tcPr>
          <w:p>
            <w:pPr>
              <w:spacing w:after="0"/>
              <w:rPr>
                <w:sz w:val="1"/>
                <w:szCs w:val="1"/>
                <w:color w:val="auto"/>
              </w:rPr>
            </w:pPr>
          </w:p>
        </w:tc>
      </w:tr>
      <w:tr>
        <w:trPr>
          <w:trHeight w:val="221"/>
        </w:trPr>
        <w:tc>
          <w:tcPr>
            <w:tcW w:w="242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1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8,145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3,720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12,094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676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2,626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7"/>
              </w:rPr>
              <w:t>14,687</w:t>
            </w:r>
          </w:p>
        </w:tc>
        <w:tc>
          <w:tcPr>
            <w:tcW w:w="0" w:type="dxa"/>
            <w:vAlign w:val="bottom"/>
          </w:tcPr>
          <w:p>
            <w:pPr>
              <w:spacing w:after="0"/>
              <w:rPr>
                <w:sz w:val="1"/>
                <w:szCs w:val="1"/>
                <w:color w:val="auto"/>
              </w:rPr>
            </w:pPr>
          </w:p>
        </w:tc>
      </w:tr>
      <w:tr>
        <w:trPr>
          <w:trHeight w:val="258"/>
        </w:trPr>
        <w:tc>
          <w:tcPr>
            <w:tcW w:w="2420" w:type="dxa"/>
            <w:vAlign w:val="bottom"/>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2,240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1,989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b w:val="1"/>
                <w:bCs w:val="1"/>
                <w:color w:val="auto"/>
              </w:rPr>
              <w:t>4,232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b w:val="1"/>
                <w:bCs w:val="1"/>
                <w:color w:val="auto"/>
              </w:rPr>
              <w:t>477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rPr>
              <w:t>4,709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2013:</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Total FNF</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FNFV</w:t>
            </w:r>
          </w:p>
        </w:tc>
        <w:tc>
          <w:tcPr>
            <w:tcW w:w="100" w:type="dxa"/>
            <w:vAlign w:val="bottom"/>
          </w:tcPr>
          <w:p>
            <w:pPr>
              <w:spacing w:after="0"/>
              <w:rPr>
                <w:sz w:val="13"/>
                <w:szCs w:val="13"/>
                <w:color w:val="auto"/>
              </w:rPr>
            </w:pPr>
          </w:p>
        </w:tc>
        <w:tc>
          <w:tcPr>
            <w:tcW w:w="5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40"/>
              <w:spacing w:after="0" w:line="131" w:lineRule="exact"/>
              <w:rPr>
                <w:sz w:val="20"/>
                <w:szCs w:val="20"/>
                <w:color w:val="auto"/>
              </w:rPr>
            </w:pPr>
            <w:r>
              <w:rPr>
                <w:rFonts w:ascii="Arial" w:cs="Arial" w:eastAsia="Arial" w:hAnsi="Arial"/>
                <w:sz w:val="13"/>
                <w:szCs w:val="13"/>
                <w:color w:val="auto"/>
              </w:rPr>
              <w:t>FNF Corporate</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28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6"/>
              </w:rPr>
              <w:t>Corporate</w:t>
            </w: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BKFS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4"/>
              </w:rPr>
              <w:t>Core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Remy</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color w:val="auto"/>
                <w:w w:val="93"/>
              </w:rPr>
              <w:t>Group</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and Other</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Eliminations</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81"/>
        </w:trPr>
        <w:tc>
          <w:tcPr>
            <w:tcW w:w="2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937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937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b w:val="1"/>
                <w:bCs w:val="1"/>
                <w:color w:val="auto"/>
              </w:rPr>
              <w:t>416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435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 parts revenues</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284</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Restaurant revenues</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354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354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354</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657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w w:val="99"/>
              </w:rPr>
              <w:t>Interest and investment income (loss),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88"/>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including realized gains and losses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1,375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1,385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656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2,041</w:t>
            </w:r>
          </w:p>
        </w:tc>
        <w:tc>
          <w:tcPr>
            <w:tcW w:w="0" w:type="dxa"/>
            <w:vAlign w:val="bottom"/>
          </w:tcPr>
          <w:p>
            <w:pPr>
              <w:spacing w:after="0"/>
              <w:rPr>
                <w:sz w:val="1"/>
                <w:szCs w:val="1"/>
                <w:color w:val="auto"/>
              </w:rPr>
            </w:pPr>
          </w:p>
        </w:tc>
      </w:tr>
      <w:tr>
        <w:trPr>
          <w:trHeight w:val="250"/>
        </w:trPr>
        <w:tc>
          <w:tcPr>
            <w:tcW w:w="24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21"/>
                <w:szCs w:val="21"/>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Earnings (loss) from continuing</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rPr>
              <w:t>operations, before income taxes and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rPr>
              <w:t>equity in earnings (loss) of</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146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137</w:t>
            </w: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unconsolidated affiliates</w:t>
            </w: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37"/>
        </w:trPr>
        <w:tc>
          <w:tcPr>
            <w:tcW w:w="242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w:t>
            </w: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rPr>
              <w:t>operations, before equity in earnings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94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(loss) of unconsolidated affiliates</w:t>
            </w: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42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49"/>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221"/>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operations</w:t>
            </w:r>
          </w:p>
        </w:tc>
        <w:tc>
          <w:tcPr>
            <w:tcW w:w="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2,611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9,682</w:t>
            </w:r>
          </w:p>
        </w:tc>
        <w:tc>
          <w:tcPr>
            <w:tcW w:w="0" w:type="dxa"/>
            <w:vAlign w:val="bottom"/>
          </w:tcPr>
          <w:p>
            <w:pPr>
              <w:spacing w:after="0"/>
              <w:rPr>
                <w:sz w:val="1"/>
                <w:szCs w:val="1"/>
                <w:color w:val="auto"/>
              </w:rPr>
            </w:pPr>
          </w:p>
        </w:tc>
      </w:tr>
      <w:tr>
        <w:trPr>
          <w:trHeight w:val="258"/>
        </w:trPr>
        <w:tc>
          <w:tcPr>
            <w:tcW w:w="2420" w:type="dxa"/>
            <w:vAlign w:val="bottom"/>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1,434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b w:val="1"/>
                <w:bCs w:val="1"/>
                <w:color w:val="auto"/>
              </w:rPr>
              <w:t>1,437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446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1,883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Core Operations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segment consists of the operations of our title insurance underwriters and related businesses. This segment provides core title insurance and escrow and other title related services including collection and trust activities, trustee’s sales guarantees, recordings and reconveyances, and home warranty insurance. This segment also includes the transaction services business acquired from LPS, now combined with our ServiceLink business.</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BKFS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consists of the operations of BKFS. This segment provides core technology and data and analytics services through leading software systems and information solutions that facilitate and automate many of the business processes across the life cycle of a mortgage.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FNF Corporate and Other segment consists of the operations of the parent holding company, certain other unallocated corporate overhead expenses, other smaller real estate and insurance related operations.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This segment consists of the operations of Remy, in which we have a 51% ownership interest. Remy is a leading designer, manufacturer, remanufacturer, marketer and distributor of aftermarket and original equipment electrical components for automobiles, light trucks, heavy-duty trucks and other vehicles.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Restaurant Group segment consists of the operations of ABRH, in which we have a 55% ownership interest. ABRH is the owner and operator of the O'Charley's, Ninety Nine Restaurants, Max &amp; Erma's, Village Inn and Bakers Square concepts. This segment also includes J. Alexander's, which also includes the Stoney River Legendary Steaks concept.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Portfolio Company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Portfolio Company Corporate and Other segment primarily consists of our share in the operations of certain equity investments, including Ceridian, Digital Insurance and other smaller operations which are not title related.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and other risks detailed in the “Statement Regarding Forward-Looking Information,” “Risk Factors” and other sections of the Company’s Form 10-K for the year ended December 31, 2013 and other filings with the Securities and Exchange Commission.</w:t>
      </w:r>
    </w:p>
    <w:p>
      <w:pPr>
        <w:spacing w:after="0" w:line="61" w:lineRule="exact"/>
        <w:rPr>
          <w:sz w:val="20"/>
          <w:szCs w:val="20"/>
          <w:color w:val="auto"/>
        </w:rPr>
      </w:pPr>
    </w:p>
    <w:p>
      <w:pPr>
        <w:ind w:right="1400" w:firstLine="324"/>
        <w:spacing w:after="0" w:line="402" w:lineRule="auto"/>
        <w:rPr>
          <w:sz w:val="20"/>
          <w:szCs w:val="20"/>
          <w:color w:val="auto"/>
        </w:rPr>
      </w:pPr>
      <w:r>
        <w:rPr>
          <w:rFonts w:ascii="Arial" w:cs="Arial" w:eastAsia="Arial" w:hAnsi="Arial"/>
          <w:sz w:val="18"/>
          <w:szCs w:val="18"/>
          <w:color w:val="auto"/>
        </w:rPr>
        <w:t xml:space="preserve">The following discussion should be read in conjunction with our Annual Report on Form 10-K for the year ended December 31, 2013. </w:t>
      </w:r>
      <w:r>
        <w:rPr>
          <w:rFonts w:ascii="Arial" w:cs="Arial" w:eastAsia="Arial" w:hAnsi="Arial"/>
          <w:sz w:val="18"/>
          <w:szCs w:val="18"/>
          <w:b w:val="1"/>
          <w:bCs w:val="1"/>
          <w:color w:val="auto"/>
        </w:rPr>
        <w:t>Overview</w:t>
      </w:r>
    </w:p>
    <w:p>
      <w:pPr>
        <w:spacing w:after="0" w:line="3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leading provider of title insurance, technology and transaction services to the real estate and mortgage industries. We are the nation’s largest title insurance company through our title insurance underwriters - Fidelity National Title, Chicago Title, Commonwealth Land Title, Alamo Title and National Title of New York - that collectively issue more title insurance policies than any other title company in the United States. We also provide industry-leading mortgage technology solutions and transaction services, including MSP®, the leading residential mortgage servicing technology platform in the U.S., through our majority-owned subsidiaries, Black Knight Financial Services, LLC ("BKFS") and ServiceLink Holdings, LLC ("ServiceLink"). In addition, we own majority and minority equity investment stakes in a number of entities, including American Blue Ribbon Holdings, LLC ("ABRH"), J. Alexander’s, LLC ("J. Alexander's"), Remy International, Inc. ("Remy"), Ceridian HCM, Inc., Comdata Inc. (collectively "Ceridian") and Digital Insurance, Inc. ("Digital Insurance").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six reporting segments as follows: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Core Operations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segment consists of the operations of our title insurance underwriters and related businesses. This segment provides core title insurance and escrow and other title related services including collection and trust activities, trustee’s sales guarantees, recordings and reconveyances, and home warranty insurance. This segment also includes the transaction services business acquired from LPS, now combined with our ServiceLink business.</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BKFS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consists of the operations of BKFS. This segment provides core technology and data and analytics services through leading software systems and information solutions that facilitate and automate many of the business processes across the life cycle of a mortgage.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FNF Corporate and Other segment consists of the operations of the parent holding company, certain other unallocated corporate overhead expenses, other smaller real estate and insurance related operations.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This segment consists of the operations of Remy, in which we have a 51% ownership interest. Remy is a leading designer, manufacturer, remanufacturer, marketer and distributor of aftermarket and original equipment electrical components for automobiles, light trucks, heavy-duty trucks and other vehicles.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Restaurant Group segment consists of the operations of ABRH, in which we have a 55% ownership interest. ABRH is the owner and operator of the O'Charley's, Ninety Nine Restaurants, Max &amp; Erma's, Village Inn and Bakers Square concepts. This segment also includes J. Alexander's, which also includes the Stoney River Legendary Steaks concept.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FNFV Corporate and Other segment primarily consists of our share in the operations of certain equity investments, including Ceridian, Digital Insurance and other smaller operations which are not title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 2014, we completed the purchase of Lender Processing Services, Inc. ("LPS"). The purchase consideration paid was $37.14 per share, of which $28.10 per share was paid in cash and the remaining $9.04 was paid in FNF common shares. The purchase consideration represented an exchange ratio of 0.28742 per share of LPS common stock. Total consideration paid for LPS was $3.4 billion, which consisted of $2,248 million in cash, net of cash acquired and $839 million in FNF common stock. In order to pay the stock component of the consideration, we issued 25,920,078 shares to the former LPS shareholders. See Note B for further discussion.</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31, 2014 we announced our plans to form a new tracking stock for Fidelity National Financial Ventures (“FNFV”). As a result, we have decided to begin separately reporting the results of our core operations, which include our Title segment and BKFS, and our FNFV operations, which include Remy, the Restaurant Group, Digital Insurance, our minority equity investment in Ceridian and other smaller operations. We expect to complete the formation of our tracking stock on or about June 30, 2014.</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13, 2014, Remy acquired substantially all of the assets of United Starters and Alternators Industries, Inc. ("USA Industries") pursuant to the terms and conditions of the Asset Purchase Agreement, effective as of January 13, 2014. USA Industries is a leading North American distributor of premium quality re-manufactured and new alternators, starters, constant velocity axles and disc brake calipers for the light-duty aftermarket. Total consideration paid was $40 million, net of cash acquired.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from two closed J. Alexander's locations and a settlement services company closed in the second quarter of 2013 are reflected in the Condensed Consolidated Statements of Operations as discontinued operations for all periods presented. Total revenues included in discontinued operations was $8 million for the three months ending March 31, 2013. Pre-tax earnings included in discontinued operations are $1 million for the three months ended March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financial statements for the three months ended March 31, 2013, reflect related party transactions with Fidelity National Information Services, Inc. ("FIS"), which was considered a related party until December 31, 2013. See Note A of the Notes to Condensed Consolidated Financial Statements for further details on our transactions with related parties.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Operations</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Title revenue is closely related to the level of real estate activity which includes sales, mortgage financing and mortgage refinancing. The levels of real estate activity are primarily affected by the average price of real estate sales, the availability of funds to finance purchases, mortgage interest rates and the strength of the United States economy, including employment levels. Declines in the level of real estate activity or the average price of real estate sales will adversely affect our title insurance revenues.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December 2008, the Federal Reserve has held the federal funds rate at 0.0%-0.25%, and has indicated that rates will stay at this level at least through 2014. Mortgage interest rates were at historically low levels through the beginning of 2013. During the last half of 2013, however, interest rates rose to their highest level since 2011. In 2014, interest rates have remained consistent with the fourth quarter of 2013.</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8, 2014, the Mortgage Banker's Association ("MBA") estimated the size of the U.S. mortgage originations market as shown in the following table for 2012 - 2015 in their "Mortgage Finance Forecast" (in trillions):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transactions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Refinance transactions</w:t>
            </w:r>
          </w:p>
        </w:tc>
        <w:tc>
          <w:tcPr>
            <w:tcW w:w="2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 mortgage originations forecast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0"/>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shown above, the originations in 2013 and 2012 were driven primarily by refinance transactions, which coincides with the historically low interest rates experienced during those years. In 2014, the MBA predicts a 39.3% decrease in the total market, primarily due to a 62.0% decrease in refinance transactions in 2014, with the originations in 2015 remaining relatively consistent with those in 2014.</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Several pieces of legislation were enacted to address the struggling mortgage market and the current economic and financial environment. On October 24, 2011, the Federal Housing Finance Agency ("FHFA") announced a series of changes to the Home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Affordable Refinance Program ("HARP") that would make it easier for certain borrowers who owe more than their home is worth and who are current on their mortgage payments to refinance their mortgages at lower interest rates. The program reduces or eliminates the risk-based fees Fannie Mae and Freddie Mac charge on many loans, raises the loan-to-home value ratio requirement for refinancing, and streamlines the underwriting process. According to the Federal Housing Authority ("FHA"), lenders began taking refinancing applications on December 1, 2011 under the modified HARP. On April 11, 2013, the FHFA announced that the modified HARP program had been extended through December 2015. We believe the modified HARP program had a positive effect on our results during 2013 and 2012, but are uncertain to what degree the program may impact our results in the future.</w:t>
      </w:r>
    </w:p>
    <w:p>
      <w:pPr>
        <w:spacing w:after="0" w:line="4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During 2010, a number of lenders imposed freezes on foreclosures in some or all states as they reviewed their foreclosure practices. In response to these freezes, the Office of the Comptroller of the Currency ("OCC") reviewed the foreclosure practices in the residential mortgage loan servicing industry. On April 13, 2011, the OCC and other federal regulators (collectively the "banking agencies") announced formal consent orders against several national bank mortgage servicers and third-party service providers for inappropriate practices related to residential mortgage loan servicing and foreclosure processing. The consent orders require the servicers to promptly correct deficiencies and make improvements in practices for residential mortgage loan servicing and foreclosure processing, including improvements to future communications with borrowers and a comprehensive "look back" to assess whether foreclosures complied with federal and state laws and whether any deficiencies in the process or related documentation resulted in financial injury to borrowers. Our title insurance underwriters were not involved in these enforcement actions and we do not believe that our title insurance underwriters are exposed to significant losses resulting from faulty foreclosure practices. Our title insurance underwriters issue title policies on real estate owned properties to new purchasers and lenders to those purchasers. We believe that these policies will not result in significant additional claims exposure to us because even if a court sets aside a foreclosure due to a defect in documentation, the foreclosing lender would be required to return to our insureds all funds obtained from them, resulting in reduced exposure under the title insurance policy. Further, we believe that under current law and the rights we have under our title insurance policies, we would have the right to seek recovery from the foreclosing lender in the event of a failure to comply with state laws or local practices in connection with a foreclosure. The former LPS and certain of its subsidiaries entered into a consent order with the banking agencies in relation to its default operations, now part of the Title segment. As part of the consent order, LPS agreed to further study the issues identified in the review and enhance its compliance, internal audit, risk management and board oversight plans with respect to the related businesses, among additional agreed undertakings. In January 2013, ten large mortgage servicers concluded the reviews required by the 2011 consent orders and agreed to monetary settlements, and LPS also entered into settlement agreements in January 2013 with 49 States and the District of Columbia relating to certain practices within its default operations and in February 2014, we also settled with the State of Nevada and the Federal Deposit Insurance Corporation. In April 2013, these mortgage servicers began making restitution under these settlements. We cannot predict whether these settlements may result in more normalized foreclosure timelines in the future. Moreover, we cannot predict whether any additional legislative or regulatory changes will be implemented as a result of the findings of the banking agencies or whether the U.S. federal government may take additional action to address the current housing market and economic uncertainty. Some states have enacted or are considering adopting legislation, such as the California Homeowner Bill of Rights, that places additional responsibilities and restrictions on servicers with respect to the foreclosure process. Any such actions could further extend foreclosure timelines. Moreover, as the processing of foreclosures in accordance with applicable law becomes more onerous, many lenders are addressing loans in default through other means, such as short sales, in order to avoid the risks and liability now associated with the foreclosure process. If foreclosure timelines continue to be extended and servicers address delinquent loans through other processes, the results of our default operations within the Title segment may be adversely affected.</w:t>
      </w:r>
    </w:p>
    <w:p>
      <w:pPr>
        <w:spacing w:after="0" w:line="3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addition to state-level regulation, segments of our FNF core businesses are subject to regulation by federal agencies, including the Consumer Financial Protection Bureau (“CFPB”). The Dodd-Frank Wall Street Reform ("Dodd-Frank") and Consumer Protection Act of 2010 established the CFPB, and in January 2012, President Obama appointed its first director.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w:t>
      </w:r>
    </w:p>
    <w:p>
      <w:pPr>
        <w:spacing w:after="0" w:line="5" w:lineRule="exact"/>
        <w:rPr>
          <w:sz w:val="20"/>
          <w:szCs w:val="20"/>
          <w:color w:val="auto"/>
        </w:rPr>
      </w:pPr>
    </w:p>
    <w:p>
      <w:pPr>
        <w:jc w:val="both"/>
        <w:ind w:firstLine="8"/>
        <w:spacing w:after="0" w:line="254"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lenders to deliver to consumers a statement of final financing charges (and the related annual percentage rate) at least three business days prior to the closing. These rules became effective on January 10, 2014. Dodd-Frank also included regulation over financial services and other lending related businesses including our newly acquired BKFS business. We cannot be certain what impact, if any, these new rules, or the CFPB generally, will have on our core businesses.</w:t>
      </w:r>
    </w:p>
    <w:p>
      <w:pPr>
        <w:spacing w:after="0" w:line="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Historically, real estate transactions have produced seasonal revenue levels for the real estate industry including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changes in interest rates and the implementation and subsequent expiration of government programs designed to stimulate the real estate market. In 2013, we have seen seasonality trends return to historical patterns. During 2013 and through the first quarter of 2014, we experienced a moderate increase in existing home sales and we have also seen a decline in total housing inventory. However, we have experienced significant declines in refinance activity starting in the fourth quarter of 2013.</w:t>
      </w:r>
    </w:p>
    <w:p>
      <w:pPr>
        <w:spacing w:after="0" w:line="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Because commercial real estate transactions tend to be driven more by supply and demand for commercial space and occupancy rates in a particular area rather than by macroeconomic events, we believe that our commercial real estate title insurance business is less dependent on the industry cycles discussed above than our residential real estate title business. For the past several years, including the first quarter of 2014, we have experienced an increase in volume and fee per file of commercial transactions from the previous years, indicating strong commercial markets.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Remy manufactures and sells auto parts, principally starter motors and alternators, as well as hybrid electric motors and multi-line products, including steering gear, constant velocity axles, and brake calipers, for sale to original equipment manufacturers (OEM) and aftermarket customers. Remy manufactures products for automobiles as well as light and heavy duty commercial vehicles. The OEM market for auto parts is dependent on levels of new vehicle production, which in turn, is affected by the overall economy, consumer confidence, discounts and incentives offered by automakers and the availability of funds to finance purchases.</w:t>
      </w:r>
    </w:p>
    <w:p>
      <w:pPr>
        <w:spacing w:after="0" w:line="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the aftermarket, Remy's results are affected by the strength of the economy and by gas prices, but do not follow the same cycles as original equipment market sales. In a weaker economy, drivers tend to keep their vehicles and repair them rather than buying new vehicles. Lower gas prices have historically tended to result in more miles driven, which increases the frequency with which auto repairs are needed. Nevertheless, a weak economy also may reduce miles driven. Over the long term, improvements in the durability of original equipment and aftermarket parts has reduced, and is expected to further reduce, the number of units sold in the aftermarket. Aftermarket revenues are also affected by other factors, including severe weather (which tends to lead to increased sales) and competitive pressures. Many parts retailers and warehouse distributors purchase starters and alternators from only one or two suppliers, under contracts that run for five years or less. Pressure from customers to reduce prices is characteristic of the automotive supply industry. Remy periodically re-negotiates customer agreements. Due to the competitive nature of the business, the revised terms with customers may impact Remy's ongoing profitability. Remy has taken and expects to continue to take steps to improve operating efficiencies and minimize or resist price reductions.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almost 48 percent of our overall cost of food and beverage in the past. Generally, temporary increases in these costs are not passed on to guests; however, in the past, we have adjusted menu prices to compensate for increased costs of a more permanent nature.</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revenues in future periods will continue to be subject to these and other factors that are beyond our control and, as a result, are likely to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413</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435</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Auto parts revenue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397</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r>
      <w:tr>
        <w:trPr>
          <w:trHeight w:val="229"/>
        </w:trPr>
        <w:tc>
          <w:tcPr>
            <w:tcW w:w="8800" w:type="dxa"/>
            <w:vAlign w:val="bottom"/>
          </w:tcPr>
          <w:p>
            <w:pPr>
              <w:ind w:left="280"/>
              <w:spacing w:after="0"/>
              <w:rPr>
                <w:sz w:val="20"/>
                <w:szCs w:val="20"/>
                <w:color w:val="auto"/>
              </w:rPr>
            </w:pPr>
            <w:r>
              <w:rPr>
                <w:rFonts w:ascii="Arial" w:cs="Arial" w:eastAsia="Arial" w:hAnsi="Arial"/>
                <w:sz w:val="18"/>
                <w:szCs w:val="18"/>
                <w:color w:val="auto"/>
                <w:w w:val="92"/>
              </w:rPr>
              <w:t>Cost of auto parts revenue, includes $14 and $18 of depreciation and amortization in the three months ended March</w:t>
            </w: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240</w:t>
            </w:r>
          </w:p>
        </w:tc>
      </w:tr>
      <w:tr>
        <w:trPr>
          <w:trHeight w:val="230"/>
        </w:trPr>
        <w:tc>
          <w:tcPr>
            <w:tcW w:w="8800" w:type="dxa"/>
            <w:vAlign w:val="bottom"/>
          </w:tcPr>
          <w:p>
            <w:pPr>
              <w:ind w:left="280"/>
              <w:spacing w:after="0"/>
              <w:rPr>
                <w:sz w:val="20"/>
                <w:szCs w:val="20"/>
                <w:color w:val="auto"/>
              </w:rPr>
            </w:pPr>
            <w:r>
              <w:rPr>
                <w:rFonts w:ascii="Arial" w:cs="Arial" w:eastAsia="Arial" w:hAnsi="Arial"/>
                <w:sz w:val="18"/>
                <w:szCs w:val="18"/>
                <w:color w:val="auto"/>
              </w:rPr>
              <w:t>31, 2014 and 2013, respectively</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restaurant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1,904</w:t>
            </w:r>
          </w:p>
        </w:tc>
      </w:tr>
      <w:tr>
        <w:trPr>
          <w:trHeight w:val="209"/>
        </w:trPr>
        <w:tc>
          <w:tcPr>
            <w:tcW w:w="8800" w:type="dxa"/>
            <w:vAlign w:val="bottom"/>
          </w:tcPr>
          <w:p>
            <w:pPr>
              <w:ind w:left="40"/>
              <w:spacing w:after="0"/>
              <w:rPr>
                <w:sz w:val="20"/>
                <w:szCs w:val="20"/>
                <w:color w:val="auto"/>
              </w:rPr>
            </w:pPr>
            <w:r>
              <w:rPr>
                <w:rFonts w:ascii="Arial" w:cs="Arial" w:eastAsia="Arial" w:hAnsi="Arial"/>
                <w:sz w:val="18"/>
                <w:szCs w:val="18"/>
                <w:color w:val="auto"/>
                <w:w w:val="96"/>
              </w:rPr>
              <w:t>(Loss) earnings from continuing operations before income taxes and equity in (losses) earnings of unconsolidated</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w:t>
            </w: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affiliates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Equity in losses of unconsolidated affiliates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earnings from continuing operations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Orders opened by direct title operations</w:t>
            </w:r>
          </w:p>
        </w:tc>
        <w:tc>
          <w:tcPr>
            <w:tcW w:w="24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469,000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643,000</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Orders closed by direct title operations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295,000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487,000</w:t>
            </w:r>
          </w:p>
        </w:tc>
      </w:tr>
      <w:tr>
        <w:trPr>
          <w:trHeight w:val="27"/>
        </w:trPr>
        <w:tc>
          <w:tcPr>
            <w:tcW w:w="8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revenues increased $48 million in the three months ended March 31, 2014, compared to the 2013 period. The increase consisted of increases of $17 million in the Remy segment, $11 million in the FNFV Corporate and Other segment, $2 million from the Restaurant Group segment and additional revenues of $187 million from the BKFS segment. This was offset by decreases of $167 million in the Title segment, and $2 million in the FNF Corporate and Other segment,</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Restaurant revenue includes the consolidated results of operations of ABRH and J. Alexander's. Auto parts revenue includes the consolidated results of operations of Remy.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operations is discussed in further detail at the segment level below.</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decreased $3 million in the three months ended March 31, 2014 compared to the 2013 period. The decrease is a direct result of decreases in bond yields of $3 million.</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realized gains and losses totaled $2 million and $(2) million in the three-month periods ended March 31, 2014 and 2013, respectively. The increase was mainly due to gains on structured notes of $2 million included in the current period, while the previous period had $2 million in impairment losses relating to the Restaurant Group segment.</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operating expenses consist primarily of personnel costs and other operating expenses, which in our title insurance business are incurred as orders are received and processed, and agent commissions, which are incurred as revenue is recognized, as well as cost of auto parts revenue and cost of restaurant revenue. Title insurance premiums, escrow and title-related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increased $152 million in the three months ended March 31, 2014, from the 2013 period, with increases of $15 million in the Title segment, $9 million in the FNF Corporate and Other segment and an additional $133 million from the BKFS segment. This was offset by decreases of $5 million in the Remy segment and $1 million in the FNFV Corporate and Other segment. There were an additional 7,881 employees added with the acquisition of LPS in the first quarter of 2014. Personnel costs that are directly attributable to the operations of Remy and the Restaurant Group are included in Cost of auto parts revenue and Cost of restaurant revenue, respectively. The change in personnel costs is discussed in further detail at the segment level below.</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 The change in agent commissions is discussed in further detail at the segment level below.</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increased $104 million in the three months ended March 31, 2014, from the 2013 period, reflecting an increase of $81 million in the Title segment and additional $62 million of expense from BKFS, offset by decreases of $32 million in the FNF Corporate and Other segment, $1 million in the Remy segment, and $6 million in the Restaurant Group segment. In the Title segment, the increase in the three-month period was due mainly to the addition of the transaction services business acquired from LPS. The decrease in the FNF Corporate and Other segments is mainly due to $29 million of LPS transactions costs, which were reimbursed by BKFS to FNF during the quarter.</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auto parts revenue includes cost of raw materials, payroll and related costs and expenses directly related to manufacturing, and overhead expenses allocated to the costs of production such as depreciation and amortization at Remy. Remy results of operations are discussed in further detail at the segment level below.</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 The Restaurant group results of operations are discussed in further detail at the segment level below.</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Depreciation and amortization increased $85 million in the three months ended March 31, 2014 from the 2013 period. The increase is mainly due to additional amortization related to the LPS acquisition. In the Title segment, an additional $22 million of depreciation and amortization was recorded on assets acquired. In the BKFS segment, an additional $52 million of depreciation and amortization was recorded on assets acquired with LPS.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 The provision for title claim losses is discussed in further detail below at the segment level.</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Interest expense increased $13 million in the three months ended March 31, 2014, from the 2013 period. The increase includes an additional $1 million interest expense incurred on the FNF revolving credit facility funded in the first quarter of 2014, $6 million related to the FNF term loan funded in the first quarter of 2014 and an additional $8 million for the acquired LPS unsecured notes, offset by a decrease in interest expense of $2 million at Remy.</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Income tax (benefit) expense was $(37) million and $46 million in the three-month periods ended March 31, 2014 and 2013, respectively. Income tax (benefit) expense as a percentage of (loss) earnings before income taxes was 47% and 34% for the three-month periods ended March 31, 2014 and 2013, respectively. Income taxes as a percentage of earnings (loss) before income taxes fluctuates depending on our estimate of ultimate income tax liability and changes in the characteristics of net earnings, such as the weighting of operating income versus investment income. Included in income tax expense is a $12 million income tax benefit related to our portion of $30 million equity in losses recorded during the quarter related to our minority investment in Ceridian.</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in losses of unconsolidated affiliates was $31 million and $3 million for the three-month periods ended March 31, 2014 and 2013, respectively. The equity in losses in 2014 and 2013 consisted of net losses related to our investment in Ceridian,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other investments in unconsolidated affiliates. Included in the three-month period ended March 31, 2014, are losses at Ceridian of $21 million, net of taxes, primarily related to the settlement of the U.S. Fueling Merchants lawsuit. The current period also includes six months of Ceridian's results, as we have transitioned Ceridian to a real-time financial reporting schedule as opposed to the historical one-quarter lag. As a result, the first quarter of 2014 includes $34 million in losses for the period ending December 31, 2013, and $4 million in earnings for the period ended March 31, 2014. Also included in results are losses from other investments of $1 million. The 2013 time periods include our 32% share of a $10 million, net of tax, one time charge to write off a deferred tax asset at Ceridian.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Core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January 2, 2014, the Title segment includes the results of the transaction services business acquired with LPS.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190"/>
        </w:trPr>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524</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 related and other fees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1,375</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451</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397</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w w:val="96"/>
              </w:rPr>
              <w:t>(Loss) earnings from continuing operations before income taxes and equity in earnings of unconsolidated affiliates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169</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for the Title segment decreased $167 million, or 12%, in the three months ended March 31, 2014 from the 2013 period.</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6"/>
              </w:rPr>
              <w:t>Three months ended March 31,</w:t>
            </w:r>
          </w:p>
        </w:tc>
        <w:tc>
          <w:tcPr>
            <w:tcW w:w="980" w:type="dxa"/>
            <w:vAlign w:val="bottom"/>
            <w:tcBorders>
              <w:bottom w:val="single" w:sz="8" w:color="auto"/>
            </w:tcBorders>
          </w:tcPr>
          <w:p>
            <w:pPr>
              <w:spacing w:after="0"/>
              <w:rPr>
                <w:sz w:val="16"/>
                <w:szCs w:val="16"/>
                <w:color w:val="auto"/>
              </w:rPr>
            </w:pPr>
          </w:p>
        </w:tc>
      </w:tr>
      <w:tr>
        <w:trPr>
          <w:trHeight w:val="258"/>
        </w:trPr>
        <w:tc>
          <w:tcPr>
            <w:tcW w:w="7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 of</w:t>
            </w:r>
          </w:p>
        </w:tc>
      </w:tr>
      <w:tr>
        <w:trPr>
          <w:trHeight w:val="276"/>
        </w:trPr>
        <w:tc>
          <w:tcPr>
            <w:tcW w:w="7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1000" w:type="dxa"/>
            <w:vAlign w:val="bottom"/>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56</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Title premiums decreased 19% in the three months ended March 31, 2014 as compared to the 2013 period. The decrease was made up of a decrease in premiums from direct operations of $62 million, or 15%, and a decrease in premiums from agency operations of $120 million, or 23% in the three months ended March 31, 2014.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presents the percentages of closed title insurance orders generated by purchase and refinance transactions by our direct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66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6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660" w:type="dxa"/>
            <w:vAlign w:val="bottom"/>
          </w:tcPr>
          <w:p>
            <w:pPr>
              <w:spacing w:after="0"/>
              <w:rPr>
                <w:sz w:val="20"/>
                <w:szCs w:val="20"/>
                <w:color w:val="auto"/>
              </w:rPr>
            </w:pPr>
            <w:r>
              <w:rPr>
                <w:rFonts w:ascii="Arial" w:cs="Arial" w:eastAsia="Arial" w:hAnsi="Arial"/>
                <w:sz w:val="18"/>
                <w:szCs w:val="18"/>
                <w:color w:val="auto"/>
              </w:rPr>
              <w:t>(1)  Percentages exclude consideration of an immaterial number of non-purchase and non-refinance orders.</w:t>
            </w: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Title premiums from direct operations decreased in 2014, primarily due to a decrease in closed order volumes as compared to the prior quarter, partially offset by an increase in premiums from the acquisition of the transaction services businesses from LPS, which are included in the Title segment as of January 2, 2014. Also offsetting the decline in orders was an increase in commercial revenue of $16 million from the 2013 period. The decrease in order volumes was primarily related to a significant decrease in refinance transactions since the fourth quarter of 2014. In 2013, refinance transactions represented more than 56% of our total closed orders versus 32% in the first quarter of 2014. Closed order volumes were 295,000 in the three months ended March 31, 2014 compared with 487,000 in the three months ended March 31, 2013. Although there was a decrease in closed order volumes in the current quarter, this was partially offset by a 35% increase in the fee per file. The average fee per file in our direct operations was $1,858 in the three months ended March 31, 2014, compared to $1,373 in the three months ended March 31, 2013, with the increase reflecting a higher volume of purchase transactions, which have a higher fee per file.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 Also, commercial transactions typically have a higher fee per file.</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decrease in title premiums from agency operations is primarily the result of the overall decline in real estate activity since the prior quarter. The decrease was consistent with the decrease in direct operations, except that the direct operations benefited from the addition of the transaction services business from LPS acquired during the quarter.</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Escrow, title related and other fees increased by $17 million, or 4% in the three months ending March 31, 2014 from 2013. Escrow fees, which are more directly related to our direct operations, decreased $54 million, or 31%, in the three months ended March 31, 2014 compared to the 2013 period, consistent with the decrease in direct title premiums. Other fees in the Title segment, excluding escrow fees, increased $76 million, or 33%, in the three months ended March 31, 2014 compared to the 2013 period due to an increase from the transaction services business acquired with LPS, which are included within the Title segment as of January 2, 2014.</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The $15 million, or 3% increase in the three-month period ended March 31, 2014, is due to charges recorded during the quarter related to the LPS acquisition, primarily severance expense of $15 million and $13 million for expected bonuses to be paid on our synergy bonus program. These charges were offset by a decrease in employee levels and lower bonuses and commissions due to lower revenues and closed order counts. Personnel costs as a percentage of total revenues from direct title premiums and escrow, title-related and other fees were 60% for the three-month periods ended March 31, 2014 and 55% for the three-month period ended March 31, 2013. Average employee count in the Title segment was 16,994 and 20,080 in the three-month periods ended March 31, 2014 and 2013, respectively, with the decrease due to decreases in orders and revenues, offset by an increase of 2,668 employees from the LPS acquisition.</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increased $81 million during the quarter due to charges recorded related to the LPS acquisition, primarily $32 million of transaction costs. Also contributing to the increase was the addition of the transaction services business acquired from LPS.</w:t>
      </w:r>
    </w:p>
    <w:p>
      <w:pPr>
        <w:spacing w:after="0" w:line="8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premiums and agent commissions: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6"/>
              </w:rPr>
              <w:t>Three months ended March 31,</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claim loss provision for title insurance was $53 million and $65 million for the three-month periods ended March 31, 2014 and 2013, respectively, and reflects an average provision rate of 7% of title premiums. We will continue to monitor and evaluate our loss provision level, actual claims paid, and the loss reserve position each quarter.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BKFS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this segment reflected in the three months ended March 31, 2014, reflect results of BKFS and subsidiaries, which were initially consolidated on January 2, 2014, the date on which we acquired LPS.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192"/>
        </w:trPr>
        <w:tc>
          <w:tcPr>
            <w:tcW w:w="9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434"/>
              <w:spacing w:after="0"/>
              <w:rPr>
                <w:sz w:val="20"/>
                <w:szCs w:val="20"/>
                <w:color w:val="auto"/>
              </w:rPr>
            </w:pPr>
            <w:r>
              <w:rPr>
                <w:rFonts w:ascii="Arial" w:cs="Arial" w:eastAsia="Arial" w:hAnsi="Arial"/>
                <w:sz w:val="14"/>
                <w:szCs w:val="14"/>
                <w:b w:val="1"/>
                <w:bCs w:val="1"/>
                <w:color w:val="auto"/>
                <w:w w:val="96"/>
              </w:rPr>
              <w:t>2014</w:t>
            </w:r>
          </w:p>
        </w:tc>
      </w:tr>
      <w:tr>
        <w:trPr>
          <w:trHeight w:val="190"/>
        </w:trPr>
        <w:tc>
          <w:tcPr>
            <w:tcW w:w="9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jc w:val="center"/>
              <w:ind w:right="454"/>
              <w:spacing w:after="0"/>
              <w:rPr>
                <w:sz w:val="20"/>
                <w:szCs w:val="20"/>
                <w:color w:val="auto"/>
              </w:rPr>
            </w:pPr>
            <w:r>
              <w:rPr>
                <w:rFonts w:ascii="Arial" w:cs="Arial" w:eastAsia="Arial" w:hAnsi="Arial"/>
                <w:sz w:val="14"/>
                <w:szCs w:val="14"/>
                <w:b w:val="1"/>
                <w:bCs w:val="1"/>
                <w:color w:val="auto"/>
                <w:w w:val="96"/>
              </w:rPr>
              <w:t>(In millions)</w:t>
            </w:r>
          </w:p>
        </w:tc>
      </w:tr>
      <w:tr>
        <w:trPr>
          <w:trHeight w:val="255"/>
        </w:trPr>
        <w:tc>
          <w:tcPr>
            <w:tcW w:w="9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5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
        </w:trPr>
        <w:tc>
          <w:tcPr>
            <w:tcW w:w="9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 related and other fees</w:t>
            </w:r>
          </w:p>
        </w:tc>
        <w:tc>
          <w:tcPr>
            <w:tcW w:w="5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w:t>
            </w:r>
          </w:p>
        </w:tc>
      </w:tr>
      <w:tr>
        <w:trPr>
          <w:trHeight w:val="237"/>
        </w:trPr>
        <w:tc>
          <w:tcPr>
            <w:tcW w:w="928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5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187</w:t>
            </w:r>
          </w:p>
        </w:tc>
      </w:tr>
      <w:tr>
        <w:trPr>
          <w:trHeight w:val="27"/>
        </w:trPr>
        <w:tc>
          <w:tcPr>
            <w:tcW w:w="9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2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5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133</w:t>
            </w:r>
          </w:p>
        </w:tc>
      </w:tr>
      <w:tr>
        <w:trPr>
          <w:trHeight w:val="27"/>
        </w:trPr>
        <w:tc>
          <w:tcPr>
            <w:tcW w:w="9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r>
      <w:tr>
        <w:trPr>
          <w:trHeight w:val="243"/>
        </w:trPr>
        <w:tc>
          <w:tcPr>
            <w:tcW w:w="9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61</w:t>
            </w:r>
          </w:p>
        </w:tc>
      </w:tr>
      <w:tr>
        <w:trPr>
          <w:trHeight w:val="27"/>
        </w:trPr>
        <w:tc>
          <w:tcPr>
            <w:tcW w:w="9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r>
      <w:tr>
        <w:trPr>
          <w:trHeight w:val="237"/>
        </w:trPr>
        <w:tc>
          <w:tcPr>
            <w:tcW w:w="928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5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264</w:t>
            </w:r>
          </w:p>
        </w:tc>
      </w:tr>
      <w:tr>
        <w:trPr>
          <w:trHeight w:val="27"/>
        </w:trPr>
        <w:tc>
          <w:tcPr>
            <w:tcW w:w="92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 and equity in earnings of unconsolidated affiliates</w:t>
            </w: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9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results of the BKFS segment were negatively affected by costs related to the acquisition and integration of LPS by FNF during the quarter. Included in other operating expenses were $35 million of transaction expenses. Included within personnel costs were $24 million in severance expenses relating to the acquisition and a $13 million expense to accrue for expected bonuses for our synergy bonus program. Depreciation and amortization includes $52 million related to assets acquired and marked to their fair value in purchase accounting for the acquisition of LPS.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Corporate and Other</w:t>
      </w:r>
    </w:p>
    <w:p>
      <w:pPr>
        <w:spacing w:after="0" w:line="11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FNF Corporate and Other segment consists of the operations of the parent holding company, certain other unallocated corporate overhead expenses, and other smaller real estate and insurance related operations.</w:t>
      </w:r>
    </w:p>
    <w:p>
      <w:pPr>
        <w:spacing w:after="0" w:line="6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FNF Corporate and Other segment generated revenues of $8 million and $10 million for the three months ended March 31, 2014 and 2013, respectively. Revenues decreased $2 million in the 2014 period from 2013.</w:t>
      </w:r>
    </w:p>
    <w:p>
      <w:pPr>
        <w:spacing w:after="0" w:line="6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Personnel costs were $14 million and $5 million, for the three months ended March 31, 2014 and 2013, respectively. The increase was mainly due an accrual of $6 million for expected bonuses to be paid on our synergy bonus program. Other operating expenses in the FNF Corporate and Other segment were a credit of $21 million during the three months ended March 31, 2014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compared to expense of $11 million in the three months ended March 31, 2013. The 2014 time period includes a $29 million payment from LPS subsequent to the merger as reimbursement for certain transaction costs.</w:t>
      </w:r>
    </w:p>
    <w:p>
      <w:pPr>
        <w:spacing w:after="0" w:line="6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This segment generated pretax losses of $8 million and $23 million for the three months ended March 31, 2014 and 2013, respectively, due to the reasons discussed above.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8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Remy</w:t>
            </w: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bottom w:val="single" w:sz="8" w:color="auto"/>
            </w:tcBorders>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Auto parts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29"/>
        </w:trPr>
        <w:tc>
          <w:tcPr>
            <w:tcW w:w="8800" w:type="dxa"/>
            <w:vAlign w:val="bottom"/>
          </w:tcPr>
          <w:p>
            <w:pPr>
              <w:ind w:left="280"/>
              <w:spacing w:after="0"/>
              <w:rPr>
                <w:sz w:val="20"/>
                <w:szCs w:val="20"/>
                <w:color w:val="auto"/>
              </w:rPr>
            </w:pPr>
            <w:r>
              <w:rPr>
                <w:rFonts w:ascii="Arial" w:cs="Arial" w:eastAsia="Arial" w:hAnsi="Arial"/>
                <w:sz w:val="18"/>
                <w:szCs w:val="18"/>
                <w:color w:val="auto"/>
                <w:w w:val="91"/>
              </w:rPr>
              <w:t>Cost of auto parts revenue, includes $14 and $18 of depreciation and amortization for the three months ended March</w:t>
            </w:r>
          </w:p>
        </w:tc>
        <w:tc>
          <w:tcPr>
            <w:tcW w:w="24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240</w:t>
            </w:r>
          </w:p>
        </w:tc>
      </w:tr>
      <w:tr>
        <w:trPr>
          <w:trHeight w:val="230"/>
        </w:trPr>
        <w:tc>
          <w:tcPr>
            <w:tcW w:w="8800" w:type="dxa"/>
            <w:vAlign w:val="bottom"/>
          </w:tcPr>
          <w:p>
            <w:pPr>
              <w:ind w:left="280"/>
              <w:spacing w:after="0"/>
              <w:rPr>
                <w:sz w:val="20"/>
                <w:szCs w:val="20"/>
                <w:color w:val="auto"/>
              </w:rPr>
            </w:pPr>
            <w:r>
              <w:rPr>
                <w:rFonts w:ascii="Arial" w:cs="Arial" w:eastAsia="Arial" w:hAnsi="Arial"/>
                <w:sz w:val="18"/>
                <w:szCs w:val="18"/>
                <w:color w:val="auto"/>
              </w:rPr>
              <w:t>31, 2014 and 2013, respectively</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37"/>
        </w:trPr>
        <w:tc>
          <w:tcPr>
            <w:tcW w:w="880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Auto parts revenues increased $18 million, or 6% in the three months ending March 31, 2014, which included an additional $8 million in revenues from the newly acquired USA Industries as well as $1 million in favorable foreign currency translation effect.</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Cost of auto parts revenue increased $14 million, or 6%, consistent with the increase in revenues. Remy also recorded a $3 million step-up gain on finished goods inventory relating to the acquisition of USA Industries.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Also affecting the three months ending March 31, 2013 was a $7 million charge to Personnel costs for a one-time executive separation payment made to Remy's former Chief Executive Officer and President pursuant to the terms of a Transition, Noncompetition and Release Agreement, effective February 28, 2013.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80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Restaurant Group</w:t>
            </w: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190"/>
        </w:trPr>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302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37"/>
        </w:trPr>
        <w:tc>
          <w:tcPr>
            <w:tcW w:w="880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352</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revenues for the Restaurant group segment increased $2 million, or 1%, in the three months ended March 31, 2014, from the 2013 period.</w:t>
      </w:r>
    </w:p>
    <w:p>
      <w:pPr>
        <w:spacing w:after="0" w:line="1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earnings increased $9 million in the three months ending March 31, 2014, mainly due to the results of the Restaurant group segment for the three months ending March 31, 2013 being negatively affected by a $2 million impairment charge related</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1" w:right="239" w:bottom="1440" w:gutter="0" w:footer="0" w:header="0"/>
          <w:type w:val="continuous"/>
        </w:sectPr>
      </w:pPr>
    </w:p>
    <w:bookmarkStart w:id="42" w:name="page43"/>
    <w:bookmarkEnd w:id="42"/>
    <w:p>
      <w:pPr>
        <w:spacing w:after="0" w:line="2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closing of one J. Alexander's locations and one Max &amp; Erma's location, which was included in Realized gains and losses, net and $3 million in transaction and integration costs included in Other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 Corporate and Other</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FNFV Corporate and Other segment includes our share in the operations of certain equity investments, including Ceridian, Digital Insurance, Cascade Timberlands and other smaller operations. This segment also includes our Long Term Incentive Plan ("LTIP") established during 2012 which is tied to the fair value of certain of our FNFV investments.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FNFV Corporate and Other segment generated revenues of $30 million and $19 million for the three months ending March 31, 2014 and 2013, respectively.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increased $11 million, or 58% in the 2014 period from 2013, which includes an increase of $6 million at Digital Insurance. Digital Insurance made several acquisitions during 2013, which account for this growth in revenue.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Personnel costs were $20 million and $21 million, for the three months ended March 31, 2014 and 2013,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generated pretax income (losses) of $2 million and $(8) million for the three months ended March 31, 2014 and 2013, respectively, with the change due to the increase in revenue since the 2014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Cash Requirements. </w:t>
      </w:r>
      <w:r>
        <w:rPr>
          <w:rFonts w:ascii="Arial" w:cs="Arial" w:eastAsia="Arial" w:hAnsi="Arial"/>
          <w:sz w:val="16"/>
          <w:szCs w:val="16"/>
          <w:color w:val="auto"/>
        </w:rPr>
        <w:t>Our current cash requirements include personnel costs, operating expenses, claim payments, taxes, payments of interest and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on our debt, capital expenditures, business acquisitions, stock repurchases, and dividends on our common stock. We paid dividends of $0.18 per share for the first quarter of 2014, or approximately $49 million. On April 29, 2014, our Board of Directors declared cash dividends of $0.18 per share, payable on June 30, 2014, to shareholders of record as of June 16, 2014.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As of December 31, 2013, $1,909 million of our net assets were restricted from dividend payments without prior approval from the relevant departments of insurance. As of March 31, 2014, our title subsidiaries could pay or make distributions to us of approximately $308 million without prior approval. Our underwritten title companies and non-insurance subsidiaries collect revenue and pay operating expenses. However, they are not regulated to the same extent as our insurance subsidiaries.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31, 2014, our Board of Directors approved a plan to create a tracking stock for our portfolio company investments, now known as FNFV. We intend to create and distribute a class of shares to FNF shareholders that tracks the performance of FNFV. The primary FNFV investments include our equity interests in Remy, ABRH, J. Alexander's, Ceridian, and Digital Insurance. We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intend to provide $200 million in financial support to FNFV comprised of $100 million in cash and $100 million in a line of credit, upon formation of the tracking stock. The $100 million in cash and the $100 million line of credit will be used solely for investment purposes. From time to time, we may also provide additional loans to FNFV to cover corporate expenses and working capital. All additional investments in existing FNFV owned companies and any new FNFV company investments will be funded and managed by FNFV.</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FNF's core operations will be used for general corporate purposes including to reinvest in core operations, repay debt, pay dividends, repurchase stock, other strategic initiatives and/or conserving cash.</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cash flows used by operations for the three months ended March 31, 2014 and 2013 totaled $161 million and $36 million, respectively. The decrease of $125 million is mainly due to the payment of $41 million in transaction costs relating to the acquisition of LPS, bonus payments of $191 million including payments under our Long Term Incentive Program (LTIP), $9 million in severance payments relating to the LPS acquisition and $48 million in payments made for certain legal matters relating to historic LPS matters. These cash outflows were offset by tax refunds of $62 million on LPS acquisition costs and a decrease of $77 million in restricted cash corresponding to the decrease in title volumes.</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Total capital expenditures for property and equipment and capitalized software were $36 million and $30 million for the three-month periods ended March 31, 2014 and 2013, respectively, with the increase related to expenditures on capitalized software at BKFS, acquired with LPS on</w:t>
      </w:r>
    </w:p>
    <w:p>
      <w:pPr>
        <w:sectPr>
          <w:pgSz w:w="11900" w:h="16867" w:orient="portrait"/>
          <w:cols w:equalWidth="0" w:num="1">
            <w:col w:w="11420"/>
          </w:cols>
          <w:pgMar w:left="240" w:top="121" w:right="239" w:bottom="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January 2, 2014.</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For a description of our financing arrangements see Note F included in Item 1 of Part 1 of this Report, which is incorporated by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Part I Item 2.</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Historically, real estate transactions have produced seasonal revenue levels for the real estate industry including title insurers.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2013, we have seen seasonality trends return to historical patterns. During 2013 and through the first quarter of 2014, we experienced an increase in existing home sales to the highest volume levels since 2007. We have also seen a decline in total housing inventory to the lowest levels since 2005, and we have seen significant declines in refinance activity starting in the fourth quarter of 2013.</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There have been several significant changes to our long term contractual obligations since the 10-K filed on February 28, 2014.</w:t>
      </w:r>
      <w:r>
        <w:rPr>
          <w:rFonts w:ascii="Arial" w:cs="Arial" w:eastAsia="Arial" w:hAnsi="Arial"/>
          <w:sz w:val="16"/>
          <w:szCs w:val="16"/>
          <w:i w:val="1"/>
          <w:iCs w:val="1"/>
          <w:color w:val="auto"/>
        </w:rPr>
        <w:t xml:space="preserve"> </w:t>
      </w:r>
      <w:r>
        <w:rPr>
          <w:rFonts w:ascii="Arial" w:cs="Arial" w:eastAsia="Arial" w:hAnsi="Arial"/>
          <w:sz w:val="16"/>
          <w:szCs w:val="16"/>
          <w:color w:val="auto"/>
        </w:rPr>
        <w:t>Our contractual obligations generally include our loss reserves, our credit agreements and other debt facilities, operating lease payments on certain of our premises and equipment and purchase obligations of Remy and the Restaurant Group. During the three months ending March 31, 2014, as a result of the LPS acquisition, there were several changes to our notes payable obligations as follows: We acquired $600 million aggregate principal amount of 5.75% Senior Notes due 2023; our $1.1 billion FNF Term Loan due January 2019 was funded in full; and we borrowed $300 million on our Revolving Credit Facility due July 2018. See the "Financing" section above and Note F for further information on these obligations. Changes have also been made to our future minimum operating lease schedule as a result of the LPS acquisition, see Note G for further information on the future minimum operating lease payments.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2014, our required annual payments relating to these contractual obligations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2014 remaining</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3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 payments</w:t>
            </w:r>
          </w:p>
        </w:tc>
        <w:tc>
          <w:tcPr>
            <w:tcW w:w="4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991</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benefit payments</w:t>
            </w: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Title claim losses</w:t>
            </w:r>
          </w:p>
        </w:tc>
        <w:tc>
          <w:tcPr>
            <w:tcW w:w="4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1,680</w:t>
            </w:r>
          </w:p>
        </w:tc>
      </w:tr>
      <w:tr>
        <w:trPr>
          <w:trHeight w:val="27"/>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Unconditional purchase obligations</w:t>
            </w: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821</w:t>
            </w:r>
          </w:p>
        </w:tc>
      </w:tr>
      <w:tr>
        <w:trPr>
          <w:trHeight w:val="27"/>
        </w:trPr>
        <w:tc>
          <w:tcPr>
            <w:tcW w:w="3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7,264</w:t>
            </w:r>
          </w:p>
        </w:tc>
      </w:tr>
      <w:tr>
        <w:trPr>
          <w:trHeight w:val="20"/>
        </w:trPr>
        <w:tc>
          <w:tcPr>
            <w:tcW w:w="3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54"/>
        </w:trPr>
        <w:tc>
          <w:tcPr>
            <w:tcW w:w="3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As of March 31, 2014, we had title insurance reserves of $1,680 million which includes acquired title reserves of $55 million related to the acquisition of National Title of New York, which was part of the LPS acquisition. The amounts and timing of these obligations are estimated and are not set contractually.</w:t>
      </w:r>
    </w:p>
    <w:p>
      <w:pPr>
        <w:spacing w:after="0" w:line="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While we believe that historical loss payments are a reasonable source for projecting future claim payments, there is significant inherent uncertainty in this payment pattern estimate because of the potential impact of changes in:</w:t>
      </w:r>
    </w:p>
    <w:p>
      <w:pPr>
        <w:spacing w:after="0" w:line="62"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mortgage interest rates, which will affect the number of real estate and refinancing transactions and, therefore, the rate at which title insurance claims will emerge;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legal environment whereby court decisions and reinterpretations of title insurance policy language to broaden coverage could increase total obligations and influence claim payout patterns;</w:t>
      </w: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cost trends whereby increases or decreases in inflationary factors (including the value of real estate) will influence the ultimate amount of title insurance loss payments.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116" w:lineRule="exact"/>
        <w:rPr>
          <w:sz w:val="20"/>
          <w:szCs w:val="20"/>
          <w:color w:val="auto"/>
        </w:rPr>
      </w:pPr>
    </w:p>
    <w:p>
      <w:pPr>
        <w:jc w:val="both"/>
        <w:ind w:firstLine="397"/>
        <w:spacing w:after="0" w:line="286" w:lineRule="auto"/>
        <w:rPr>
          <w:sz w:val="20"/>
          <w:szCs w:val="20"/>
          <w:color w:val="auto"/>
        </w:rPr>
      </w:pPr>
      <w:r>
        <w:rPr>
          <w:rFonts w:ascii="Arial" w:cs="Arial" w:eastAsia="Arial" w:hAnsi="Arial"/>
          <w:sz w:val="17"/>
          <w:szCs w:val="17"/>
          <w:color w:val="auto"/>
        </w:rPr>
        <w:t>The Restaurant Group has unconditional purchase obligations with various vendors. These purchase obligations are primarily food and beverage obligations with fixed commitments in regards to the time period of the contract and the quantities purchased with annual price adjustments that can fluctuate. We used both historical and projected volume and pricing as of March 31, 2014 to determine the amount of the obligations.</w:t>
      </w:r>
    </w:p>
    <w:p>
      <w:pPr>
        <w:spacing w:after="0" w:line="5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Remy has long-term customer obligations related to outstanding customer contracts. These contracts designate Remy to be the exclusive supplier to the respective customer, product line or distribution center and require Remy to compensate these customers over several years for store support. Remy has also entered into arrangements with certain customers under which cores, a key component in its remanufacturing operations, are purchased and held in inventory. Credits to be issued to these customers for these arrangements are recorded at net present value and are reflected as long-term customer obligations.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contractual obligations include estimated future interest payments on our outstanding debt and an investment commitment entered into in 2013 for $35 million to be made in the future, of which $26 million is outstanding as of March 31, 2014.</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Subsequent to the Acquisition of LPS we issued 35% ownership interest in BKFS and ServiceLink to funds affiliated with Thomas H. Lee Parters ("THL"). For further discussion of the Acquisition of LPS and subsequent reorganization see Note B in the Notes to Condensed Consolidated Financial Statements. As part of the Unit Purchase Agreement with THL, THL has an option to put their ownership interests of either or both of BKFS and ServiceLink to us if no public offering of the corresponding business has been consummated after four years. The units owned by THL ("redeemable non-controlling interests") may be settled in cash or common stock of FNF or a combination of both at our election in an amount equivalent. The redeemable noncontrolling interests will be settled at the current fair value at the time we receive notice of THL's put election as determined by the parties or by a third party appraisal under the terms of the Unit Purchase Agreement. As of March 31, 2014, the redeemable non-controlling interests had a fair value and carrying value of $687 million. We have excluded this item from the contractual obligations table.</w:t>
      </w:r>
    </w:p>
    <w:p>
      <w:pPr>
        <w:spacing w:after="0" w:line="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On January 2, 2014, we completed the purchase of LPS. As part of the consideration, $839 million or 25,920,078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FNF common stock was issued to LPS stockholders. See Note B for further information on the acquisition of LPS.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24, 2013, we offered 17,250,000 shares of our common stock at an offering price of $26.75 per share, pursuant to an effective registration statement previously filed with the Securities and Exchange Commission. We granted the underwriters a 30-day option to purchase 2,587,500 additional shares at the offering price, which was subsequently exercised in full. A total of 19,837,500 shares were issued on October 30, 2013, for net proceeds of approximately $511 million. The net proceeds from this offering were used to pay a portion of the cash consideration for the LPS Acquisition on January 2, 2014.</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21, 2012, our Board of Directors approved a three-year stock purchase program, effective August 1, 2012, under which we can repurchase up to 15 million shares of our common stock through July 31, 2015. We may make repurchases from time to time in the open market, in block purchases or in privately negotiated transactions, depending on market conditions and other factors. We did not repurchase any shares during the three months ended March 31, 2014. Subsequent to March 31, 2014 through market close on May 5, 2014, we did not purchase any additional shares. Since the original commencement of the plan on August 1, 2012, we have repurchased a total of 2,080,000 shares for $50 million, or an average of $23.90 per share, and there are 12,920,000 shares available to be repurchased under this program.</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facility and equipment leasing arrangements. On June 29,</w:t>
      </w:r>
      <w:r>
        <w:rPr>
          <w:rFonts w:ascii="Arial" w:cs="Arial" w:eastAsia="Arial" w:hAnsi="Arial"/>
          <w:sz w:val="17"/>
          <w:szCs w:val="17"/>
          <w:i w:val="1"/>
          <w:iCs w:val="1"/>
          <w:color w:val="auto"/>
        </w:rPr>
        <w:t xml:space="preserve"> </w:t>
      </w:r>
      <w:r>
        <w:rPr>
          <w:rFonts w:ascii="Arial" w:cs="Arial" w:eastAsia="Arial" w:hAnsi="Arial"/>
          <w:sz w:val="17"/>
          <w:szCs w:val="17"/>
          <w:color w:val="auto"/>
        </w:rPr>
        <w:t>2004 we entered into an off-balance sheet financing arrangement (commonly referred to as a “synthetic 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 amended the synthetic lease for the facilities. The amended synthetic lease provides for a five year term ending June 27, 2016 and had an outstanding balance as of March 31, 2014 of $71 million. The amended lease includes guarantees by us of up to 83% of the outstanding lease balance, and options to purchase the facilities at the outstanding lease balance. The guarantee becomes effective if we decline to purchase the facilities or renew the lease at the end of its term.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Condensed Consolidated Statements of Operations. We do not believe the lessor is a variable interest entity, as defined in the FASB standard on consolidation of variable interest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B for a discussion of the changes to our critical accounting policies described in our Annual Report on Form 10-K for our fiscal year ended December 31, 2013.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2014 that have materially affected, or are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1199" w:firstLine="324"/>
        <w:spacing w:after="0" w:line="264" w:lineRule="auto"/>
        <w:rPr>
          <w:sz w:val="20"/>
          <w:szCs w:val="20"/>
          <w:color w:val="auto"/>
        </w:rPr>
      </w:pPr>
      <w:r>
        <w:rPr>
          <w:rFonts w:ascii="Arial" w:cs="Arial" w:eastAsia="Arial" w:hAnsi="Arial"/>
          <w:sz w:val="18"/>
          <w:szCs w:val="18"/>
          <w:color w:val="auto"/>
        </w:rPr>
        <w:t>See discussion of legal proceedings in Note F to the Condensed Consolidated Financial Statements included in Item 1 of Part I of this Report, which is incorporated by reference into this Part II, Item 1, as well as Item 3. Legal Proceedings, in our Annual Report on Form 10-K for the year ended December 31, 2013.</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unregistered sales of equity securities during the quarter ended March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121"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9380" w:type="dxa"/>
            <w:vAlign w:val="bottom"/>
          </w:tcPr>
          <w:p>
            <w:pPr>
              <w:spacing w:after="0"/>
              <w:rPr>
                <w:sz w:val="17"/>
                <w:szCs w:val="17"/>
                <w:color w:val="auto"/>
              </w:rPr>
            </w:pPr>
          </w:p>
        </w:tc>
      </w:tr>
      <w:tr>
        <w:trPr>
          <w:trHeight w:val="696"/>
        </w:trPr>
        <w:tc>
          <w:tcPr>
            <w:tcW w:w="13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 Exhibits</w:t>
            </w:r>
          </w:p>
        </w:tc>
        <w:tc>
          <w:tcPr>
            <w:tcW w:w="660" w:type="dxa"/>
            <w:vAlign w:val="bottom"/>
          </w:tcPr>
          <w:p>
            <w:pPr>
              <w:spacing w:after="0"/>
              <w:rPr>
                <w:sz w:val="24"/>
                <w:szCs w:val="24"/>
                <w:color w:val="auto"/>
              </w:rPr>
            </w:pPr>
          </w:p>
        </w:tc>
        <w:tc>
          <w:tcPr>
            <w:tcW w:w="9380" w:type="dxa"/>
            <w:vAlign w:val="bottom"/>
          </w:tcPr>
          <w:p>
            <w:pPr>
              <w:spacing w:after="0"/>
              <w:rPr>
                <w:sz w:val="24"/>
                <w:szCs w:val="24"/>
                <w:color w:val="auto"/>
              </w:rPr>
            </w:pPr>
          </w:p>
        </w:tc>
      </w:tr>
      <w:tr>
        <w:trPr>
          <w:trHeight w:val="324"/>
        </w:trPr>
        <w:tc>
          <w:tcPr>
            <w:tcW w:w="2020" w:type="dxa"/>
            <w:vAlign w:val="bottom"/>
            <w:gridSpan w:val="2"/>
          </w:tcPr>
          <w:p>
            <w:pPr>
              <w:ind w:left="240"/>
              <w:spacing w:after="0"/>
              <w:rPr>
                <w:sz w:val="20"/>
                <w:szCs w:val="20"/>
                <w:color w:val="auto"/>
              </w:rPr>
            </w:pPr>
            <w:r>
              <w:rPr>
                <w:rFonts w:ascii="Arial" w:cs="Arial" w:eastAsia="Arial" w:hAnsi="Arial"/>
                <w:sz w:val="18"/>
                <w:szCs w:val="18"/>
                <w:color w:val="auto"/>
              </w:rPr>
              <w:t>(a) Exhibits:</w:t>
            </w:r>
          </w:p>
        </w:tc>
        <w:tc>
          <w:tcPr>
            <w:tcW w:w="9380" w:type="dxa"/>
            <w:vAlign w:val="bottom"/>
          </w:tcPr>
          <w:p>
            <w:pPr>
              <w:spacing w:after="0"/>
              <w:rPr>
                <w:sz w:val="24"/>
                <w:szCs w:val="24"/>
                <w:color w:val="auto"/>
              </w:rPr>
            </w:pPr>
          </w:p>
        </w:tc>
      </w:tr>
      <w:tr>
        <w:trPr>
          <w:trHeight w:val="378"/>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31.2</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32.1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Act of 2002, 18 U.S.C. Section 1350.</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32.2</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2"/>
              </w:rPr>
              <w:t>Certification by Chief Financial Officer of Periodic Financial Reports pursuant to Section 906 of the Sarbanes-Oxley Act</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of 2002, 18 U.S.C. Section 1350.</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3"/>
              </w:rPr>
              <w:t>101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3"/>
              </w:rPr>
              <w:t>The following materials from Fidelity National Financial's Quarterly Report on Form 10-Q for the quarter ended March</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6"/>
              </w:rPr>
              <w:t>31, 2014, formatted in Extensible Business Reporting Language (XBRL): (i) the Condensed Consolidated Balance</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4"/>
              </w:rPr>
              <w:t>Sheets, (ii) the Condensed Consolidated Statements of Operations, (iii) the Condensed Consolidated Statements of</w:t>
            </w:r>
          </w:p>
        </w:tc>
      </w:tr>
    </w:tbl>
    <w:p>
      <w:pPr>
        <w:ind w:left="2660" w:right="20"/>
        <w:spacing w:after="0" w:line="290" w:lineRule="auto"/>
        <w:rPr>
          <w:sz w:val="20"/>
          <w:szCs w:val="20"/>
          <w:color w:val="auto"/>
        </w:rPr>
      </w:pPr>
      <w:r>
        <w:rPr>
          <w:rFonts w:ascii="Arial" w:cs="Arial" w:eastAsia="Arial" w:hAnsi="Arial"/>
          <w:sz w:val="17"/>
          <w:szCs w:val="17"/>
          <w:color w:val="auto"/>
        </w:rPr>
        <w:t>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08"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Date: May 8, 2014</w:t>
            </w:r>
          </w:p>
        </w:tc>
        <w:tc>
          <w:tcPr>
            <w:tcW w:w="6520" w:type="dxa"/>
            <w:vAlign w:val="bottom"/>
            <w:gridSpan w:val="2"/>
          </w:tcPr>
          <w:p>
            <w:pPr>
              <w:ind w:left="182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180" w:type="dxa"/>
            <w:vAlign w:val="bottom"/>
          </w:tcPr>
          <w:p>
            <w:pPr>
              <w:spacing w:after="0"/>
              <w:rPr>
                <w:sz w:val="20"/>
                <w:szCs w:val="20"/>
                <w:color w:val="auto"/>
              </w:rPr>
            </w:pPr>
          </w:p>
        </w:tc>
        <w:tc>
          <w:tcPr>
            <w:tcW w:w="6520" w:type="dxa"/>
            <w:vAlign w:val="bottom"/>
            <w:gridSpan w:val="2"/>
          </w:tcPr>
          <w:p>
            <w:pPr>
              <w:ind w:left="1820"/>
              <w:spacing w:after="0"/>
              <w:rPr>
                <w:sz w:val="20"/>
                <w:szCs w:val="20"/>
                <w:color w:val="auto"/>
              </w:rPr>
            </w:pPr>
            <w:r>
              <w:rPr>
                <w:rFonts w:ascii="Arial" w:cs="Arial" w:eastAsia="Arial" w:hAnsi="Arial"/>
                <w:sz w:val="18"/>
                <w:szCs w:val="18"/>
                <w:color w:val="auto"/>
              </w:rPr>
              <w:t>(registrant)</w:t>
            </w:r>
          </w:p>
        </w:tc>
      </w:tr>
      <w:tr>
        <w:trPr>
          <w:trHeight w:val="486"/>
        </w:trPr>
        <w:tc>
          <w:tcPr>
            <w:tcW w:w="3180" w:type="dxa"/>
            <w:vAlign w:val="bottom"/>
          </w:tcPr>
          <w:p>
            <w:pPr>
              <w:spacing w:after="0"/>
              <w:rPr>
                <w:sz w:val="24"/>
                <w:szCs w:val="24"/>
                <w:color w:val="auto"/>
              </w:rPr>
            </w:pPr>
          </w:p>
        </w:tc>
        <w:tc>
          <w:tcPr>
            <w:tcW w:w="6520" w:type="dxa"/>
            <w:vAlign w:val="bottom"/>
            <w:gridSpan w:val="2"/>
          </w:tcPr>
          <w:p>
            <w:pPr>
              <w:ind w:left="1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1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180" w:type="dxa"/>
            <w:vAlign w:val="bottom"/>
          </w:tcPr>
          <w:p>
            <w:pPr>
              <w:spacing w:after="0"/>
              <w:rPr>
                <w:sz w:val="24"/>
                <w:szCs w:val="24"/>
                <w:color w:val="auto"/>
              </w:rPr>
            </w:pP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38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264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8"/>
              </w:rPr>
              <w:t>Exhibit</w:t>
            </w:r>
          </w:p>
        </w:tc>
        <w:tc>
          <w:tcPr>
            <w:tcW w:w="8780" w:type="dxa"/>
            <w:vAlign w:val="bottom"/>
          </w:tcPr>
          <w:p>
            <w:pPr>
              <w:spacing w:after="0"/>
              <w:rPr>
                <w:sz w:val="24"/>
                <w:szCs w:val="24"/>
                <w:color w:val="auto"/>
              </w:rPr>
            </w:pPr>
          </w:p>
        </w:tc>
      </w:tr>
      <w:tr>
        <w:trPr>
          <w:trHeight w:val="209"/>
        </w:trPr>
        <w:tc>
          <w:tcPr>
            <w:tcW w:w="264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8"/>
              </w:rPr>
              <w:t>No.</w:t>
            </w:r>
          </w:p>
        </w:tc>
        <w:tc>
          <w:tcPr>
            <w:tcW w:w="8780" w:type="dxa"/>
            <w:vAlign w:val="bottom"/>
          </w:tcPr>
          <w:p>
            <w:pPr>
              <w:ind w:left="404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31.1</w:t>
            </w:r>
          </w:p>
        </w:tc>
        <w:tc>
          <w:tcPr>
            <w:tcW w:w="1480" w:type="dxa"/>
            <w:vAlign w:val="bottom"/>
          </w:tcPr>
          <w:p>
            <w:pPr>
              <w:spacing w:after="0"/>
              <w:rPr>
                <w:sz w:val="21"/>
                <w:szCs w:val="21"/>
                <w:color w:val="auto"/>
              </w:rPr>
            </w:pPr>
          </w:p>
        </w:tc>
        <w:tc>
          <w:tcPr>
            <w:tcW w:w="8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Act of 2002, 18 U.S.C. Section 1350.</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2"/>
              </w:rPr>
              <w:t>Certification by Chief Financial Officer of Periodic Financial Reports pursuant to Section 906 of the Sarbanes-Oxley Act</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of 2002, 18 U.S.C. Section 1350.</w:t>
            </w:r>
          </w:p>
        </w:tc>
      </w:tr>
      <w:tr>
        <w:trPr>
          <w:trHeight w:val="499"/>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3"/>
              </w:rPr>
              <w:t>The following materials from Fidelity National Financial's Quarterly Report on Form 10-Q for the quarter ended March</w:t>
            </w:r>
          </w:p>
        </w:tc>
      </w:tr>
      <w:tr>
        <w:trPr>
          <w:trHeight w:val="216"/>
        </w:trPr>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6"/>
              </w:rPr>
              <w:t>31, 2014, formatted in Extensible Business Reporting Language (XBRL): (i) the Condensed Consolidated Balance</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5"/>
              </w:rPr>
              <w:t>Sheets, (ii) the Condensed Consolidated Statements of Operations, (iii) the Condensed Consolidated Statements of</w:t>
            </w:r>
          </w:p>
        </w:tc>
      </w:tr>
    </w:tbl>
    <w:p>
      <w:pPr>
        <w:ind w:left="2660" w:right="40"/>
        <w:spacing w:after="0" w:line="290" w:lineRule="auto"/>
        <w:rPr>
          <w:sz w:val="20"/>
          <w:szCs w:val="20"/>
          <w:color w:val="auto"/>
        </w:rPr>
      </w:pPr>
      <w:r>
        <w:rPr>
          <w:rFonts w:ascii="Arial" w:cs="Arial" w:eastAsia="Arial" w:hAnsi="Arial"/>
          <w:sz w:val="17"/>
          <w:szCs w:val="17"/>
          <w:color w:val="auto"/>
        </w:rPr>
        <w:t>Comprehensive Earnings, (iv) the Condensed Consolidated Statements of Stockholders' Equity, (v) the Condensed Consolidated Statements of Cash Flows, and (vi) the Notes to the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George P. Scanlon, certify that:</w:t>
      </w:r>
    </w:p>
    <w:p>
      <w:pPr>
        <w:spacing w:after="0" w:line="15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George P. Scanlon</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2014</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May 8, 2014</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George P. Scanlon</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May 8, 2014</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6"/>
    </w:lvl>
  </w:abstractNum>
  <w:abstractNum w:abstractNumId="7">
    <w:nsid w:val="216231B"/>
    <w:multiLevelType w:val="hybridMultilevel"/>
    <w:lvl w:ilvl="0">
      <w:lvlJc w:val="left"/>
      <w:lvlText w:val="(%1)"/>
      <w:numFmt w:val="lowerRoman"/>
      <w:start w:val="2"/>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2019-12-07T10:30:42Z</dcterms:created>
  <dcterms:modified xsi:type="dcterms:W3CDTF">2019-12-07T10:30:42Z</dcterms:modified>
</cp:coreProperties>
</file>