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May 6, 2026</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Fidelity National Financial,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001-32630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bl>
      <w:tblPr>
        <w:tblW w:w="6191" w:type="dxa"/>
        <w:jc w:val="center"/>
        <w:tblInd w:w="0" w:type="dxa"/>
        <w:tblLayout w:type="fixed"/>
        <w:tblCellMar>
          <w:top w:w="28" w:type="dxa"/>
          <w:left w:w="28" w:type="dxa"/>
          <w:bottom w:w="28" w:type="dxa"/>
          <w:right w:w="28" w:type="dxa"/>
        </w:tblCellMar>
      </w:tblPr>
      <w:tblGrid>
        <w:gridCol w:w="941"/>
        <w:gridCol w:w="829"/>
        <w:gridCol w:w="839"/>
        <w:gridCol w:w="109"/>
        <w:gridCol w:w="109"/>
        <w:gridCol w:w="109"/>
        <w:gridCol w:w="950"/>
        <w:gridCol w:w="950"/>
        <w:gridCol w:w="1355"/>
      </w:tblGrid>
      <w:tr>
        <w:trPr/>
        <w:tc>
          <w:tcPr>
            <w:tcW w:w="9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16-1725106</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601 Riverside Avenue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Jacksonville, Florida 32204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(Addresses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(904) 854-8100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9022" w:type="dxa"/>
        <w:jc w:val="center"/>
        <w:tblInd w:w="0" w:type="dxa"/>
        <w:tblLayout w:type="fixed"/>
        <w:tblCellMar>
          <w:top w:w="28" w:type="dxa"/>
          <w:left w:w="28" w:type="dxa"/>
          <w:bottom w:w="28" w:type="dxa"/>
          <w:right w:w="28" w:type="dxa"/>
        </w:tblCellMar>
      </w:tblPr>
      <w:tblGrid>
        <w:gridCol w:w="1206"/>
        <w:gridCol w:w="1059"/>
        <w:gridCol w:w="1065"/>
        <w:gridCol w:w="109"/>
        <w:gridCol w:w="109"/>
        <w:gridCol w:w="109"/>
        <w:gridCol w:w="454"/>
        <w:gridCol w:w="454"/>
        <w:gridCol w:w="456"/>
        <w:gridCol w:w="109"/>
        <w:gridCol w:w="109"/>
        <w:gridCol w:w="109"/>
        <w:gridCol w:w="1074"/>
        <w:gridCol w:w="1074"/>
        <w:gridCol w:w="1526"/>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FNF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Emerging growth company</w:t>
      </w:r>
      <w:r>
        <w:rPr>
          <w:color w:val="000000"/>
        </w:rPr>
        <w:t xml:space="preserve"> ☐ </w:t>
      </w:r>
    </w:p>
    <w:p>
      <w:pPr>
        <w:pStyle w:val="TextBody"/>
        <w:bidi w:val="0"/>
        <w:spacing w:lineRule="auto" w:line="288" w:before="100" w:after="10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7"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186"/>
        <w:gridCol w:w="1186"/>
        <w:gridCol w:w="1678"/>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6, 2026, Fidelity National Financial, Inc. (the "Company", "FNF") issued an earnings release announcing its financial results for the First Quarter of 2026. A copy of the FNF earnings release is attached as Exhibit 99.1 to this Current Report on Form 8-K.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including the Exhibits referenced in this Item 2.02, is being furnished pursuant to this Item 2.02 and shall not be deemed “filed” for purposes of Section 18 of the Securities Exchange Act of 1934, as amended or otherwise subject to the liabilities of that Section, nor shall it be deemed incorporated by reference into any registration statement or other document pursuant to the Securities Act of 1933, as amended, except as shall be expressly set forth by specific reference in such filing.</w:t>
      </w:r>
    </w:p>
    <w:tbl>
      <w:tblPr>
        <w:tblW w:w="4317" w:type="dxa"/>
        <w:jc w:val="center"/>
        <w:tblInd w:w="0" w:type="dxa"/>
        <w:tblLayout w:type="fixed"/>
        <w:tblCellMar>
          <w:top w:w="28" w:type="dxa"/>
          <w:left w:w="28" w:type="dxa"/>
          <w:bottom w:w="28" w:type="dxa"/>
          <w:right w:w="28" w:type="dxa"/>
        </w:tblCellMar>
      </w:tblPr>
      <w:tblGrid>
        <w:gridCol w:w="348"/>
        <w:gridCol w:w="305"/>
        <w:gridCol w:w="307"/>
        <w:gridCol w:w="109"/>
        <w:gridCol w:w="109"/>
        <w:gridCol w:w="109"/>
        <w:gridCol w:w="887"/>
        <w:gridCol w:w="887"/>
        <w:gridCol w:w="1256"/>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55"/>
        <w:gridCol w:w="256"/>
        <w:gridCol w:w="109"/>
        <w:gridCol w:w="109"/>
        <w:gridCol w:w="109"/>
        <w:gridCol w:w="109"/>
        <w:gridCol w:w="109"/>
        <w:gridCol w:w="109"/>
        <w:gridCol w:w="109"/>
        <w:gridCol w:w="2502"/>
        <w:gridCol w:w="2502"/>
        <w:gridCol w:w="35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nfpressreleaseq12026.htm">
              <w:r>
                <w:rPr>
                  <w:rStyle w:val="InternetLink"/>
                  <w:rFonts w:ascii="Times New Roman;serif" w:hAnsi="Times New Roman;serif"/>
                  <w:b w:val="false"/>
                  <w:color w:val="000080"/>
                  <w:sz w:val="20"/>
                  <w:u w:val="single"/>
                </w:rPr>
                <w:t>Press release announcing FNF F</w:t>
              </w:r>
            </w:hyperlink>
            <w:hyperlink w:anchor="fnfpressreleaseq12026.htm">
              <w:r>
                <w:rPr>
                  <w:rStyle w:val="InternetLink"/>
                  <w:rFonts w:ascii="Times New Roman;serif" w:hAnsi="Times New Roman;serif"/>
                  <w:b w:val="false"/>
                  <w:color w:val="000080"/>
                  <w:sz w:val="20"/>
                  <w:u w:val="single"/>
                </w:rPr>
                <w:t>irst</w:t>
              </w:r>
            </w:hyperlink>
            <w:hyperlink w:anchor="fnfpressreleaseq12026.htm">
              <w:r>
                <w:rPr>
                  <w:rStyle w:val="InternetLink"/>
                  <w:rFonts w:ascii="Times New Roman;serif" w:hAnsi="Times New Roman;serif"/>
                  <w:b w:val="false"/>
                  <w:color w:val="000080"/>
                  <w:sz w:val="20"/>
                  <w:u w:val="single"/>
                </w:rPr>
                <w:t xml:space="preserve"> Quarter 202</w:t>
              </w:r>
            </w:hyperlink>
            <w:hyperlink w:anchor="fnfpressreleaseq12026.htm">
              <w:r>
                <w:rPr>
                  <w:rStyle w:val="InternetLink"/>
                  <w:rFonts w:ascii="Times New Roman;serif" w:hAnsi="Times New Roman;serif"/>
                  <w:b w:val="false"/>
                  <w:color w:val="000080"/>
                  <w:sz w:val="20"/>
                  <w:u w:val="single"/>
                </w:rPr>
                <w:t>6</w:t>
              </w:r>
            </w:hyperlink>
            <w:hyperlink w:anchor="fnfpressreleaseq12026.htm">
              <w:r>
                <w:rPr>
                  <w:rStyle w:val="InternetLink"/>
                  <w:rFonts w:ascii="Times New Roman;serif" w:hAnsi="Times New Roman;serif"/>
                  <w:b w:val="false"/>
                  <w:color w:val="000080"/>
                  <w:sz w:val="20"/>
                  <w:u w:val="single"/>
                </w:rPr>
                <w:t xml:space="preserve"> Earnings</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pStyle w:val="TextBody"/>
        <w:bidi w:val="0"/>
        <w:spacing w:before="100" w:after="10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42"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311"/>
        <w:gridCol w:w="311"/>
        <w:gridCol w:w="311"/>
        <w:gridCol w:w="311"/>
        <w:gridCol w:w="311"/>
        <w:gridCol w:w="311"/>
        <w:gridCol w:w="670"/>
        <w:gridCol w:w="670"/>
        <w:gridCol w:w="67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Fidelity National Financial, Inc.</w:t>
            </w:r>
          </w:p>
          <w:p>
            <w:pPr>
              <w:pStyle w:val="TableContents"/>
              <w:bidi w:val="0"/>
              <w:spacing w:lineRule="auto" w:line="240" w:before="0" w:after="0"/>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Anthony J. Park</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J. Park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651510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515100" cy="9810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FNF Reports First Quarter 2026 Financial Results</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Jacksonville, Fla. – (May 6, 2026) - Fidelity National Financial, Inc. (NYSE:FNF) (FNF or the Company), a leading provider of title insurance and transaction services to the real estate and mortgage industries and a leading provider of insurance solutions serving retail annuity and life customers and institutional clients through its majority-owned, publicly traded subsidiary F&amp;G Annuities &amp; Life, Inc. (NYSE:FG) (F&amp;G), today reported financial results for the three months ended March 31, 2026.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Net earnings attributable to common shareholders</w:t>
      </w:r>
      <w:r>
        <w:rPr>
          <w:color w:val="000000"/>
        </w:rPr>
        <w:t xml:space="preserve"> </w:t>
      </w:r>
      <w:r>
        <w:rPr>
          <w:rFonts w:ascii="Times New Roman;serif" w:hAnsi="Times New Roman;serif"/>
          <w:b w:val="false"/>
          <w:color w:val="000000"/>
          <w:sz w:val="20"/>
        </w:rPr>
        <w:t>for the first quarter were $243 million, or $0.90 per diluted share (per share), compared with net earnings of $83 million, or $0.30 per share, for the first quarter of 2025. Net earnings attributable to common shareholders include mark-to-market effects and non-recurring items; all of which are excluded from adjusted net earnings attributable to common shareholders.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0"/>
        </w:rPr>
        <w:t>Adjusted net earnings attributable to common shareholders (adjusted net earnings)</w:t>
      </w:r>
      <w:r>
        <w:rPr>
          <w:color w:val="000000"/>
        </w:rPr>
        <w:t xml:space="preserve"> </w:t>
      </w:r>
      <w:r>
        <w:rPr>
          <w:rFonts w:ascii="Times New Roman;serif" w:hAnsi="Times New Roman;serif"/>
          <w:b w:val="false"/>
          <w:color w:val="000000"/>
          <w:sz w:val="20"/>
        </w:rPr>
        <w:t xml:space="preserve">for the first quarter were $249 million, or $0.93 per share, compared with $213 million, or $0.78 per share, for the first quarter of 2025.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Title Segment contributed $197 million for the first quarter, compared with $158 million for the first quarter of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F&amp;G Segment contributed $80 million for the first quarter, which reflects our approximately 70% ownership stake following the stock distribution at year-end, compared with $80 million for the first quarter of 2025, which reflected our approximately 84% ownership stake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Corporate Segment adjusted net earnings were $0 for the first quarter, before eliminating dividend income from F&amp;G in the consolidated financial statements, compared with adjusted net earnings of $3 million for the first quarter of 2025</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FNF’s consolidated adjusted net earnings include significant income and expense items in the F&amp;G Segment, as well as alternative investment portfolio short-term returns that differ from long-term return expectations. Please see “Segment Financial Results” for F&amp;G, as well as the “Non-GAAP Measures and Other Information” section for further explanation</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Company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Title Segment delivered outstanding operating performance and industry leading margin: </w:t>
      </w:r>
      <w:r>
        <w:rPr>
          <w:rFonts w:ascii="Times New Roman;serif" w:hAnsi="Times New Roman;serif"/>
          <w:b w:val="false"/>
          <w:color w:val="000000"/>
          <w:sz w:val="20"/>
        </w:rPr>
        <w:t>For the Title Segment, total</w:t>
      </w:r>
      <w:r>
        <w:rPr>
          <w:color w:val="000000"/>
        </w:rPr>
        <w:t xml:space="preserve"> </w:t>
      </w:r>
      <w:r>
        <w:rPr>
          <w:rFonts w:ascii="Times New Roman;serif" w:hAnsi="Times New Roman;serif"/>
          <w:b w:val="false"/>
          <w:color w:val="000000"/>
          <w:sz w:val="20"/>
        </w:rPr>
        <w:t>revenue was $2.0 billion for the first quarter, compared with $1.8 billion for the first quarter of 2025. Total revenue, excluding recognized gains and losses, was $2.1 billion for the first quarter, a 14% increase over the first quarter of 2025. Our industry leading adjusted pre-tax title margin was 13.1% for the first quarter</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F&amp;G Segment generated strong growth in assets under management before reinsurance</w:t>
      </w:r>
      <w:r>
        <w:rPr>
          <w:rFonts w:ascii="Times New Roman;serif" w:hAnsi="Times New Roman;serif"/>
          <w:b w:val="false"/>
          <w:color w:val="000000"/>
          <w:sz w:val="20"/>
        </w:rPr>
        <w:t>: F&amp;G achieved record assets under management before reinsurance of $74.5 billion at the end of the first quarter, an increase of 11% over the first quarter of 2025. F&amp;G’s gross sales were $3.2 billion and net sales were $2.2 billion for the first quarter</w:t>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Robust return of capital to shareholders: </w:t>
      </w:r>
      <w:r>
        <w:rPr>
          <w:rFonts w:ascii="Times New Roman;serif" w:hAnsi="Times New Roman;serif"/>
          <w:b w:val="false"/>
          <w:color w:val="000000"/>
          <w:sz w:val="20"/>
        </w:rPr>
        <w:t xml:space="preserve">FNF returned approximately $222 million of capital to shareholders in the first quarter through $140 million of common stock dividends and $82 million of share repurchases. FNF ended the quarter with $495 million in cash and short-term liquid investments at the holding company </w:t>
      </w:r>
    </w:p>
    <w:p>
      <w:pPr>
        <w:pStyle w:val="TextBody"/>
        <w:bidi w:val="0"/>
        <w:spacing w:lineRule="auto" w:line="26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William P. Foley, II, Chairman, commented, "The first quarter was an outstanding start to 2026 for our Title and F&amp;G businesses. Our Title business delivered an industry leading adjusted pre-tax Title margin of 13.1% in the first quarter, up 140 basis points over the first quarter of 2025, reflecting continued strong performance across the business with strength in commercial, continued momentum in refinance and disciplined expense management."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Mr. Foley added, "F&amp;G continues to provide an important complement to our Title business and remains a meaningful contributor to FNF's adjusted net earnings. F&amp;G's operating performance from its underlying spread-based and fee-based businesses continues to be strong, and we remain confident in F&amp;G's strategy. Together, our complementary businesses are executing well, our strong and consistent cash generation continues to support a balanced and disciplined capital allocation strategy and we are well positioned to deliver long-term shareholder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8"/>
        </w:rPr>
      </w:pPr>
      <w:r>
        <w:rPr>
          <w:rFonts w:ascii="Times New Roman;serif" w:hAnsi="Times New Roman;serif"/>
          <w:b/>
          <w:color w:val="000000"/>
          <w:sz w:val="28"/>
        </w:rPr>
        <w:t>Summary Financial Results</w:t>
      </w:r>
    </w:p>
    <w:tbl>
      <w:tblPr>
        <w:tblW w:w="8187" w:type="dxa"/>
        <w:jc w:val="left"/>
        <w:tblInd w:w="0" w:type="dxa"/>
        <w:tblLayout w:type="fixed"/>
        <w:tblCellMar>
          <w:top w:w="28" w:type="dxa"/>
          <w:left w:w="28" w:type="dxa"/>
          <w:bottom w:w="28" w:type="dxa"/>
          <w:right w:w="28" w:type="dxa"/>
        </w:tblCellMar>
      </w:tblPr>
      <w:tblGrid>
        <w:gridCol w:w="1782"/>
        <w:gridCol w:w="1563"/>
        <w:gridCol w:w="1575"/>
        <w:gridCol w:w="211"/>
        <w:gridCol w:w="826"/>
        <w:gridCol w:w="271"/>
        <w:gridCol w:w="109"/>
        <w:gridCol w:w="109"/>
        <w:gridCol w:w="109"/>
        <w:gridCol w:w="221"/>
        <w:gridCol w:w="755"/>
        <w:gridCol w:w="284"/>
        <w:gridCol w:w="109"/>
        <w:gridCol w:w="109"/>
        <w:gridCol w:w="154"/>
      </w:tblGrid>
      <w:tr>
        <w:trPr/>
        <w:tc>
          <w:tcPr>
            <w:tcW w:w="178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 except per share data)</w:t>
            </w:r>
          </w:p>
        </w:tc>
        <w:tc>
          <w:tcPr>
            <w:tcW w:w="2895" w:type="dxa"/>
            <w:gridSpan w:val="9"/>
            <w:tcBorders>
              <w:right w:val="single" w:sz="8" w:space="0" w:color="000000"/>
            </w:tcBorders>
            <w:shd w:fill="00497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March 31, 2026</w:t>
            </w:r>
          </w:p>
        </w:tc>
        <w:tc>
          <w:tcPr>
            <w:tcW w:w="327" w:type="dxa"/>
            <w:gridSpan w:val="3"/>
            <w:tcBorders>
              <w:top w:val="single" w:sz="8" w:space="0" w:color="000000"/>
            </w:tcBorders>
            <w:shd w:fill="00497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00497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6"/>
              </w:rPr>
            </w:pPr>
            <w:r>
              <w:rPr>
                <w:rFonts w:ascii="Times New Roman;serif" w:hAnsi="Times New Roman;serif"/>
                <w:b/>
                <w:color w:val="FFFFFF"/>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284" w:type="dxa"/>
            <w:tcBorders>
              <w:top w:val="single" w:sz="8" w:space="0" w:color="000000"/>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F&amp;G gross sales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net sales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assets under management (AUM)</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54,546 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F&amp;G AUM before reinsurance</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67,398 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98,209 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pre-tax title margin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84" w:type="dxa"/>
            <w:tcBorders>
              <w:right w:val="single" w:sz="8" w:space="0" w:color="FFFFFF"/>
            </w:tcBorders>
            <w:tcMar>
              <w:top w:w="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attributable to common shareholders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 attributable to common shareholders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earnings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earnings per share</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diluted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shares outstanding</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84" w:type="dxa"/>
            <w:tcBorders>
              <w:right w:val="single" w:sz="8" w:space="0" w:color="FFFFF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See definition of non-GAAP measures below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8"/>
        </w:rPr>
      </w:pPr>
      <w:r>
        <w:rPr>
          <w:rFonts w:ascii="Times New Roman;serif" w:hAnsi="Times New Roman;serif"/>
          <w:b/>
          <w:color w:val="000000"/>
          <w:sz w:val="28"/>
        </w:rPr>
        <w:t xml:space="preserve">Segment Financial Results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8"/>
          <w:u w:val="single"/>
        </w:rPr>
      </w:pPr>
      <w:r>
        <w:rPr>
          <w:rFonts w:ascii="Times New Roman;serif" w:hAnsi="Times New Roman;serif"/>
          <w:b/>
          <w:i/>
          <w:color w:val="000000"/>
          <w:sz w:val="28"/>
          <w:u w:val="single"/>
        </w:rPr>
        <w:t>Title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segment consists of the operations of the Company’s title insurance underwriters and related businesses, which provide core title insurance and escrow and other title-related services including loan sub-servicing, valuations, default services and home warranty.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Mike Nolan, Chief Executive Officer, added, "Our Title business delivered outstanding results in the first quarter, generating adjusted pre-tax Title earnings of $268 million, up 27% over the first quarter of 2025, and an industry leading adjusted pre-tax Title margin of 13.1%. This performance reflects the strength of our direct commercial business, continued momentum in refinance with orders opened up more than 50% over the prior year, and our disciplined approach to expense management driving strong incremental margins. These results demonstrate that our scale, technology investments and operating model continue to support the earnings power of our business even in the current historically low transactional environment.”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Nolan added, “While we are poised to benefit from an eventual recovery in the residential housing market, we also see a second driver in our technology and AI investments. The productivity gains we have already achieved through automation and data at scale are a key reason we continue to deliver industry leading margins. We believe FNF is well positioned to benefit from advances in AI, given our scale, proprietary data, embedded workflows and financial strength, enabling us to not only remain an industry leader, but also lead innovation in a way that continues to protect our customers.”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First Quarter 2026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was $2.0 billion, compared with $1.8 billion for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revenue, excluding recognized gains and losses</w:t>
      </w:r>
      <w:r>
        <w:rPr>
          <w:rFonts w:ascii="Times New Roman;serif" w:hAnsi="Times New Roman;serif"/>
          <w:b w:val="false"/>
          <w:color w:val="000000"/>
          <w:sz w:val="20"/>
        </w:rPr>
        <w:t>, was $2.1 billion, a 14% increase over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Direct title premiums</w:t>
      </w:r>
      <w:r>
        <w:rPr>
          <w:color w:val="000000"/>
        </w:rPr>
        <w:t xml:space="preserve"> </w:t>
      </w:r>
      <w:r>
        <w:rPr>
          <w:rFonts w:ascii="Times New Roman;serif" w:hAnsi="Times New Roman;serif"/>
          <w:b w:val="false"/>
          <w:color w:val="000000"/>
          <w:sz w:val="20"/>
        </w:rPr>
        <w:t>were $583 million, a 14% increase over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Agency title premiums</w:t>
      </w:r>
      <w:r>
        <w:rPr>
          <w:color w:val="000000"/>
        </w:rPr>
        <w:t xml:space="preserve"> </w:t>
      </w:r>
      <w:r>
        <w:rPr>
          <w:rFonts w:ascii="Times New Roman;serif" w:hAnsi="Times New Roman;serif"/>
          <w:b w:val="false"/>
          <w:color w:val="000000"/>
          <w:sz w:val="20"/>
        </w:rPr>
        <w:t>were $788 million, a 16% increase over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Commercial revenue</w:t>
      </w:r>
      <w:r>
        <w:rPr>
          <w:color w:val="000000"/>
        </w:rPr>
        <w:t xml:space="preserve"> </w:t>
      </w:r>
      <w:r>
        <w:rPr>
          <w:rFonts w:ascii="Times New Roman;serif" w:hAnsi="Times New Roman;serif"/>
          <w:b w:val="false"/>
          <w:color w:val="000000"/>
          <w:sz w:val="20"/>
        </w:rPr>
        <w:t xml:space="preserve">was $338 million, a 15% increase over the first quarter of 2025 </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Purchase orders</w:t>
      </w:r>
      <w:r>
        <w:rPr>
          <w:color w:val="000000"/>
        </w:rPr>
        <w:t xml:space="preserve"> </w:t>
      </w:r>
      <w:r>
        <w:rPr>
          <w:rFonts w:ascii="Times New Roman;serif" w:hAnsi="Times New Roman;serif"/>
          <w:b w:val="false"/>
          <w:color w:val="000000"/>
          <w:sz w:val="20"/>
        </w:rPr>
        <w:t>opened increased 2% on a daily basis and purchase orders closed decreased 1% on a daily basis compared with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Refinance orders</w:t>
      </w:r>
      <w:r>
        <w:rPr>
          <w:color w:val="000000"/>
        </w:rPr>
        <w:t xml:space="preserve"> </w:t>
      </w:r>
      <w:r>
        <w:rPr>
          <w:rFonts w:ascii="Times New Roman;serif" w:hAnsi="Times New Roman;serif"/>
          <w:b w:val="false"/>
          <w:color w:val="000000"/>
          <w:sz w:val="20"/>
        </w:rPr>
        <w:t>opened increased 52% on a daily basis and refinance orders closed increased 75% on a daily basis over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 xml:space="preserve">Commercial orders </w:t>
      </w:r>
      <w:r>
        <w:rPr>
          <w:rFonts w:ascii="Times New Roman;serif" w:hAnsi="Times New Roman;serif"/>
          <w:b w:val="false"/>
          <w:color w:val="000000"/>
          <w:sz w:val="20"/>
        </w:rPr>
        <w:t>opened increased 5% and commercial orders closed increased 8% over the first quarter of 2025</w:t>
      </w:r>
    </w:p>
    <w:p>
      <w:pPr>
        <w:pStyle w:val="TextBody"/>
        <w:bidi w:val="0"/>
        <w:spacing w:lineRule="auto" w:line="264" w:before="0" w:after="0"/>
        <w:ind w:left="0" w:right="0" w:hanging="360"/>
        <w:jc w:val="both"/>
        <w:rPr/>
      </w:pPr>
      <w:r>
        <w:rPr>
          <w:color w:val="000000"/>
        </w:rPr>
        <w:t>•</w:t>
      </w:r>
      <w:r>
        <w:rPr>
          <w:rFonts w:ascii="Times New Roman;serif" w:hAnsi="Times New Roman;serif"/>
          <w:b/>
          <w:color w:val="000000"/>
          <w:sz w:val="20"/>
        </w:rPr>
        <w:t>Total fee per file</w:t>
      </w:r>
      <w:r>
        <w:rPr>
          <w:color w:val="000000"/>
        </w:rPr>
        <w:t xml:space="preserve"> </w:t>
      </w:r>
      <w:r>
        <w:rPr>
          <w:rFonts w:ascii="Times New Roman;serif" w:hAnsi="Times New Roman;serif"/>
          <w:b w:val="false"/>
          <w:color w:val="000000"/>
          <w:sz w:val="20"/>
        </w:rPr>
        <w:t>was $3,655 for the first quarter, a 3% decrease from the first quarter of 2025</w:t>
      </w:r>
      <w:r>
        <w:rPr>
          <w:color w:val="000000"/>
        </w:rPr>
        <w:t xml:space="preserve">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First Quarter 2026 Financial Results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Pre-tax title margin</w:t>
      </w:r>
      <w:r>
        <w:rPr>
          <w:color w:val="000000"/>
        </w:rPr>
        <w:t xml:space="preserve"> </w:t>
      </w:r>
      <w:r>
        <w:rPr>
          <w:rFonts w:ascii="Times New Roman;serif" w:hAnsi="Times New Roman;serif"/>
          <w:b w:val="false"/>
          <w:color w:val="000000"/>
          <w:sz w:val="20"/>
        </w:rPr>
        <w:t xml:space="preserve">was 10.5% and industry leading </w:t>
      </w:r>
      <w:r>
        <w:rPr>
          <w:rFonts w:ascii="Times New Roman;serif" w:hAnsi="Times New Roman;serif"/>
          <w:b/>
          <w:color w:val="000000"/>
          <w:sz w:val="20"/>
        </w:rPr>
        <w:t>adjusted pre-tax title margin</w:t>
      </w:r>
      <w:r>
        <w:rPr>
          <w:color w:val="000000"/>
        </w:rPr>
        <w:t xml:space="preserve"> </w:t>
      </w:r>
      <w:r>
        <w:rPr>
          <w:rFonts w:ascii="Times New Roman;serif" w:hAnsi="Times New Roman;serif"/>
          <w:b w:val="false"/>
          <w:color w:val="000000"/>
          <w:sz w:val="20"/>
        </w:rPr>
        <w:t>was 13.1% for the first quarter, compared with 9.6% and 11.7%, respectively, for the first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Pre-tax earnings in Title </w:t>
      </w:r>
      <w:r>
        <w:rPr>
          <w:rFonts w:ascii="Times New Roman;serif" w:hAnsi="Times New Roman;serif"/>
          <w:b w:val="false"/>
          <w:color w:val="000000"/>
          <w:sz w:val="20"/>
        </w:rPr>
        <w:t xml:space="preserve">for the first quarter were $211 million, compared with $171 million for the first quarter of 2025 </w:t>
      </w:r>
    </w:p>
    <w:p>
      <w:pPr>
        <w:pStyle w:val="TextBody"/>
        <w:bidi w:val="0"/>
        <w:spacing w:lineRule="auto" w:line="288"/>
        <w:ind w:left="0" w:right="0" w:hanging="360"/>
        <w:jc w:val="both"/>
        <w:rPr/>
      </w:pPr>
      <w:r>
        <w:rPr>
          <w:color w:val="000000"/>
        </w:rPr>
        <w:t>•</w:t>
      </w:r>
      <w:r>
        <w:rPr>
          <w:rFonts w:ascii="Times New Roman;serif" w:hAnsi="Times New Roman;serif"/>
          <w:b/>
          <w:color w:val="000000"/>
          <w:sz w:val="20"/>
        </w:rPr>
        <w:t>Adjusted pre-tax earnings in Title</w:t>
      </w:r>
      <w:r>
        <w:rPr>
          <w:color w:val="000000"/>
        </w:rPr>
        <w:t xml:space="preserve"> </w:t>
      </w:r>
      <w:r>
        <w:rPr>
          <w:rFonts w:ascii="Times New Roman;serif" w:hAnsi="Times New Roman;serif"/>
          <w:b w:val="false"/>
          <w:color w:val="000000"/>
          <w:sz w:val="20"/>
        </w:rPr>
        <w:t>was $268 million for the first quarter, compared with $211 million for the first quarter of 2025</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rFonts w:ascii="Times New Roman;serif" w:hAnsi="Times New Roman;serif"/>
          <w:b/>
          <w:i/>
          <w:color w:val="000000"/>
          <w:sz w:val="28"/>
          <w:u w:val="single"/>
        </w:rPr>
      </w:pPr>
      <w:r>
        <w:rPr>
          <w:rFonts w:ascii="Times New Roman;serif" w:hAnsi="Times New Roman;serif"/>
          <w:b/>
          <w:i/>
          <w:color w:val="000000"/>
          <w:sz w:val="28"/>
          <w:u w:val="single"/>
        </w:rPr>
        <w:t>F&amp;G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segment consists of operations of FNF’s majority-owned subsidiary F&amp;G, a leading provider of insurance solutions serving retail annuity and life customers and funding agreement and pension risk transfer institutional clients.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Chris Blunt, F&amp;G’s Chief Executive Officer, commented, “The first quarter was a solid start to the year, highlighted by record assets under management before reinsurance of nearly $75 billion fueled by $3.2 billion of gross sales in the quarter, including $2 billion of core sales from indexed annuities, indexed universal life and pension risk transfer, and $1.2 billion of opportunistic funding agreements and multiyear guaranteed annuities. Our high quality, diversified investment portfolio continues to perform extremely well, including our private origination portfolio, with total credit-related impairments stable and below our pricing assumptions.”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Mr. Blunt continued, “Our diversified, self-funding capital model is supported by our annual inforce capital generation and third party capital through our reinsurance sidecar and our strategic flow reinsurance partnerships. Together, these sources of capital provide financial strength and flexibility to invest for growth in our core business, while consistently returning capital to shareholders through dividends and opportunistic share repurchases. During the first quarter, we returned $67 million of capital to shareholders through dividends and share repurchases. We are executing on our strategy toward a more fee-based, higher margin and less capital intensive business model to drive long-term growth and shareholder value.”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First Quarter 2026</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AUM before flow reinsurance </w:t>
      </w:r>
      <w:r>
        <w:rPr>
          <w:rFonts w:ascii="Times New Roman;serif" w:hAnsi="Times New Roman;serif"/>
          <w:b w:val="false"/>
          <w:color w:val="000000"/>
          <w:sz w:val="20"/>
        </w:rPr>
        <w:t>was $74.5 billion at the end of the first quarter, an increase of 11% over the first quarter of 2025. This included retained AUM of $56.4 billion, an increase of 3% over the first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Gross sales </w:t>
      </w:r>
      <w:r>
        <w:rPr>
          <w:rFonts w:ascii="Times New Roman;serif" w:hAnsi="Times New Roman;serif"/>
          <w:b w:val="false"/>
          <w:color w:val="000000"/>
          <w:sz w:val="20"/>
        </w:rPr>
        <w:t>were $3.2 billion for the first quarter, compared with $2.9 billion for the first quarter of 2025; reflects continued strong demand for retirement savings products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Core sales</w:t>
      </w:r>
      <w:r>
        <w:rPr>
          <w:color w:val="000000"/>
        </w:rPr>
        <w:t xml:space="preserve"> </w:t>
      </w:r>
      <w:r>
        <w:rPr>
          <w:rFonts w:ascii="Times New Roman;serif" w:hAnsi="Times New Roman;serif"/>
          <w:b w:val="false"/>
          <w:color w:val="000000"/>
          <w:sz w:val="20"/>
        </w:rPr>
        <w:t xml:space="preserve">were $2.0 billion for the first quarter, compared with $1.8 billion for the first quarter of 2025; reflects higher core retail indexed annuity and indexed universal life sales and pension risk transfer sales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Opportunistic sales</w:t>
      </w:r>
      <w:r>
        <w:rPr>
          <w:color w:val="000000"/>
        </w:rPr>
        <w:t xml:space="preserve"> </w:t>
      </w:r>
      <w:r>
        <w:rPr>
          <w:rFonts w:ascii="Times New Roman;serif" w:hAnsi="Times New Roman;serif"/>
          <w:b w:val="false"/>
          <w:color w:val="000000"/>
          <w:sz w:val="20"/>
        </w:rPr>
        <w:t xml:space="preserve">were $1.2 billion for the first quarter, compared with $1.1 billion for the first quarter of 2025; reflects higher funding agreements, partially offset by lower multiyear guaranteed annuities sales. Opportunistic volumes vary quarter to quarter depending on economics and market opportunity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 xml:space="preserve">Net sales </w:t>
      </w:r>
      <w:r>
        <w:rPr>
          <w:rFonts w:ascii="Times New Roman;serif" w:hAnsi="Times New Roman;serif"/>
          <w:b w:val="false"/>
          <w:color w:val="000000"/>
          <w:sz w:val="20"/>
        </w:rPr>
        <w:t>were $2.2 billion for the first quarter, in-line with the first quarter of 2025; reflects flow reinsurance in line with capital targets for multiyear guaranteed annuities and fixed indexed annuities</w:t>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F&amp;G Segment net earnings attributable to common shareholders</w:t>
      </w:r>
      <w:r>
        <w:rPr>
          <w:color w:val="000000"/>
        </w:rPr>
        <w:t xml:space="preserve"> </w:t>
      </w:r>
      <w:r>
        <w:rPr>
          <w:rFonts w:ascii="Times New Roman;serif" w:hAnsi="Times New Roman;serif"/>
          <w:b w:val="false"/>
          <w:color w:val="000000"/>
          <w:sz w:val="20"/>
        </w:rPr>
        <w:t>were $175 million for the first quarter which included favorable mark-to-market movement, compared to a net loss of $18 million for the first quarter of 2025 which included unfavorable mark-to-market movement</w:t>
      </w:r>
    </w:p>
    <w:p>
      <w:pPr>
        <w:pStyle w:val="TextBody"/>
        <w:bidi w:val="0"/>
        <w:spacing w:lineRule="auto" w:line="268" w:before="0" w:after="0"/>
        <w:ind w:left="0" w:right="0" w:hanging="360"/>
        <w:jc w:val="both"/>
        <w:rPr/>
      </w:pPr>
      <w:r>
        <w:rPr>
          <w:color w:val="000000"/>
        </w:rPr>
        <w:t>•    </w:t>
      </w:r>
      <w:r>
        <w:rPr>
          <w:rFonts w:ascii="Times New Roman;serif" w:hAnsi="Times New Roman;serif"/>
          <w:b/>
          <w:color w:val="000000"/>
          <w:sz w:val="20"/>
        </w:rPr>
        <w:t xml:space="preserve">F&amp;G Segment adjusted net earnings attributable to common shareholders </w:t>
      </w:r>
      <w:r>
        <w:rPr>
          <w:rFonts w:ascii="Times New Roman;serif" w:hAnsi="Times New Roman;serif"/>
          <w:b w:val="false"/>
          <w:color w:val="000000"/>
          <w:sz w:val="20"/>
        </w:rPr>
        <w:t xml:space="preserve">were $80 million for the first quarter which reflects our approximately 70% ownership stake following the stock distribution at year-end, compared with $80 million for the first quarter of 2025, which reflected our approximately 84% ownership stake </w:t>
      </w:r>
    </w:p>
    <w:p>
      <w:pPr>
        <w:pStyle w:val="TextBody"/>
        <w:bidi w:val="0"/>
        <w:spacing w:lineRule="auto" w:line="288" w:before="0" w:after="0"/>
        <w:ind w:left="0" w:right="0" w:hanging="360"/>
        <w:jc w:val="both"/>
        <w:rPr/>
      </w:pPr>
      <w:r>
        <w:rPr>
          <w:color w:val="000000"/>
        </w:rPr>
        <w:t>◦    </w:t>
      </w:r>
      <w:r>
        <w:rPr>
          <w:rFonts w:ascii="Times New Roman;serif" w:hAnsi="Times New Roman;serif"/>
          <w:b w:val="false"/>
          <w:i/>
          <w:color w:val="000000"/>
          <w:sz w:val="20"/>
        </w:rPr>
        <w:t>Effective January 1, 2026, our presentation of investment income from alternative investments does not include fixed income assets. Prior periods are presented on a comparable basis to reflect the new definition of investment income from alternative investments</w:t>
      </w:r>
    </w:p>
    <w:p>
      <w:pPr>
        <w:pStyle w:val="TextBody"/>
        <w:bidi w:val="0"/>
        <w:spacing w:lineRule="auto" w:line="268" w:before="0" w:after="0"/>
        <w:ind w:left="0" w:right="0" w:hanging="360"/>
        <w:jc w:val="both"/>
        <w:rPr/>
      </w:pPr>
      <w:r>
        <w:rPr>
          <w:color w:val="000000"/>
        </w:rPr>
        <w:t>◦    </w:t>
      </w:r>
      <w:r>
        <w:rPr>
          <w:rFonts w:ascii="Times New Roman;serif" w:hAnsi="Times New Roman;serif"/>
          <w:b/>
          <w:color w:val="000000"/>
          <w:sz w:val="20"/>
        </w:rPr>
        <w:t>F&amp;G Segment adjusted net earnings</w:t>
      </w:r>
      <w:r>
        <w:rPr>
          <w:color w:val="000000"/>
        </w:rPr>
        <w:t xml:space="preserve"> </w:t>
      </w:r>
      <w:r>
        <w:rPr>
          <w:rFonts w:ascii="Times New Roman;serif" w:hAnsi="Times New Roman;serif"/>
          <w:b/>
          <w:color w:val="000000"/>
          <w:sz w:val="20"/>
        </w:rPr>
        <w:t xml:space="preserve">of $80 million for the first quarter of 2026 </w:t>
      </w:r>
      <w:r>
        <w:rPr>
          <w:rFonts w:ascii="Times New Roman;serif" w:hAnsi="Times New Roman;serif"/>
          <w:b w:val="false"/>
          <w:color w:val="000000"/>
          <w:sz w:val="20"/>
        </w:rPr>
        <w:t>included</w:t>
      </w:r>
      <w:r>
        <w:rPr>
          <w:color w:val="000000"/>
        </w:rPr>
        <w:t xml:space="preserve"> </w:t>
      </w:r>
      <w:r>
        <w:rPr>
          <w:rFonts w:ascii="Times New Roman;serif" w:hAnsi="Times New Roman;serif"/>
          <w:b/>
          <w:color w:val="000000"/>
          <w:sz w:val="20"/>
        </w:rPr>
        <w:t>$</w:t>
      </w:r>
      <w:r>
        <w:rPr>
          <w:rFonts w:ascii="Times New Roman;serif" w:hAnsi="Times New Roman;serif"/>
          <w:b w:val="false"/>
          <w:color w:val="000000"/>
          <w:sz w:val="20"/>
        </w:rPr>
        <w:t>4 million, or $0.01 per share, of expense from investment and other income true-up adjustments. Investment income from alternative investments was $31 million, or $0.12 per share, below the midpoint of management’s long-term expected return of approximately 12% to 14%</w:t>
      </w:r>
    </w:p>
    <w:p>
      <w:pPr>
        <w:pStyle w:val="TextBody"/>
        <w:bidi w:val="0"/>
        <w:spacing w:lineRule="auto" w:line="288" w:before="0" w:after="0"/>
        <w:ind w:left="0" w:right="0" w:hanging="360"/>
        <w:jc w:val="both"/>
        <w:rPr/>
      </w:pPr>
      <w:r>
        <w:rPr>
          <w:color w:val="000000"/>
        </w:rPr>
        <w:t>◦    </w:t>
      </w:r>
      <w:r>
        <w:rPr>
          <w:rFonts w:ascii="Times New Roman;serif" w:hAnsi="Times New Roman;serif"/>
          <w:b/>
          <w:color w:val="000000"/>
          <w:sz w:val="20"/>
        </w:rPr>
        <w:t>F&amp;G Segment adjusted net earnings of $80 million for the first quarter of 2025</w:t>
      </w:r>
      <w:r>
        <w:rPr>
          <w:color w:val="000000"/>
        </w:rPr>
        <w:t xml:space="preserve"> </w:t>
      </w:r>
      <w:r>
        <w:rPr>
          <w:rFonts w:ascii="Times New Roman;serif" w:hAnsi="Times New Roman;serif"/>
          <w:b w:val="false"/>
          <w:color w:val="000000"/>
          <w:sz w:val="20"/>
        </w:rPr>
        <w:t>included $13 million of income from a reinsurance true-up adjustment. Investment income from alternative investments was $37 million below the midpoint of management’s long-term expected return of approximately 12% to 14%</w:t>
      </w:r>
    </w:p>
    <w:p>
      <w:pPr>
        <w:pStyle w:val="TextBody"/>
        <w:bidi w:val="0"/>
        <w:spacing w:lineRule="auto" w:line="288" w:before="0" w:after="0"/>
        <w:ind w:left="0" w:right="0" w:hanging="360"/>
        <w:jc w:val="both"/>
        <w:rPr>
          <w:color w:val="000000"/>
        </w:rPr>
      </w:pPr>
      <w:r>
        <w:rPr>
          <w:color w:val="000000"/>
        </w:rPr>
        <w:t>◦    </w:t>
      </w:r>
      <w:r>
        <w:rPr>
          <w:rFonts w:ascii="Times New Roman;serif" w:hAnsi="Times New Roman;serif"/>
          <w:b w:val="false"/>
          <w:color w:val="000000"/>
          <w:sz w:val="20"/>
        </w:rPr>
        <w:t>As compared with the prior year quarter and excluding the above items, adjusted net earnings reflect asset growth, growing fees from accretive flow reinsurance, steady owned distribution margin and disciplined expense management driving scale benefit</w:t>
      </w:r>
    </w:p>
    <w:p>
      <w:pPr>
        <w:pStyle w:val="TextBody"/>
        <w:bidi w:val="0"/>
        <w:spacing w:lineRule="auto" w:line="288"/>
        <w:ind w:left="0" w:right="0" w:hanging="360"/>
        <w:jc w:val="both"/>
        <w:rPr>
          <w:color w:val="000000"/>
        </w:rPr>
      </w:pPr>
      <w:r>
        <w:rPr>
          <w:color w:val="000000"/>
        </w:rPr>
        <w:t>◦    </w:t>
      </w:r>
      <w:r>
        <w:rPr>
          <w:rFonts w:ascii="Times New Roman;serif" w:hAnsi="Times New Roman;serif"/>
          <w:b w:val="false"/>
          <w:color w:val="000000"/>
          <w:sz w:val="20"/>
        </w:rPr>
        <w:t>Please see “Segment Financial Results” for F&amp;G under “Non-GAAP Measures and Other Information” for further explanation</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will host a call with investors and analysts to discuss FNF’s first quarter of 2026 results on Thursday, May 7, 2026, beginning at 11:00 a.m. Eastern Time. A live webcast of the conference call will be available on the Events and Multimedia page of the FNF Investor Relations website at fnf.com. The conference call replay will be available via webcast through the FNF Investor Relations website at fnf.com.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Fidelity National Financial, Inc.</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Fidelity National Financial, Inc. (NYSE: FNF) is a leading provider of title insurance and transaction services to the real estate and mortgage industries. FNF is the nation’s largest title insurance company through its title insurance underwriters - Fidelity National Title, Chicago Title, Commonwealth Land Title, Alamo Title and National Title of New York - that collectively issue more title insurance policies than any other title company in the United States. More information about FNF can be found at fnf.com.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About F&amp;G</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F&amp;G is part of the FNF family of companies. F&amp;G is committed to helping Americans turn their aspirations into reality. F&amp;G is a leading provider of insurance solutions serving retail annuity and life customers and institutional clients and is headquartered in Des Moines, Iowa. For more information, please visit fglife.com.</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Use of Non-GAAP Financial Information</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Generally Accepted Accounting Principles (GAAP) is the term used to refer to the standard framework of guidelines for financial accounting. GAAP includes the standards, conventions, and rules accountants follow in recording and summarizing transactions and in the preparation of financial statements. In addition to reporting financial results in accordance with GAAP, this earnings release includes non-GAAP financial measures, which the Company believes are useful to help investors better understand its financial performance, competitive position and prospects for the future. These non-GAAP measures include adjusted net earnings per share, adjusted pre-tax title earnings, adjusted pre-tax title earnings as a percentage of adjusted title revenue (adjusted pre-tax title margin), adjusted net earnings attributable to common shareholders (adjusted net earnings), assets under management (AUM), average assets under management (AAUM) and sales. </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presentation of this financial information is not intended to be considered in isolation of or as a substitute for, or superior to, the financial information prepared and presented in accordance with GAAP. By disclosing these non-GAAP financial measures, FNF believes it offers investors a greater understanding of, and an enhanced level of transparency into, the means by which the Company’s management operates the Company.</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Any non-GAAP measures should be considered in context with the GAAP financial presentation and should not be considered in isolation or as a substitute for GAAP net earnings, net earnings attributable to common shareholders, net earnings per share, or any other measures derived in accordance with GAAP as measures of operating performance or liquidity. Further, FNF's non-GAAP measures may be calculated differently from similarly titled measures of other companies. Reconciliations of these non-GAAP financial measures to the most directly comparable GAAP measures are provided below.</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 and Risk Factors</w:t>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that involve a number of risks and uncertainties. Statements that are not historical facts, including statements regarding our expectations, hopes, intentions or strategies regarding the future are forward-looking statements. Forward-looking statements are based on management's beliefs, as well as assumptions made by, and information currently available to, management. Because such statements are based on expectations as to future financial and operating results and are not statements of fact, actual results may differ materially from those projected. We undertake no obligation to update any forward-looking statements, whether as a result of new information, future events or otherwise. The risks and uncertainties which forward-looking statements are subject to include, but are not limited to: changes in general economic, business, political crisis, war and pandemic conditions, including ongoing geopolitical conflicts; consumer spending; government spending; the volatility and strength of the capital markets; investor and consumer confidence; foreign currency exchange rates; commodity prices; inflation levels; changes in trade policy; tariffs and trade sanctions on goods; trade wars; supply chain disruptions; weakness or adverse changes in the level of real estate activity, which may be caused by, among other things, high or increasing interest rates, a limited supply of mortgage funding or a weak U.S. economy; our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potential inability to find suitable acquisition candidates; our dependence on distributions from our title insurance underwriters as a main source of cash flow; significant competition that F&amp;G and our operating subsidiaries face; compliance with extensive government regulation of our operating subsidiaries, including regulation of title insurance and services and privacy and data protection laws; systems damage, failures, interruptions, cyberattacks and intrusions, or unauthorized data disclosures; and other risks detailed in the "Statement Regarding Forward-Looking Information," "Risk Factors" and other sections of FNF's Form 10-K and other filings with the Securities and Exchange Commission.</w:t>
      </w:r>
    </w:p>
    <w:p>
      <w:pPr>
        <w:pStyle w:val="TextBody"/>
        <w:bidi w:val="0"/>
        <w:spacing w:lineRule="auto" w:line="264" w:before="0" w:after="0"/>
        <w:jc w:val="both"/>
        <w:rPr>
          <w:rFonts w:ascii="Times New Roman;serif" w:hAnsi="Times New Roman;serif"/>
          <w:b w:val="false"/>
          <w:color w:val="000000"/>
          <w:sz w:val="19"/>
        </w:rPr>
      </w:pPr>
      <w:r>
        <w:rPr>
          <w:rFonts w:ascii="Times New Roman;serif" w:hAnsi="Times New Roman;serif"/>
          <w:b w:val="false"/>
          <w:color w:val="000000"/>
          <w:sz w:val="19"/>
        </w:rPr>
        <w:t>FNF-E</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val="false"/>
          <w:color w:val="000000"/>
          <w:sz w:val="19"/>
        </w:rPr>
        <w:t>SOURCE:</w:t>
      </w:r>
      <w:r>
        <w:rPr>
          <w:color w:val="000000"/>
        </w:rPr>
        <w:t xml:space="preserve"> </w:t>
      </w:r>
      <w:r>
        <w:rPr>
          <w:rFonts w:ascii="Times New Roman;serif" w:hAnsi="Times New Roman;serif"/>
          <w:b w:val="false"/>
          <w:color w:val="000000"/>
          <w:sz w:val="19"/>
        </w:rPr>
        <w:t>Fidelity National Financial, Inc.; F&amp;G Annuities &amp; Life, Inc.</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19"/>
        </w:rPr>
      </w:pPr>
      <w:r>
        <w:rPr>
          <w:rFonts w:ascii="Times New Roman;serif" w:hAnsi="Times New Roman;serif"/>
          <w:b w:val="false"/>
          <w:color w:val="000000"/>
          <w:sz w:val="19"/>
        </w:rPr>
        <w:t xml:space="preserve">CONTACT: </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Lisa Foxworthy-Parker</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SVP of Investor &amp; External Relations</w:t>
      </w:r>
    </w:p>
    <w:p>
      <w:pPr>
        <w:pStyle w:val="TextBody"/>
        <w:bidi w:val="0"/>
        <w:spacing w:lineRule="auto" w:line="264" w:before="0" w:after="0"/>
        <w:jc w:val="both"/>
        <w:rPr>
          <w:rFonts w:ascii="Times New Roman;serif" w:hAnsi="Times New Roman;serif"/>
          <w:b w:val="false"/>
          <w:color w:val="0000FF"/>
          <w:sz w:val="20"/>
        </w:rPr>
      </w:pPr>
      <w:r>
        <w:rPr>
          <w:rFonts w:ascii="Times New Roman;serif" w:hAnsi="Times New Roman;serif"/>
          <w:b w:val="false"/>
          <w:color w:val="0000FF"/>
          <w:sz w:val="20"/>
        </w:rPr>
        <w:t>Investors@fnf.com</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515.330.3307 </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(In millions, except per share data)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33"/>
        <w:gridCol w:w="917"/>
        <w:gridCol w:w="921"/>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392"/>
        <w:gridCol w:w="756"/>
        <w:gridCol w:w="203"/>
        <w:gridCol w:w="109"/>
        <w:gridCol w:w="109"/>
        <w:gridCol w:w="109"/>
        <w:gridCol w:w="308"/>
        <w:gridCol w:w="592"/>
        <w:gridCol w:w="230"/>
      </w:tblGrid>
      <w:tr>
        <w:trPr/>
        <w:tc>
          <w:tcPr>
            <w:tcW w:w="143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and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&amp; other policy reserve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risk benefit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earnings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(Loss) earnings from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58"/>
        <w:gridCol w:w="946"/>
        <w:gridCol w:w="913"/>
        <w:gridCol w:w="109"/>
        <w:gridCol w:w="109"/>
        <w:gridCol w:w="109"/>
        <w:gridCol w:w="303"/>
        <w:gridCol w:w="756"/>
        <w:gridCol w:w="157"/>
        <w:gridCol w:w="109"/>
        <w:gridCol w:w="109"/>
        <w:gridCol w:w="109"/>
        <w:gridCol w:w="211"/>
        <w:gridCol w:w="481"/>
        <w:gridCol w:w="109"/>
        <w:gridCol w:w="109"/>
        <w:gridCol w:w="109"/>
        <w:gridCol w:w="109"/>
        <w:gridCol w:w="211"/>
        <w:gridCol w:w="507"/>
        <w:gridCol w:w="109"/>
        <w:gridCol w:w="109"/>
        <w:gridCol w:w="109"/>
        <w:gridCol w:w="109"/>
        <w:gridCol w:w="371"/>
        <w:gridCol w:w="716"/>
        <w:gridCol w:w="192"/>
        <w:gridCol w:w="109"/>
        <w:gridCol w:w="109"/>
        <w:gridCol w:w="109"/>
        <w:gridCol w:w="308"/>
        <w:gridCol w:w="592"/>
        <w:gridCol w:w="230"/>
      </w:tblGrid>
      <w:tr>
        <w:trPr/>
        <w:tc>
          <w:tcPr>
            <w:tcW w:w="145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Market related liability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Transaction and other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Tax expense related to change in FG tax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43"/>
        <w:gridCol w:w="936"/>
        <w:gridCol w:w="940"/>
        <w:gridCol w:w="109"/>
        <w:gridCol w:w="109"/>
        <w:gridCol w:w="109"/>
        <w:gridCol w:w="303"/>
        <w:gridCol w:w="756"/>
        <w:gridCol w:w="157"/>
        <w:gridCol w:w="109"/>
        <w:gridCol w:w="109"/>
        <w:gridCol w:w="109"/>
        <w:gridCol w:w="211"/>
        <w:gridCol w:w="481"/>
        <w:gridCol w:w="109"/>
        <w:gridCol w:w="109"/>
        <w:gridCol w:w="109"/>
        <w:gridCol w:w="109"/>
        <w:gridCol w:w="211"/>
        <w:gridCol w:w="422"/>
        <w:gridCol w:w="109"/>
        <w:gridCol w:w="109"/>
        <w:gridCol w:w="109"/>
        <w:gridCol w:w="109"/>
        <w:gridCol w:w="396"/>
        <w:gridCol w:w="763"/>
        <w:gridCol w:w="205"/>
        <w:gridCol w:w="109"/>
        <w:gridCol w:w="109"/>
        <w:gridCol w:w="109"/>
        <w:gridCol w:w="308"/>
        <w:gridCol w:w="592"/>
        <w:gridCol w:w="228"/>
      </w:tblGrid>
      <w:tr>
        <w:trPr/>
        <w:tc>
          <w:tcPr>
            <w:tcW w:w="144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Elimination</w:t>
            </w:r>
          </w:p>
        </w:tc>
      </w:tr>
      <w:tr>
        <w:trPr/>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title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title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Escrow, title related and other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title and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2,256</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Recognized gains and losses,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Agent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Benefits &amp; other policy reserve changes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risk benefit (gains)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2,618</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earnings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Earnings from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0.30</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QUARTER SEGMENT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 except per share data)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460"/>
        <w:gridCol w:w="948"/>
        <w:gridCol w:w="915"/>
        <w:gridCol w:w="109"/>
        <w:gridCol w:w="109"/>
        <w:gridCol w:w="109"/>
        <w:gridCol w:w="303"/>
        <w:gridCol w:w="756"/>
        <w:gridCol w:w="157"/>
        <w:gridCol w:w="109"/>
        <w:gridCol w:w="109"/>
        <w:gridCol w:w="109"/>
        <w:gridCol w:w="211"/>
        <w:gridCol w:w="481"/>
        <w:gridCol w:w="109"/>
        <w:gridCol w:w="109"/>
        <w:gridCol w:w="109"/>
        <w:gridCol w:w="109"/>
        <w:gridCol w:w="211"/>
        <w:gridCol w:w="481"/>
        <w:gridCol w:w="109"/>
        <w:gridCol w:w="109"/>
        <w:gridCol w:w="109"/>
        <w:gridCol w:w="109"/>
        <w:gridCol w:w="457"/>
        <w:gridCol w:w="588"/>
        <w:gridCol w:w="236"/>
        <w:gridCol w:w="109"/>
        <w:gridCol w:w="109"/>
        <w:gridCol w:w="109"/>
        <w:gridCol w:w="313"/>
        <w:gridCol w:w="602"/>
        <w:gridCol w:w="233"/>
      </w:tblGrid>
      <w:tr>
        <w:trPr/>
        <w:tc>
          <w:tcPr>
            <w:tcW w:w="146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F&amp;G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Elimination </w:t>
            </w:r>
          </w:p>
        </w:tc>
      </w:tr>
      <w:tr>
        <w:trPr/>
        <w:tc>
          <w:tcPr>
            <w:tcW w:w="3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Recognized (gains) and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Market related liability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Purchase price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pre-tax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taxes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Non-controlling interest on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Deferred tax asset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earnings (loss)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attributable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0.78</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SUMMARY BALANCE SHEET INFORMATION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 millions)</w:t>
      </w:r>
    </w:p>
    <w:tbl>
      <w:tblPr>
        <w:tblW w:w="7620" w:type="dxa"/>
        <w:jc w:val="center"/>
        <w:tblInd w:w="0" w:type="dxa"/>
        <w:tblLayout w:type="fixed"/>
        <w:tblCellMar>
          <w:top w:w="28" w:type="dxa"/>
          <w:left w:w="28" w:type="dxa"/>
          <w:bottom w:w="28" w:type="dxa"/>
          <w:right w:w="28" w:type="dxa"/>
        </w:tblCellMar>
      </w:tblPr>
      <w:tblGrid>
        <w:gridCol w:w="1506"/>
        <w:gridCol w:w="1322"/>
        <w:gridCol w:w="1327"/>
        <w:gridCol w:w="109"/>
        <w:gridCol w:w="109"/>
        <w:gridCol w:w="109"/>
        <w:gridCol w:w="109"/>
        <w:gridCol w:w="109"/>
        <w:gridCol w:w="109"/>
        <w:gridCol w:w="211"/>
        <w:gridCol w:w="736"/>
        <w:gridCol w:w="109"/>
        <w:gridCol w:w="109"/>
        <w:gridCol w:w="109"/>
        <w:gridCol w:w="109"/>
        <w:gridCol w:w="109"/>
        <w:gridCol w:w="109"/>
        <w:gridCol w:w="109"/>
        <w:gridCol w:w="211"/>
        <w:gridCol w:w="73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c>
          <w:tcPr>
            <w:tcW w:w="138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428"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investment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75,699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75,831</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5,272</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plant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109,014</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4,400</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title claim losses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trust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(1,678)</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w:t>
            </w:r>
            <w:r>
              <w:rPr>
                <w:color w:val="000000"/>
              </w:rPr>
              <w:t>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and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8,972</w:t>
            </w:r>
            <w:r>
              <w:rPr>
                <w:color w:val="000000"/>
              </w:rPr>
              <w:t>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CCEEFF" w:val="clear"/>
            <w:tcMar>
              <w:top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7,424</w:t>
            </w:r>
            <w:r>
              <w:rPr>
                <w:color w:val="000000"/>
              </w:rPr>
              <w:t> </w:t>
            </w:r>
          </w:p>
        </w:tc>
        <w:tc>
          <w:tcPr>
            <w:tcW w:w="154"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both"/>
        <w:rPr>
          <w:rFonts w:ascii="Times New Roman;serif" w:hAnsi="Times New Roman;serif"/>
          <w:b/>
          <w:color w:val="000000"/>
          <w:sz w:val="28"/>
        </w:rPr>
      </w:pPr>
      <w:r>
        <w:rPr>
          <w:rFonts w:ascii="Times New Roman;serif" w:hAnsi="Times New Roman;serif"/>
          <w:b/>
          <w:color w:val="000000"/>
          <w:sz w:val="28"/>
        </w:rPr>
        <w:t>Non-GAAP Measures and Other Information</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color w:val="000000"/>
          <w:sz w:val="24"/>
          <w:u w:val="single"/>
        </w:rPr>
      </w:pPr>
      <w:r>
        <w:rPr>
          <w:rFonts w:ascii="Times New Roman;serif" w:hAnsi="Times New Roman;serif"/>
          <w:b/>
          <w:color w:val="000000"/>
          <w:sz w:val="24"/>
          <w:u w:val="single"/>
        </w:rPr>
        <w:t>Title Segment</w:t>
      </w:r>
    </w:p>
    <w:p>
      <w:pPr>
        <w:pStyle w:val="TextBody"/>
        <w:bidi w:val="0"/>
        <w:spacing w:before="0" w:after="0"/>
        <w:jc w:val="both"/>
        <w:rPr/>
      </w:pPr>
      <w:r>
        <w:rPr/>
      </w:r>
    </w:p>
    <w:p>
      <w:pPr>
        <w:pStyle w:val="TextBody"/>
        <w:bidi w:val="0"/>
        <w:spacing w:lineRule="auto" w:line="247" w:before="0" w:after="0"/>
        <w:jc w:val="both"/>
        <w:rPr>
          <w:rFonts w:ascii="Times New Roman;serif" w:hAnsi="Times New Roman;serif"/>
          <w:b w:val="false"/>
          <w:color w:val="000000"/>
          <w:sz w:val="22"/>
        </w:rPr>
      </w:pPr>
      <w:r>
        <w:rPr>
          <w:rFonts w:ascii="Times New Roman;serif" w:hAnsi="Times New Roman;serif"/>
          <w:b w:val="false"/>
          <w:color w:val="000000"/>
          <w:sz w:val="22"/>
        </w:rPr>
        <w:t>The table below reconciles pre-tax title earnings to adjusted pre-tax title earnings.</w:t>
      </w:r>
    </w:p>
    <w:p>
      <w:pPr>
        <w:pStyle w:val="TextBody"/>
        <w:bidi w:val="0"/>
        <w:spacing w:before="0" w:after="0"/>
        <w:jc w:val="left"/>
        <w:rPr/>
      </w:pPr>
      <w:r>
        <w:rPr/>
      </w:r>
    </w:p>
    <w:tbl>
      <w:tblPr>
        <w:tblW w:w="7199" w:type="dxa"/>
        <w:jc w:val="left"/>
        <w:tblInd w:w="0" w:type="dxa"/>
        <w:tblLayout w:type="fixed"/>
        <w:tblCellMar>
          <w:top w:w="28" w:type="dxa"/>
          <w:left w:w="28" w:type="dxa"/>
          <w:bottom w:w="28" w:type="dxa"/>
          <w:right w:w="28" w:type="dxa"/>
        </w:tblCellMar>
      </w:tblPr>
      <w:tblGrid>
        <w:gridCol w:w="1115"/>
        <w:gridCol w:w="978"/>
        <w:gridCol w:w="982"/>
        <w:gridCol w:w="306"/>
        <w:gridCol w:w="698"/>
        <w:gridCol w:w="436"/>
        <w:gridCol w:w="109"/>
        <w:gridCol w:w="109"/>
        <w:gridCol w:w="109"/>
        <w:gridCol w:w="306"/>
        <w:gridCol w:w="698"/>
        <w:gridCol w:w="436"/>
        <w:gridCol w:w="109"/>
        <w:gridCol w:w="109"/>
        <w:gridCol w:w="109"/>
        <w:gridCol w:w="109"/>
        <w:gridCol w:w="109"/>
        <w:gridCol w:w="109"/>
        <w:gridCol w:w="109"/>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20"/>
              </w:rPr>
            </w:pPr>
            <w:r>
              <w:rPr>
                <w:rFonts w:ascii="Times New Roman;serif" w:hAnsi="Times New Roman;serif"/>
                <w:b/>
                <w:color w:val="000000"/>
                <w:sz w:val="20"/>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 xml:space="preserve">Pre-tax earnings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Non-GAAP adjustments before taxes</w:t>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color w:val="000000"/>
              </w:rPr>
            </w:pPr>
            <w:r>
              <w:rPr>
                <w:color w:val="000000"/>
              </w:rPr>
              <w:t>  </w:t>
            </w:r>
            <w:r>
              <w:rPr>
                <w:rFonts w:ascii="Times New Roman;serif" w:hAnsi="Times New Roman;serif"/>
                <w:b w:val="false"/>
                <w:color w:val="000000"/>
                <w:sz w:val="20"/>
              </w:rPr>
              <w:t>Recognized (gains) and losses, net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color w:val="000000"/>
              </w:rPr>
            </w:pPr>
            <w:r>
              <w:rPr>
                <w:color w:val="000000"/>
              </w:rPr>
              <w:t>  </w:t>
            </w:r>
            <w:r>
              <w:rPr>
                <w:rFonts w:ascii="Times New Roman;serif" w:hAnsi="Times New Roman;serif"/>
                <w:b w:val="false"/>
                <w:color w:val="000000"/>
                <w:sz w:val="20"/>
              </w:rPr>
              <w:t>Purchase price amortization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Total non-GAAP adjustments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 xml:space="preserve">Adjusted pre-tax earnings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Adjusted pre-tax margin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OPERATING STATISTICS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(Unaudited)</w:t>
      </w:r>
    </w:p>
    <w:tbl>
      <w:tblPr>
        <w:tblW w:w="12256" w:type="dxa"/>
        <w:jc w:val="center"/>
        <w:tblInd w:w="0" w:type="dxa"/>
        <w:tblLayout w:type="fixed"/>
        <w:tblCellMar>
          <w:top w:w="28" w:type="dxa"/>
          <w:left w:w="28" w:type="dxa"/>
          <w:bottom w:w="28" w:type="dxa"/>
          <w:right w:w="28" w:type="dxa"/>
        </w:tblCellMar>
      </w:tblPr>
      <w:tblGrid>
        <w:gridCol w:w="528"/>
        <w:gridCol w:w="201"/>
        <w:gridCol w:w="202"/>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86"/>
      </w:tblGrid>
      <w:tr>
        <w:trPr/>
        <w:tc>
          <w:tcPr>
            <w:tcW w:w="5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 2024</w:t>
            </w:r>
          </w:p>
        </w:tc>
      </w:tr>
      <w:tr>
        <w:trPr/>
        <w:tc>
          <w:tcPr>
            <w:tcW w:w="1225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Quarterly Opened Orders ('000's except % data)</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opened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opened orders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 of opened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 of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closed orders per day*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 of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Refinance % of closed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(millions, except orders in '000's)</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opened orders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closed 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Fee Per File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 per 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fee per file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fee per 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National commercial fee per file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6" w:type="dxa"/>
            <w:gridSpan w:val="5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Total Staffing</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field operations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Actual title claims paid ($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Title Segment (continued)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FIDELITY NATIONAL FINANCIAL,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MONTHLY TITLE ORDER STATISTICS</w:t>
      </w:r>
    </w:p>
    <w:tbl>
      <w:tblPr>
        <w:tblW w:w="6482" w:type="dxa"/>
        <w:jc w:val="center"/>
        <w:tblInd w:w="0" w:type="dxa"/>
        <w:tblLayout w:type="fixed"/>
        <w:tblCellMar>
          <w:top w:w="28" w:type="dxa"/>
          <w:left w:w="28" w:type="dxa"/>
          <w:bottom w:w="28" w:type="dxa"/>
          <w:right w:w="28" w:type="dxa"/>
        </w:tblCellMar>
      </w:tblPr>
      <w:tblGrid>
        <w:gridCol w:w="546"/>
        <w:gridCol w:w="481"/>
        <w:gridCol w:w="488"/>
        <w:gridCol w:w="109"/>
        <w:gridCol w:w="109"/>
        <w:gridCol w:w="109"/>
        <w:gridCol w:w="109"/>
        <w:gridCol w:w="109"/>
        <w:gridCol w:w="109"/>
        <w:gridCol w:w="307"/>
        <w:gridCol w:w="307"/>
        <w:gridCol w:w="307"/>
        <w:gridCol w:w="307"/>
        <w:gridCol w:w="307"/>
        <w:gridCol w:w="309"/>
        <w:gridCol w:w="109"/>
        <w:gridCol w:w="109"/>
        <w:gridCol w:w="109"/>
        <w:gridCol w:w="109"/>
        <w:gridCol w:w="109"/>
        <w:gridCol w:w="109"/>
        <w:gridCol w:w="283"/>
        <w:gridCol w:w="283"/>
        <w:gridCol w:w="283"/>
        <w:gridCol w:w="283"/>
        <w:gridCol w:w="283"/>
        <w:gridCol w:w="400"/>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Opened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Closed *</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119,000</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67,000</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Quarter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389,000</w:t>
            </w:r>
          </w:p>
        </w:tc>
        <w:tc>
          <w:tcPr>
            <w:tcW w:w="92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234,000</w:t>
            </w:r>
          </w:p>
        </w:tc>
        <w:tc>
          <w:tcPr>
            <w:tcW w:w="96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63%</w:t>
            </w:r>
          </w:p>
        </w:tc>
      </w:tr>
    </w:tbl>
    <w:p>
      <w:pPr>
        <w:pStyle w:val="TextBody"/>
        <w:bidi w:val="0"/>
        <w:spacing w:before="0" w:after="0"/>
        <w:jc w:val="center"/>
        <w:rPr/>
      </w:pPr>
      <w:r>
        <w:rPr/>
      </w:r>
    </w:p>
    <w:tbl>
      <w:tblPr>
        <w:tblW w:w="6482" w:type="dxa"/>
        <w:jc w:val="center"/>
        <w:tblInd w:w="0" w:type="dxa"/>
        <w:tblLayout w:type="fixed"/>
        <w:tblCellMar>
          <w:top w:w="28" w:type="dxa"/>
          <w:left w:w="28" w:type="dxa"/>
          <w:bottom w:w="28" w:type="dxa"/>
          <w:right w:w="28" w:type="dxa"/>
        </w:tblCellMar>
      </w:tblPr>
      <w:tblGrid>
        <w:gridCol w:w="546"/>
        <w:gridCol w:w="481"/>
        <w:gridCol w:w="488"/>
        <w:gridCol w:w="109"/>
        <w:gridCol w:w="109"/>
        <w:gridCol w:w="109"/>
        <w:gridCol w:w="109"/>
        <w:gridCol w:w="109"/>
        <w:gridCol w:w="109"/>
        <w:gridCol w:w="307"/>
        <w:gridCol w:w="307"/>
        <w:gridCol w:w="307"/>
        <w:gridCol w:w="307"/>
        <w:gridCol w:w="307"/>
        <w:gridCol w:w="309"/>
        <w:gridCol w:w="109"/>
        <w:gridCol w:w="109"/>
        <w:gridCol w:w="109"/>
        <w:gridCol w:w="109"/>
        <w:gridCol w:w="109"/>
        <w:gridCol w:w="109"/>
        <w:gridCol w:w="283"/>
        <w:gridCol w:w="283"/>
        <w:gridCol w:w="283"/>
        <w:gridCol w:w="283"/>
        <w:gridCol w:w="283"/>
        <w:gridCol w:w="400"/>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Opened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 Orders Closed *</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Month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 (% Purchase)</w:t>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January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107,000</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62,000</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128,000</w:t>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First Quarter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343,000</w:t>
            </w:r>
          </w:p>
        </w:tc>
        <w:tc>
          <w:tcPr>
            <w:tcW w:w="92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4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201,000</w:t>
            </w:r>
          </w:p>
        </w:tc>
        <w:tc>
          <w:tcPr>
            <w:tcW w:w="96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w:t>
            </w:r>
          </w:p>
        </w:tc>
      </w:tr>
      <w:tr>
        <w:trPr/>
        <w:tc>
          <w:tcPr>
            <w:tcW w:w="648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Includes an immaterial number of non-purchase and non-refinance orders</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left"/>
        <w:rPr>
          <w:rFonts w:ascii="Times New Roman;serif" w:hAnsi="Times New Roman;serif"/>
          <w:b/>
          <w:color w:val="000000"/>
          <w:sz w:val="24"/>
          <w:u w:val="single"/>
        </w:rPr>
      </w:pPr>
      <w:r>
        <w:rPr>
          <w:rFonts w:ascii="Times New Roman;serif" w:hAnsi="Times New Roman;serif"/>
          <w:b/>
          <w:color w:val="000000"/>
          <w:sz w:val="24"/>
          <w:u w:val="single"/>
        </w:rPr>
        <w:t>F&amp;G Segment</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net earnings (loss) attributable to common shareholders to adjusted net earnings attributable to common shareholders. The F&amp;G Segment is reported net of noncontrolling minority interest.</w:t>
      </w:r>
    </w:p>
    <w:p>
      <w:pPr>
        <w:pStyle w:val="TextBody"/>
        <w:bidi w:val="0"/>
        <w:spacing w:before="0" w:after="0"/>
        <w:jc w:val="both"/>
        <w:rPr/>
      </w:pPr>
      <w:r>
        <w:rPr/>
      </w:r>
    </w:p>
    <w:tbl>
      <w:tblPr>
        <w:tblW w:w="10018" w:type="dxa"/>
        <w:jc w:val="left"/>
        <w:tblInd w:w="0" w:type="dxa"/>
        <w:tblLayout w:type="fixed"/>
        <w:tblCellMar>
          <w:top w:w="28" w:type="dxa"/>
          <w:left w:w="28" w:type="dxa"/>
          <w:bottom w:w="28" w:type="dxa"/>
          <w:right w:w="28" w:type="dxa"/>
        </w:tblCellMar>
      </w:tblPr>
      <w:tblGrid>
        <w:gridCol w:w="1929"/>
        <w:gridCol w:w="1694"/>
        <w:gridCol w:w="1701"/>
        <w:gridCol w:w="341"/>
        <w:gridCol w:w="759"/>
        <w:gridCol w:w="189"/>
        <w:gridCol w:w="109"/>
        <w:gridCol w:w="109"/>
        <w:gridCol w:w="109"/>
        <w:gridCol w:w="355"/>
        <w:gridCol w:w="737"/>
        <w:gridCol w:w="197"/>
        <w:gridCol w:w="109"/>
        <w:gridCol w:w="109"/>
        <w:gridCol w:w="109"/>
        <w:gridCol w:w="109"/>
        <w:gridCol w:w="109"/>
        <w:gridCol w:w="109"/>
        <w:gridCol w:w="109"/>
        <w:gridCol w:w="109"/>
        <w:gridCol w:w="109"/>
        <w:gridCol w:w="109"/>
        <w:gridCol w:w="109"/>
        <w:gridCol w:w="109"/>
        <w:gridCol w:w="109"/>
        <w:gridCol w:w="109"/>
        <w:gridCol w:w="109"/>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7"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color w:val="000000"/>
                <w:sz w:val="18"/>
              </w:rPr>
            </w:pPr>
            <w:r>
              <w:rPr>
                <w:rFonts w:ascii="Times New Roman;serif" w:hAnsi="Times New Roman;serif"/>
                <w:b/>
                <w:color w:val="000000"/>
                <w:sz w:val="18"/>
              </w:rPr>
              <w:t xml:space="preserve">Net earnings (loss) attributable to common shareholders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left"/>
              <w:rPr/>
            </w:pPr>
            <w:r>
              <w:rPr>
                <w:rFonts w:ascii="Times New Roman;serif" w:hAnsi="Times New Roman;serif"/>
                <w:b w:val="false"/>
                <w:color w:val="000000"/>
                <w:sz w:val="18"/>
              </w:rPr>
              <w:t>Non-GAAP adjustments</w:t>
            </w:r>
            <w:r>
              <w:rPr>
                <w:rFonts w:ascii="Times New Roman;serif" w:hAnsi="Times New Roman;serif"/>
                <w:b w:val="false"/>
                <w:color w:val="000000"/>
                <w:sz w:val="12"/>
              </w:rPr>
              <w:t>(1)</w:t>
            </w:r>
            <w:r>
              <w:rPr>
                <w:rFonts w:ascii="Times New Roman;serif" w:hAnsi="Times New Roman;serif"/>
                <w:b w:val="false"/>
                <w:color w:val="000000"/>
                <w:sz w:val="18"/>
              </w:rPr>
              <w:t>:</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(gains) losses,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Market related liability adjustments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price amortization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other costs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on non-GAAP adjustments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7"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on non-GAAP adjustments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7" w:before="0" w:after="0"/>
              <w:jc w:val="left"/>
              <w:rPr/>
            </w:pPr>
            <w:r>
              <w:rPr>
                <w:rFonts w:ascii="Times New Roman;serif" w:hAnsi="Times New Roman;serif"/>
                <w:b/>
                <w:color w:val="000000"/>
                <w:sz w:val="18"/>
              </w:rPr>
              <w:t>Adjusted net earnings (loss) attributable to common shareholders</w:t>
            </w:r>
            <w:r>
              <w:rPr>
                <w:rFonts w:ascii="Times New Roman;serif" w:hAnsi="Times New Roman;serif"/>
                <w:b/>
                <w:color w:val="000000"/>
                <w:sz w:val="12"/>
              </w:rPr>
              <w:t>(1)</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Effective January 1, 2026, our presentation of investment income from alternative investments does not include fixed income assets. Prior periods are presented on a comparable basis to reflect the new definition of investment income from alternative investments.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color w:val="000000"/>
          <w:sz w:val="20"/>
        </w:rPr>
        <w:t xml:space="preserve">F&amp;G Segment adjusted net earnings of $80 million for the first quarter of 2026 </w:t>
      </w:r>
      <w:r>
        <w:rPr>
          <w:rFonts w:ascii="Times New Roman;serif" w:hAnsi="Times New Roman;serif"/>
          <w:b w:val="false"/>
          <w:color w:val="000000"/>
          <w:sz w:val="20"/>
        </w:rPr>
        <w:t>included $4 million, or $0.01 per share, of expense from investment and other income true-up adjustments. Investment income from alternative investments was $31 million, or $0.12 per share, below the midpoint of management’s long-term expected return of approximately 12% to 14%</w:t>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pPr>
      <w:r>
        <w:rPr>
          <w:color w:val="000000"/>
        </w:rPr>
        <w:t>•    </w:t>
      </w:r>
      <w:r>
        <w:rPr>
          <w:rFonts w:ascii="Times New Roman;serif" w:hAnsi="Times New Roman;serif"/>
          <w:b/>
          <w:color w:val="000000"/>
          <w:sz w:val="20"/>
        </w:rPr>
        <w:t xml:space="preserve">F&amp;G Segment adjusted net earnings of $80 million for the first quarter of 2025 </w:t>
      </w:r>
      <w:r>
        <w:rPr>
          <w:rFonts w:ascii="Times New Roman;serif" w:hAnsi="Times New Roman;serif"/>
          <w:b w:val="false"/>
          <w:color w:val="000000"/>
          <w:sz w:val="20"/>
        </w:rPr>
        <w:t>included $13 million, or $0.05 per share, of income from a reinsurance true-up adjustment. Investment income from alternative investments was $37 million, or $0.14 per share, below the midpoint of management’s long-term expected return of approximately 12% to 14%</w:t>
      </w:r>
    </w:p>
    <w:p>
      <w:pPr>
        <w:pStyle w:val="TextBody"/>
        <w:bidi w:val="0"/>
        <w:spacing w:before="0" w:after="0"/>
        <w:ind w:left="0" w:right="0" w:hanging="360"/>
        <w:jc w:val="left"/>
        <w:rPr/>
      </w:pPr>
      <w:r>
        <w:rPr/>
      </w:r>
    </w:p>
    <w:p>
      <w:pPr>
        <w:pStyle w:val="TextBody"/>
        <w:bidi w:val="0"/>
        <w:spacing w:before="0" w:after="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Footnotes:</w:t>
      </w:r>
    </w:p>
    <w:p>
      <w:pPr>
        <w:pStyle w:val="TextBody"/>
        <w:bidi w:val="0"/>
        <w:spacing w:lineRule="auto" w:line="247"/>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1.Non-GAAP financial measure. See the Non-GAAP Measures section below for additional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F&amp;G Segment (continued)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summary of sales highlights.</w:t>
      </w:r>
    </w:p>
    <w:p>
      <w:pPr>
        <w:pStyle w:val="TextBody"/>
        <w:bidi w:val="0"/>
        <w:spacing w:before="0" w:after="0"/>
        <w:jc w:val="both"/>
        <w:rPr/>
      </w:pPr>
      <w:r>
        <w:rPr/>
      </w:r>
    </w:p>
    <w:tbl>
      <w:tblPr>
        <w:tblW w:w="7766" w:type="dxa"/>
        <w:jc w:val="left"/>
        <w:tblInd w:w="0" w:type="dxa"/>
        <w:tblLayout w:type="fixed"/>
        <w:tblCellMar>
          <w:top w:w="28" w:type="dxa"/>
          <w:left w:w="28" w:type="dxa"/>
          <w:bottom w:w="28" w:type="dxa"/>
          <w:right w:w="28" w:type="dxa"/>
        </w:tblCellMar>
      </w:tblPr>
      <w:tblGrid>
        <w:gridCol w:w="1426"/>
        <w:gridCol w:w="1256"/>
        <w:gridCol w:w="1262"/>
        <w:gridCol w:w="109"/>
        <w:gridCol w:w="109"/>
        <w:gridCol w:w="109"/>
        <w:gridCol w:w="293"/>
        <w:gridCol w:w="833"/>
        <w:gridCol w:w="163"/>
        <w:gridCol w:w="109"/>
        <w:gridCol w:w="109"/>
        <w:gridCol w:w="109"/>
        <w:gridCol w:w="293"/>
        <w:gridCol w:w="833"/>
        <w:gridCol w:w="163"/>
        <w:gridCol w:w="109"/>
        <w:gridCol w:w="109"/>
        <w:gridCol w:w="109"/>
        <w:gridCol w:w="109"/>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March 31, 2026</w:t>
            </w:r>
          </w:p>
        </w:tc>
        <w:tc>
          <w:tcPr>
            <w:tcW w:w="327"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93A3B"/>
                <w:sz w:val="18"/>
              </w:rPr>
            </w:pPr>
            <w:r>
              <w:rPr>
                <w:rFonts w:ascii="Times New Roman;serif" w:hAnsi="Times New Roman;serif"/>
                <w:b/>
                <w:color w:val="393A3B"/>
                <w:sz w:val="18"/>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393A3B"/>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Indexed annuities ("FIA/RILA")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1,579 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1,461 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Indexed universal life ("IUL")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Pension risk transfer ("PRT")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317 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311 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color w:val="393A3B"/>
                <w:sz w:val="18"/>
              </w:rPr>
            </w:pPr>
            <w:r>
              <w:rPr>
                <w:rFonts w:ascii="Times New Roman;serif" w:hAnsi="Times New Roman;serif"/>
                <w:b/>
                <w:color w:val="393A3B"/>
                <w:sz w:val="18"/>
              </w:rPr>
              <w:t>Subtotal: Core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1,940</w:t>
            </w:r>
            <w:r>
              <w:rPr>
                <w:color w:val="393A3B"/>
              </w:rPr>
              <w:t> </w:t>
            </w:r>
          </w:p>
        </w:tc>
        <w:tc>
          <w:tcPr>
            <w:tcW w:w="163"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1,815</w:t>
            </w:r>
            <w:r>
              <w:rPr>
                <w:color w:val="393A3B"/>
              </w:rPr>
              <w:t> </w:t>
            </w:r>
          </w:p>
        </w:tc>
        <w:tc>
          <w:tcPr>
            <w:tcW w:w="163"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Fixed rate annuities ("MYGA")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562 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393A3B"/>
                <w:sz w:val="18"/>
              </w:rPr>
            </w:pPr>
            <w:r>
              <w:rPr>
                <w:rFonts w:ascii="Times New Roman;serif" w:hAnsi="Times New Roman;serif"/>
                <w:b w:val="false"/>
                <w:color w:val="393A3B"/>
                <w:sz w:val="18"/>
              </w:rPr>
              <w:t>Funding agreements ("FABN/FHLB")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1,050 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525 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Subtotal: Opportunistic sales</w:t>
            </w:r>
            <w:r>
              <w:rPr>
                <w:rFonts w:ascii="Times New Roman;serif" w:hAnsi="Times New Roman;serif"/>
                <w:b/>
                <w:color w:val="393A3B"/>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1,233</w:t>
            </w:r>
            <w:r>
              <w:rPr>
                <w:color w:val="393A3B"/>
              </w:rPr>
              <w:t> </w:t>
            </w:r>
          </w:p>
        </w:tc>
        <w:tc>
          <w:tcPr>
            <w:tcW w:w="163" w:type="dxa"/>
            <w:tcBorders>
              <w:top w:val="single" w:sz="8" w:space="0" w:color="393A3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1,087</w:t>
            </w:r>
            <w:r>
              <w:rPr>
                <w:color w:val="393A3B"/>
              </w:rPr>
              <w:t> </w:t>
            </w:r>
          </w:p>
        </w:tc>
        <w:tc>
          <w:tcPr>
            <w:tcW w:w="163" w:type="dxa"/>
            <w:tcBorders>
              <w:top w:val="single" w:sz="8" w:space="0" w:color="393A3B"/>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FFFF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Gross sales</w:t>
            </w:r>
            <w:r>
              <w:rPr>
                <w:rFonts w:ascii="Times New Roman;serif" w:hAnsi="Times New Roman;serif"/>
                <w:b/>
                <w:color w:val="393A3B"/>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3,173</w:t>
            </w:r>
            <w:r>
              <w:rPr>
                <w:color w:val="393A3B"/>
              </w:rPr>
              <w:t> </w:t>
            </w:r>
          </w:p>
        </w:tc>
        <w:tc>
          <w:tcPr>
            <w:tcW w:w="163"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2,902</w:t>
            </w:r>
            <w:r>
              <w:rPr>
                <w:color w:val="393A3B"/>
              </w:rPr>
              <w:t> </w:t>
            </w:r>
          </w:p>
        </w:tc>
        <w:tc>
          <w:tcPr>
            <w:tcW w:w="163" w:type="dxa"/>
            <w:tcBorders>
              <w:top w:val="single" w:sz="8" w:space="0" w:color="393A3B"/>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tcBorders>
            <w:shd w:fill="CCEEFF" w:val="clear"/>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93A3B"/>
                <w:sz w:val="18"/>
              </w:rPr>
              <w:t>Sales attributable to flow reinsurance to third parties</w:t>
            </w:r>
            <w:r>
              <w:rPr>
                <w:rFonts w:ascii="Times New Roman;serif" w:hAnsi="Times New Roman;serif"/>
                <w:b w:val="false"/>
                <w:color w:val="393A3B"/>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(928)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393A3B"/>
                <w:sz w:val="18"/>
              </w:rPr>
            </w:pPr>
            <w:r>
              <w:rPr>
                <w:rFonts w:ascii="Times New Roman;serif" w:hAnsi="Times New Roman;serif"/>
                <w:b w:val="false"/>
                <w:color w:val="393A3B"/>
                <w:sz w:val="18"/>
              </w:rPr>
              <w:t>(721)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left w:val="single" w:sz="8" w:space="0" w:color="FFFFFF"/>
              <w:bottom w:val="single" w:sz="8" w:space="0" w:color="FFFFFF"/>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393A3B"/>
                <w:sz w:val="18"/>
              </w:rPr>
              <w:t>Net sales</w:t>
            </w:r>
            <w:r>
              <w:rPr>
                <w:rFonts w:ascii="Times New Roman;serif" w:hAnsi="Times New Roman;serif"/>
                <w:b/>
                <w:color w:val="393A3B"/>
                <w:sz w:val="12"/>
              </w:rPr>
              <w:t>(1)</w:t>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2,245</w:t>
            </w:r>
            <w:r>
              <w:rPr>
                <w:color w:val="393A3B"/>
              </w:rPr>
              <w:t> </w:t>
            </w:r>
          </w:p>
        </w:tc>
        <w:tc>
          <w:tcPr>
            <w:tcW w:w="163" w:type="dxa"/>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393A3B"/>
                <w:sz w:val="18"/>
              </w:rPr>
              <w:t>2,181</w:t>
            </w:r>
            <w:r>
              <w:rPr>
                <w:color w:val="393A3B"/>
              </w:rPr>
              <w:t> </w:t>
            </w:r>
          </w:p>
        </w:tc>
        <w:tc>
          <w:tcPr>
            <w:tcW w:w="163" w:type="dxa"/>
            <w:tcBorders>
              <w:top w:val="single" w:sz="8" w:space="0" w:color="393A3B"/>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7" w:before="0" w:after="0"/>
        <w:jc w:val="left"/>
        <w:rPr>
          <w:rFonts w:ascii="Times New Roman;serif" w:hAnsi="Times New Roman;serif"/>
          <w:b w:val="false"/>
          <w:color w:val="000000"/>
          <w:sz w:val="20"/>
        </w:rPr>
      </w:pPr>
      <w:r>
        <w:rPr>
          <w:rFonts w:ascii="Times New Roman;serif" w:hAnsi="Times New Roman;serif"/>
          <w:b w:val="false"/>
          <w:color w:val="000000"/>
          <w:sz w:val="20"/>
        </w:rPr>
        <w:t>Footnotes:</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1.Non-GAAP financial measure. See the Non-GAAP Measures section below for additional information.</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2.Opportunistic sales volumes fluctuate quarter to quarter depending on economics and market opportunity as we prioritize allocating capital to the highest return opportunities</w:t>
      </w:r>
    </w:p>
    <w:p>
      <w:pPr>
        <w:pStyle w:val="TextBody"/>
        <w:bidi w:val="0"/>
        <w:spacing w:lineRule="auto" w:line="247"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3.Sales attributable to flow reinsurance to third parties includes the reinsurance sidecar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7" w:before="0" w:after="0"/>
        <w:jc w:val="both"/>
        <w:rPr>
          <w:rFonts w:ascii="Times New Roman;serif" w:hAnsi="Times New Roman;serif"/>
          <w:b/>
          <w:color w:val="000000"/>
          <w:sz w:val="20"/>
        </w:rPr>
      </w:pPr>
      <w:r>
        <w:rPr>
          <w:rFonts w:ascii="Times New Roman;serif" w:hAnsi="Times New Roman;serif"/>
          <w:b/>
          <w:color w:val="000000"/>
          <w:sz w:val="20"/>
        </w:rPr>
        <w:t xml:space="preserve">DEFINITIONS </w:t>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represents the definitions of non-GAAP measures used by the Company.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393A3B"/>
          <w:sz w:val="20"/>
        </w:rPr>
      </w:pPr>
      <w:r>
        <w:rPr>
          <w:rFonts w:ascii="Times New Roman;serif" w:hAnsi="Times New Roman;serif"/>
          <w:b/>
          <w:i/>
          <w:color w:val="393A3B"/>
          <w:sz w:val="20"/>
        </w:rPr>
        <w:t>Adjusted Net Earnings attributable to common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net earnings attributable to common shareholders (ANE) is a non-GAAP economic measure used to evaluate financial performance each period.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ANE eliminates the impact of specific items that are not indicative of the underlying economics of our business, including certain market volatility, asymmetrical and noneconomic accounting, nonrecurring items and other income and expense adjustments. These items are volatile in our reported GAAP earnings and are not indicative of the underlying profitability drivers reflected in the design and pricing of our products and/or our investment and hedging strategy, as such items fluctuate from period to period in a manner inconsistent with these drivers.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ANE provides information to enhance an investor’s understanding of our results and underlying profitability drivers by removing the impact of short-term market volatility (i.e. recognized gains and losses, market risk benefits remeasurement gains and losses, derivative gains and losses), asymmetrical and non-economic accounting (i.e. derivatives and investment hedges that do not qualify for hedge accounting, deferred pension risk transfer deferred profit liability losses), and other adjustments.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ANE is calculated by adjusting net earnings or loss attributable to common shareholders to eliminate: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i.Recognized (gains) and losses, net: the impact of net investment gains/losses, including changes in allowance for expected credit losses and other than temporary impairment (“OTTI”) losses, recognized in operations; and the effects of changes in fair value of the reinsurance related embedded derivative and other derivatives, including interest rate swaps and forwards;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ii.Market related liability adjustments: the impacts related to changes in the fair value, including both realized and unrealized gains and losses, of index product related derivatives and embedded derivatives, net of hedging cost; the impact of initial pension risk transfer deferred profit liability losses, including amortization from previously deferred pension risk transfer deferred profit liability losses; and the changes in the fair value of market risk benefits by deferring current period changes and amortizing that amount over the life of the market risk benefit;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iii.Purchase price amortization: the impacts related to the amortization of certain intangibles (internally developed software, trademarks and value of distribution asset and the change in fair value of liabilities recognized as a result of acquisition activities);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iv.Transaction costs: the impacts related to acquisition, integration and merger related items;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v.Other and “non-recurring,” “infrequent” or “unusual items”: Other adjustments include removing any charges associated with U.S. guaranty fund assessments as these charges neither relate to the ordinary course of the Company’s business nor reflect the Company’s underlying business performance, but result from external situations not controlled by the Company. Further, Management excludes certain items determined to be “non-recurring,” “infrequent” or “unusual” from adjusted net earnings when incurred if it is determined these expenses are not a reflection of the core business and when the nature of the item is such that it is not reasonably likely to recur within two years and/or there was not a similar item in the preceding two years;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vi.Non-controlling interest on non-GAAP adjustments: the portion of the non-GAAP adjustments attributable to the equity interest of entities that FNF does not wholly own;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vii.Income taxes: the income tax impact related to the above-mentioned adjustments is measured using an effective tax rate, as appropriate by tax jurisdiction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Recognized gains and losses are excluded from ANE as part of both adjustments (i) and (ii). As part of those two adjustments to ANE, all material recognized gains and losses are removed except for periodic settlements of interest rate swaps used to economically hedge floating rate investments.</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While these adjustments are an integral part of the overall performance of FNF, market conditions and/or the non-operating nature of these items can overshadow the underlying performance of the core business. Accordingly, management considers this to be a useful measure internally and to investors and analysts in analyzing the trends of our operations. Adjusted net earnings should not be used as a substitute for net earnings (loss). However, we believe the adjustments made to net earnings (loss) in order to derive adjusted net earnings provide an understanding of our overall results of operations.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Assets Under Management (AUM)</w:t>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AUM is comprised of the following components and is reported net of reinsurance assets ceded in accordance with GAAP:</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i.total invested assets at amortized cost, excluding investments in unconsolidated affiliates, owned distribution and derivatives;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ii.investments in unconsolidated affiliates at carrying value;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iii.related party loans and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iv.accrued investment income;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v.the net payable/receivable for the purchase/sale of investments;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vi.cash and cash equivalents excluding derivative collateral at the end of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size of our investment portfolio that is retained.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AUM before Flow Reinsurance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AUM before Flow Reinsurance is comprised of components consistent with AUM, but also includes flow reinsured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size of our investment portfolio including reinsured assets.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0"/>
        </w:rPr>
      </w:pPr>
      <w:r>
        <w:rPr>
          <w:rFonts w:ascii="Times New Roman;serif" w:hAnsi="Times New Roman;serif"/>
          <w:b/>
          <w:i/>
          <w:color w:val="000000"/>
          <w:sz w:val="20"/>
        </w:rPr>
        <w:t>Average Assets Under Management (AAUM)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AAUM is calculated as AUM at the beginning of the period and the end of each month in the period, divided by the total number of months in the period plus one.</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considers this non-GAAP financial measure to be useful internally and to investors and analysts when assessing the rate of return on retained assets.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Sales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Annuity, IUL, funding agreement and non-life contingent PRT sales are not derived from any specific GAAP income statement accounts or line items and should not be viewed as a substitute for any financial measure determined in accordance with GAAP. Sales from these products are recorded as deposit liabilities (i.e., contractholder funds) within the Company's consolidated financial statements in accordance with GAAP. Life contingent PRT sales are recorded as premiums in revenues within the consolidated financial statements. Management believes that presentation of sales, as measured for management purposes, enhances the understanding of our business and helps depict longer term trends that may not be apparent in the results of operations due to the timing of sales and revenue recognition.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6189</Words>
  <Characters>34082</Characters>
  <CharactersWithSpaces>39870</CharactersWithSpaces>
  <Paragraphs>1406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