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46"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QUARTERLY REPORT PURSUANT TO SECTION 13 OR 15(d) OF THE SECURITIES</w:t>
      </w:r>
    </w:p>
    <w:p>
      <w:pPr>
        <w:spacing w:after="0" w:line="22" w:lineRule="exact"/>
        <w:rPr>
          <w:sz w:val="24"/>
          <w:szCs w:val="24"/>
          <w:color w:val="auto"/>
        </w:rPr>
      </w:pPr>
    </w:p>
    <w:p>
      <w:pPr>
        <w:ind w:left="2500" w:hanging="1364"/>
        <w:spacing w:after="0"/>
        <w:tabs>
          <w:tab w:leader="none" w:pos="2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EXCHANGE ACT OF 1934</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25"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TRANSITION REPORT PURSUANT TO SECTION 13 OR 15(d) OF THE SECURITIES</w:t>
      </w:r>
    </w:p>
    <w:p>
      <w:pPr>
        <w:spacing w:after="0" w:line="22" w:lineRule="exact"/>
        <w:rPr>
          <w:sz w:val="24"/>
          <w:szCs w:val="24"/>
          <w:color w:val="auto"/>
        </w:rPr>
      </w:pPr>
    </w:p>
    <w:p>
      <w:pPr>
        <w:ind w:left="2500" w:hanging="1364"/>
        <w:spacing w:after="0"/>
        <w:tabs>
          <w:tab w:leader="none" w:pos="2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EXCHANGE ACT OF 1934</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1-32630</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1200" w:type="dxa"/>
        <w:tblCellMar>
          <w:top w:w="0" w:type="dxa"/>
          <w:left w:w="0" w:type="dxa"/>
          <w:bottom w:w="0" w:type="dxa"/>
          <w:right w:w="0" w:type="dxa"/>
        </w:tblCellMar>
      </w:tblPr>
      <w:tr>
        <w:trPr>
          <w:trHeight w:val="230"/>
        </w:trPr>
        <w:tc>
          <w:tcPr>
            <w:tcW w:w="39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5120" w:type="dxa"/>
            <w:vAlign w:val="bottom"/>
            <w:gridSpan w:val="2"/>
          </w:tcPr>
          <w:p>
            <w:pPr>
              <w:jc w:val="right"/>
              <w:ind w:right="1610"/>
              <w:spacing w:after="0"/>
              <w:rPr>
                <w:sz w:val="20"/>
                <w:szCs w:val="20"/>
                <w:color w:val="auto"/>
              </w:rPr>
            </w:pPr>
            <w:r>
              <w:rPr>
                <w:rFonts w:ascii="Arial" w:cs="Arial" w:eastAsia="Arial" w:hAnsi="Arial"/>
                <w:sz w:val="18"/>
                <w:szCs w:val="18"/>
                <w:color w:val="auto"/>
              </w:rPr>
              <w:t>16-1725106</w:t>
            </w:r>
          </w:p>
        </w:tc>
      </w:tr>
      <w:tr>
        <w:trPr>
          <w:trHeight w:val="27"/>
        </w:trPr>
        <w:tc>
          <w:tcPr>
            <w:tcW w:w="392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22"/>
        </w:trPr>
        <w:tc>
          <w:tcPr>
            <w:tcW w:w="392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84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9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84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540"/>
        </w:trPr>
        <w:tc>
          <w:tcPr>
            <w:tcW w:w="3920" w:type="dxa"/>
            <w:vAlign w:val="bottom"/>
          </w:tcPr>
          <w:p>
            <w:pPr>
              <w:ind w:left="100"/>
              <w:spacing w:after="0"/>
              <w:rPr>
                <w:sz w:val="20"/>
                <w:szCs w:val="20"/>
                <w:color w:val="auto"/>
              </w:rPr>
            </w:pPr>
            <w:r>
              <w:rPr>
                <w:rFonts w:ascii="Arial" w:cs="Arial" w:eastAsia="Arial" w:hAnsi="Arial"/>
                <w:sz w:val="18"/>
                <w:szCs w:val="18"/>
                <w:color w:val="auto"/>
              </w:rPr>
              <w:t>601 Riverside Avenue , Jacksonville , Florida</w:t>
            </w:r>
          </w:p>
        </w:tc>
        <w:tc>
          <w:tcPr>
            <w:tcW w:w="5120" w:type="dxa"/>
            <w:vAlign w:val="bottom"/>
            <w:gridSpan w:val="2"/>
          </w:tcPr>
          <w:p>
            <w:pPr>
              <w:jc w:val="right"/>
              <w:ind w:right="1830"/>
              <w:spacing w:after="0"/>
              <w:rPr>
                <w:sz w:val="20"/>
                <w:szCs w:val="20"/>
                <w:color w:val="auto"/>
              </w:rPr>
            </w:pPr>
            <w:r>
              <w:rPr>
                <w:rFonts w:ascii="Arial" w:cs="Arial" w:eastAsia="Arial" w:hAnsi="Arial"/>
                <w:sz w:val="18"/>
                <w:szCs w:val="18"/>
                <w:color w:val="auto"/>
              </w:rPr>
              <w:t>32204</w:t>
            </w:r>
          </w:p>
        </w:tc>
      </w:tr>
      <w:tr>
        <w:trPr>
          <w:trHeight w:val="27"/>
        </w:trPr>
        <w:tc>
          <w:tcPr>
            <w:tcW w:w="392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4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257"/>
        </w:trPr>
        <w:tc>
          <w:tcPr>
            <w:tcW w:w="3920" w:type="dxa"/>
            <w:vAlign w:val="bottom"/>
          </w:tcPr>
          <w:p>
            <w:pPr>
              <w:spacing w:after="0"/>
              <w:rPr>
                <w:sz w:val="22"/>
                <w:szCs w:val="22"/>
                <w:color w:val="auto"/>
              </w:rPr>
            </w:pPr>
          </w:p>
        </w:tc>
        <w:tc>
          <w:tcPr>
            <w:tcW w:w="5120" w:type="dxa"/>
            <w:vAlign w:val="bottom"/>
            <w:gridSpan w:val="2"/>
          </w:tcPr>
          <w:p>
            <w:pPr>
              <w:jc w:val="right"/>
              <w:ind w:right="3870"/>
              <w:spacing w:after="0"/>
              <w:rPr>
                <w:sz w:val="20"/>
                <w:szCs w:val="20"/>
                <w:color w:val="auto"/>
              </w:rPr>
            </w:pPr>
            <w:r>
              <w:rPr>
                <w:rFonts w:ascii="Arial" w:cs="Arial" w:eastAsia="Arial" w:hAnsi="Arial"/>
                <w:sz w:val="18"/>
                <w:szCs w:val="18"/>
                <w:color w:val="auto"/>
                <w:w w:val="92"/>
              </w:rPr>
              <w:t>(904) 854-8100</w:t>
            </w:r>
          </w:p>
        </w:tc>
      </w:tr>
    </w:tbl>
    <w:p>
      <w:pPr>
        <w:spacing w:after="0" w:line="4" w:lineRule="exact"/>
        <w:rPr>
          <w:sz w:val="24"/>
          <w:szCs w:val="24"/>
          <w:color w:val="auto"/>
        </w:rPr>
      </w:pPr>
    </w:p>
    <w:p>
      <w:pPr>
        <w:ind w:left="3900"/>
        <w:spacing w:after="0"/>
        <w:rPr>
          <w:sz w:val="20"/>
          <w:szCs w:val="20"/>
          <w:color w:val="auto"/>
        </w:rPr>
      </w:pPr>
      <w:r>
        <w:rPr>
          <w:rFonts w:ascii="Arial" w:cs="Arial" w:eastAsia="Arial" w:hAnsi="Arial"/>
          <w:sz w:val="11"/>
          <w:szCs w:val="11"/>
          <w:color w:val="auto"/>
        </w:rPr>
        <w:t>___________________________________________________________________</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3" w:lineRule="exact"/>
        <w:rPr>
          <w:sz w:val="24"/>
          <w:szCs w:val="24"/>
          <w:color w:val="auto"/>
        </w:rPr>
      </w:pPr>
    </w:p>
    <w:tbl>
      <w:tblPr>
        <w:tblLayout w:type="fixed"/>
        <w:tblInd w:w="56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700" w:type="dxa"/>
            <w:vAlign w:val="bottom"/>
          </w:tcPr>
          <w:p>
            <w:pPr>
              <w:spacing w:after="0"/>
              <w:rPr>
                <w:sz w:val="16"/>
                <w:szCs w:val="16"/>
                <w:color w:val="auto"/>
              </w:rPr>
            </w:pPr>
          </w:p>
        </w:tc>
        <w:tc>
          <w:tcPr>
            <w:tcW w:w="1900" w:type="dxa"/>
            <w:vAlign w:val="bottom"/>
            <w:gridSpan w:val="2"/>
          </w:tcPr>
          <w:p>
            <w:pPr>
              <w:jc w:val="center"/>
              <w:ind w:right="780"/>
              <w:spacing w:after="0"/>
              <w:rPr>
                <w:sz w:val="20"/>
                <w:szCs w:val="20"/>
                <w:color w:val="auto"/>
              </w:rPr>
            </w:pPr>
            <w:r>
              <w:rPr>
                <w:rFonts w:ascii="Arial" w:cs="Arial" w:eastAsia="Arial" w:hAnsi="Arial"/>
                <w:sz w:val="16"/>
                <w:szCs w:val="16"/>
                <w:b w:val="1"/>
                <w:bCs w:val="1"/>
                <w:color w:val="auto"/>
                <w:w w:val="92"/>
              </w:rPr>
              <w:t>Trading Symbol</w:t>
            </w:r>
          </w:p>
        </w:tc>
        <w:tc>
          <w:tcPr>
            <w:tcW w:w="396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1"/>
        </w:trPr>
        <w:tc>
          <w:tcPr>
            <w:tcW w:w="3800" w:type="dxa"/>
            <w:vAlign w:val="bottom"/>
            <w:gridSpan w:val="3"/>
          </w:tcPr>
          <w:p>
            <w:pPr>
              <w:jc w:val="center"/>
              <w:ind w:right="920"/>
              <w:spacing w:after="0"/>
              <w:rPr>
                <w:sz w:val="20"/>
                <w:szCs w:val="20"/>
                <w:color w:val="auto"/>
              </w:rPr>
            </w:pPr>
            <w:r>
              <w:rPr>
                <w:rFonts w:ascii="Arial" w:cs="Arial" w:eastAsia="Arial" w:hAnsi="Arial"/>
                <w:sz w:val="18"/>
                <w:szCs w:val="18"/>
                <w:color w:val="auto"/>
                <w:w w:val="90"/>
              </w:rPr>
              <w:t>FNF Common Stock, $0.0001 par value</w:t>
            </w:r>
          </w:p>
        </w:tc>
        <w:tc>
          <w:tcPr>
            <w:tcW w:w="1900" w:type="dxa"/>
            <w:vAlign w:val="bottom"/>
            <w:gridSpan w:val="2"/>
          </w:tcPr>
          <w:p>
            <w:pPr>
              <w:jc w:val="center"/>
              <w:ind w:right="780"/>
              <w:spacing w:after="0"/>
              <w:rPr>
                <w:sz w:val="20"/>
                <w:szCs w:val="20"/>
                <w:color w:val="auto"/>
              </w:rPr>
            </w:pPr>
            <w:r>
              <w:rPr>
                <w:rFonts w:ascii="Arial" w:cs="Arial" w:eastAsia="Arial" w:hAnsi="Arial"/>
                <w:sz w:val="18"/>
                <w:szCs w:val="18"/>
                <w:color w:val="auto"/>
                <w:w w:val="91"/>
              </w:rPr>
              <w:t>FNF</w:t>
            </w:r>
          </w:p>
        </w:tc>
        <w:tc>
          <w:tcPr>
            <w:tcW w:w="7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3800" w:type="dxa"/>
            <w:vAlign w:val="bottom"/>
            <w:gridSpan w:val="3"/>
          </w:tcPr>
          <w:p>
            <w:pPr>
              <w:jc w:val="center"/>
              <w:ind w:right="900"/>
              <w:spacing w:after="0"/>
              <w:rPr>
                <w:sz w:val="20"/>
                <w:szCs w:val="20"/>
                <w:color w:val="auto"/>
              </w:rPr>
            </w:pPr>
            <w:r>
              <w:rPr>
                <w:rFonts w:ascii="Arial" w:cs="Arial" w:eastAsia="Arial" w:hAnsi="Arial"/>
                <w:sz w:val="18"/>
                <w:szCs w:val="18"/>
                <w:color w:val="auto"/>
                <w:w w:val="89"/>
              </w:rPr>
              <w:t>5.50% Notes due September 2022</w:t>
            </w:r>
          </w:p>
        </w:tc>
        <w:tc>
          <w:tcPr>
            <w:tcW w:w="1900" w:type="dxa"/>
            <w:vAlign w:val="bottom"/>
            <w:gridSpan w:val="2"/>
          </w:tcPr>
          <w:p>
            <w:pPr>
              <w:jc w:val="center"/>
              <w:ind w:right="780"/>
              <w:spacing w:after="0"/>
              <w:rPr>
                <w:sz w:val="20"/>
                <w:szCs w:val="20"/>
                <w:color w:val="auto"/>
              </w:rPr>
            </w:pPr>
            <w:r>
              <w:rPr>
                <w:rFonts w:ascii="Arial" w:cs="Arial" w:eastAsia="Arial" w:hAnsi="Arial"/>
                <w:sz w:val="18"/>
                <w:szCs w:val="18"/>
                <w:color w:val="auto"/>
                <w:w w:val="94"/>
              </w:rPr>
              <w:t>FNF22</w:t>
            </w:r>
          </w:p>
        </w:tc>
        <w:tc>
          <w:tcPr>
            <w:tcW w:w="78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40" w:lineRule="exact"/>
        <w:rPr>
          <w:sz w:val="24"/>
          <w:szCs w:val="24"/>
          <w:color w:val="auto"/>
        </w:rPr>
      </w:pPr>
    </w:p>
    <w:p>
      <w:pPr>
        <w:ind w:right="480"/>
        <w:spacing w:after="0" w:line="25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ind w:firstLine="324"/>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files).Yes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08"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7" w:lineRule="exact"/>
        <w:rPr>
          <w:sz w:val="24"/>
          <w:szCs w:val="24"/>
          <w:color w:val="auto"/>
        </w:rPr>
      </w:pPr>
    </w:p>
    <w:tbl>
      <w:tblPr>
        <w:tblLayout w:type="fixed"/>
        <w:tblInd w:w="42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56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spacing w:after="0"/>
              <w:rPr>
                <w:sz w:val="18"/>
                <w:szCs w:val="18"/>
                <w:color w:val="auto"/>
              </w:rPr>
            </w:pPr>
          </w:p>
        </w:tc>
        <w:tc>
          <w:tcPr>
            <w:tcW w:w="2540" w:type="dxa"/>
            <w:vAlign w:val="bottom"/>
            <w:vMerge w:val="restart"/>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Smaller reporting</w:t>
            </w:r>
          </w:p>
        </w:tc>
        <w:tc>
          <w:tcPr>
            <w:tcW w:w="2720" w:type="dxa"/>
            <w:vAlign w:val="bottom"/>
            <w:vMerge w:val="restart"/>
          </w:tcPr>
          <w:p>
            <w:pPr>
              <w:ind w:left="16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Emerging growth company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60" w:type="dxa"/>
            <w:vAlign w:val="bottom"/>
            <w:vMerge w:val="continue"/>
          </w:tcPr>
          <w:p>
            <w:pPr>
              <w:spacing w:after="0"/>
              <w:rPr>
                <w:sz w:val="21"/>
                <w:szCs w:val="21"/>
                <w:color w:val="auto"/>
              </w:rPr>
            </w:pPr>
          </w:p>
        </w:tc>
        <w:tc>
          <w:tcPr>
            <w:tcW w:w="1500" w:type="dxa"/>
            <w:vAlign w:val="bottom"/>
          </w:tcPr>
          <w:p>
            <w:pPr>
              <w:ind w:left="160"/>
              <w:spacing w:after="0"/>
              <w:rPr>
                <w:sz w:val="20"/>
                <w:szCs w:val="20"/>
                <w:color w:val="auto"/>
              </w:rPr>
            </w:pPr>
            <w:r>
              <w:rPr>
                <w:rFonts w:ascii="Arial" w:cs="Arial" w:eastAsia="Arial" w:hAnsi="Arial"/>
                <w:sz w:val="18"/>
                <w:szCs w:val="18"/>
                <w:color w:val="auto"/>
              </w:rPr>
              <w:t>Accelerated filer</w:t>
            </w:r>
          </w:p>
        </w:tc>
        <w:tc>
          <w:tcPr>
            <w:tcW w:w="2540" w:type="dxa"/>
            <w:vAlign w:val="bottom"/>
            <w:vMerge w:val="continue"/>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28" w:lineRule="exact"/>
        <w:rPr>
          <w:sz w:val="24"/>
          <w:szCs w:val="24"/>
          <w:color w:val="auto"/>
        </w:rPr>
      </w:pPr>
    </w:p>
    <w:p>
      <w:pPr>
        <w:ind w:right="20"/>
        <w:spacing w:after="0" w:line="25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51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September 30, 2019 were:</w:t>
      </w:r>
    </w:p>
    <w:p>
      <w:pPr>
        <w:spacing w:after="0" w:line="117" w:lineRule="exact"/>
        <w:rPr>
          <w:sz w:val="24"/>
          <w:szCs w:val="24"/>
          <w:color w:val="auto"/>
        </w:rPr>
      </w:pPr>
    </w:p>
    <w:p>
      <w:pPr>
        <w:ind w:left="340"/>
        <w:spacing w:after="0"/>
        <w:tabs>
          <w:tab w:leader="none" w:pos="2000" w:val="left"/>
        </w:tabs>
        <w:rPr>
          <w:sz w:val="20"/>
          <w:szCs w:val="20"/>
          <w:color w:val="auto"/>
        </w:rPr>
      </w:pPr>
      <w:r>
        <w:rPr>
          <w:rFonts w:ascii="Arial" w:cs="Arial" w:eastAsia="Arial" w:hAnsi="Arial"/>
          <w:sz w:val="18"/>
          <w:szCs w:val="18"/>
          <w:color w:val="auto"/>
        </w:rPr>
        <w:t>FNF Common Stock</w:t>
      </w:r>
      <w:r>
        <w:rPr>
          <w:sz w:val="20"/>
          <w:szCs w:val="20"/>
          <w:color w:val="auto"/>
        </w:rPr>
        <w:tab/>
      </w:r>
      <w:r>
        <w:rPr>
          <w:rFonts w:ascii="Arial" w:cs="Arial" w:eastAsia="Arial" w:hAnsi="Arial"/>
          <w:sz w:val="16"/>
          <w:szCs w:val="16"/>
          <w:color w:val="auto"/>
        </w:rPr>
        <w:t>275,079,241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September 30, 2019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7"/>
          </w:tcPr>
          <w:p>
            <w:pPr>
              <w:spacing w:after="0" w:line="202"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Part I: FINANCIAL INFORMATION</w:t>
              </w:r>
            </w:hyperlink>
          </w:p>
        </w:tc>
        <w:tc>
          <w:tcPr>
            <w:tcW w:w="762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98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8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September 30, 2019 and December 31, 2018</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840" w:type="dxa"/>
            <w:vAlign w:val="bottom"/>
            <w:gridSpan w:val="17"/>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B. Condensed Consolidated Statements of Earnings for the three and nine-month periods ended September 30, 2019 and 2018</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840" w:type="dxa"/>
            <w:vAlign w:val="bottom"/>
            <w:gridSpan w:val="17"/>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 Condensed Consolidated Statements of Comprehensive Earnings for the three and nine-month periods ended September 30, 2019</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and 2018</w:t>
              </w:r>
            </w:hyperlink>
          </w:p>
        </w:tc>
        <w:tc>
          <w:tcPr>
            <w:tcW w:w="8860" w:type="dxa"/>
            <w:vAlign w:val="bottom"/>
            <w:tcBorders>
              <w:top w:val="single" w:sz="8" w:color="0000EE"/>
            </w:tcBorders>
            <w:gridSpan w:val="14"/>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89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D. Condensed Consolidated Statements of Equity for the three and nine-month periods ended September 30, 2019 and 2018</w:t>
              </w:r>
            </w:hyperlink>
          </w:p>
        </w:tc>
        <w:tc>
          <w:tcPr>
            <w:tcW w:w="92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84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E. Condensed Consolidated Statements of Cash Flows for the nine-month periods ended September 30, 2019 and 2018</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250"/>
        </w:trPr>
        <w:tc>
          <w:tcPr>
            <w:tcW w:w="520" w:type="dxa"/>
            <w:vAlign w:val="bottom"/>
          </w:tcPr>
          <w:p>
            <w:pPr>
              <w:spacing w:after="0"/>
              <w:rPr>
                <w:sz w:val="21"/>
                <w:szCs w:val="21"/>
                <w:color w:val="auto"/>
              </w:rPr>
            </w:pPr>
          </w:p>
        </w:tc>
        <w:tc>
          <w:tcPr>
            <w:tcW w:w="41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F. Notes to Condensed Consolidated Financial Statements</w:t>
              </w:r>
            </w:hyperlink>
          </w:p>
        </w:tc>
        <w:tc>
          <w:tcPr>
            <w:tcW w:w="4380" w:type="dxa"/>
            <w:vAlign w:val="bottom"/>
            <w:tcBorders>
              <w:top w:val="single" w:sz="8" w:color="0000EE"/>
            </w:tcBorders>
            <w:gridSpan w:val="4"/>
          </w:tcPr>
          <w:p>
            <w:pPr>
              <w:spacing w:after="0"/>
              <w:rPr>
                <w:sz w:val="21"/>
                <w:szCs w:val="21"/>
                <w:color w:val="auto"/>
              </w:rPr>
            </w:pPr>
          </w:p>
        </w:tc>
        <w:tc>
          <w:tcPr>
            <w:tcW w:w="130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840" w:type="dxa"/>
            <w:vAlign w:val="bottom"/>
            <w:gridSpan w:val="1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2. 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24</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840" w:type="dxa"/>
            <w:vAlign w:val="bottom"/>
            <w:gridSpan w:val="10"/>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Item 3. Quantitative and Qualitative Disclosure About Market Risk</w:t>
              </w:r>
            </w:hyperlink>
          </w:p>
        </w:tc>
        <w:tc>
          <w:tcPr>
            <w:tcW w:w="2160" w:type="dxa"/>
            <w:vAlign w:val="bottom"/>
            <w:gridSpan w:val="2"/>
          </w:tcPr>
          <w:p>
            <w:pPr>
              <w:spacing w:after="0"/>
              <w:rPr>
                <w:sz w:val="21"/>
                <w:szCs w:val="21"/>
                <w:color w:val="auto"/>
              </w:rPr>
            </w:pPr>
          </w:p>
        </w:tc>
        <w:tc>
          <w:tcPr>
            <w:tcW w:w="2840" w:type="dxa"/>
            <w:vAlign w:val="bottom"/>
            <w:gridSpan w:val="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Item 4.</w:t>
              </w:r>
            </w:hyperlink>
          </w:p>
        </w:tc>
        <w:tc>
          <w:tcPr>
            <w:tcW w:w="4320" w:type="dxa"/>
            <w:vAlign w:val="bottom"/>
            <w:gridSpan w:val="9"/>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5000" w:type="dxa"/>
            <w:vAlign w:val="bottom"/>
            <w:gridSpan w:val="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r>
      <w:tr>
        <w:trPr>
          <w:trHeight w:val="20"/>
        </w:trPr>
        <w:tc>
          <w:tcPr>
            <w:tcW w:w="5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1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Part II: OTHER INFORMATION</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1.</w:t>
              </w:r>
            </w:hyperlink>
          </w:p>
        </w:tc>
        <w:tc>
          <w:tcPr>
            <w:tcW w:w="1360" w:type="dxa"/>
            <w:vAlign w:val="bottom"/>
            <w:tcBorders>
              <w:top w:val="single" w:sz="8" w:color="0000FF"/>
            </w:tcBorders>
            <w:gridSpan w:val="3"/>
          </w:tcPr>
          <w:p>
            <w:pPr>
              <w:ind w:left="20"/>
              <w:spacing w:after="0"/>
              <w:rPr>
                <w:rFonts w:ascii="Arial" w:cs="Arial" w:eastAsia="Arial" w:hAnsi="Arial"/>
                <w:sz w:val="18"/>
                <w:szCs w:val="18"/>
                <w:color w:val="0000FF"/>
                <w:w w:val="88"/>
              </w:rPr>
            </w:pPr>
            <w:hyperlink w:anchor="page36">
              <w:r>
                <w:rPr>
                  <w:rFonts w:ascii="Arial" w:cs="Arial" w:eastAsia="Arial" w:hAnsi="Arial"/>
                  <w:sz w:val="18"/>
                  <w:szCs w:val="18"/>
                  <w:color w:val="0000FF"/>
                  <w:w w:val="88"/>
                </w:rPr>
                <w:t>Legal Proceedings</w:t>
              </w:r>
            </w:hyperlink>
          </w:p>
        </w:tc>
        <w:tc>
          <w:tcPr>
            <w:tcW w:w="20" w:type="dxa"/>
            <w:vAlign w:val="bottom"/>
            <w:tcBorders>
              <w:top w:val="single" w:sz="8" w:color="0000FF"/>
            </w:tcBorders>
          </w:tcPr>
          <w:p>
            <w:pPr>
              <w:spacing w:after="0"/>
              <w:rPr>
                <w:sz w:val="21"/>
                <w:szCs w:val="21"/>
                <w:color w:val="auto"/>
              </w:rPr>
            </w:pPr>
          </w:p>
        </w:tc>
        <w:tc>
          <w:tcPr>
            <w:tcW w:w="7940" w:type="dxa"/>
            <w:vAlign w:val="bottom"/>
            <w:gridSpan w:val="1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2.</w:t>
              </w:r>
            </w:hyperlink>
          </w:p>
        </w:tc>
        <w:tc>
          <w:tcPr>
            <w:tcW w:w="4320" w:type="dxa"/>
            <w:vAlign w:val="bottom"/>
            <w:gridSpan w:val="9"/>
          </w:tcPr>
          <w:p>
            <w:pPr>
              <w:ind w:left="20"/>
              <w:spacing w:after="0"/>
              <w:rPr>
                <w:rFonts w:ascii="Arial" w:cs="Arial" w:eastAsia="Arial" w:hAnsi="Arial"/>
                <w:sz w:val="18"/>
                <w:szCs w:val="18"/>
                <w:color w:val="0000FF"/>
                <w:w w:val="87"/>
              </w:rPr>
            </w:pPr>
            <w:hyperlink w:anchor="page36">
              <w:r>
                <w:rPr>
                  <w:rFonts w:ascii="Arial" w:cs="Arial" w:eastAsia="Arial" w:hAnsi="Arial"/>
                  <w:sz w:val="18"/>
                  <w:szCs w:val="18"/>
                  <w:color w:val="0000FF"/>
                  <w:w w:val="87"/>
                </w:rPr>
                <w:t>Unregistered Sales of Equity Securities and Use of Proceeds</w:t>
              </w:r>
            </w:hyperlink>
          </w:p>
        </w:tc>
        <w:tc>
          <w:tcPr>
            <w:tcW w:w="5000" w:type="dxa"/>
            <w:vAlign w:val="bottom"/>
            <w:gridSpan w:val="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Item 6.</w:t>
              </w:r>
            </w:hyperlink>
          </w:p>
        </w:tc>
        <w:tc>
          <w:tcPr>
            <w:tcW w:w="4320" w:type="dxa"/>
            <w:vAlign w:val="bottom"/>
            <w:gridSpan w:val="9"/>
          </w:tcPr>
          <w:p>
            <w:pPr>
              <w:ind w:left="20"/>
              <w:spacing w:after="0"/>
              <w:rPr>
                <w:rFonts w:ascii="Arial" w:cs="Arial" w:eastAsia="Arial" w:hAnsi="Arial"/>
                <w:sz w:val="18"/>
                <w:szCs w:val="18"/>
                <w:color w:val="0000FF"/>
              </w:rPr>
            </w:pPr>
            <w:hyperlink w:anchor="page37">
              <w:r>
                <w:rPr>
                  <w:rFonts w:ascii="Arial" w:cs="Arial" w:eastAsia="Arial" w:hAnsi="Arial"/>
                  <w:sz w:val="18"/>
                  <w:szCs w:val="18"/>
                  <w:color w:val="0000FF"/>
                </w:rPr>
                <w:t>Exhibits</w:t>
              </w:r>
            </w:hyperlink>
          </w:p>
        </w:tc>
        <w:tc>
          <w:tcPr>
            <w:tcW w:w="5000" w:type="dxa"/>
            <w:vAlign w:val="bottom"/>
            <w:gridSpan w:val="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34</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480" w:type="dxa"/>
            <w:vAlign w:val="bottom"/>
            <w:gridSpan w:val="2"/>
          </w:tcPr>
          <w:p>
            <w:pPr>
              <w:ind w:left="4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jc w:val="center"/>
              <w:ind w:left="98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jc w:val="center"/>
              <w:ind w:left="96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jc w:val="center"/>
              <w:ind w:left="980"/>
              <w:spacing w:after="0"/>
              <w:rPr>
                <w:sz w:val="20"/>
                <w:szCs w:val="20"/>
                <w:color w:val="auto"/>
              </w:rPr>
            </w:pPr>
            <w:r>
              <w:rPr>
                <w:rFonts w:ascii="Arial" w:cs="Arial" w:eastAsia="Arial" w:hAnsi="Arial"/>
                <w:sz w:val="14"/>
                <w:szCs w:val="14"/>
                <w:color w:val="auto"/>
                <w:w w:val="94"/>
              </w:rPr>
              <w:t>(Dollars in millions, except share data)</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2"/>
        </w:trPr>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(Unaudited)</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960"/>
              <w:spacing w:after="0"/>
              <w:rPr>
                <w:sz w:val="20"/>
                <w:szCs w:val="20"/>
                <w:color w:val="auto"/>
              </w:rPr>
            </w:pPr>
            <w:r>
              <w:rPr>
                <w:rFonts w:ascii="Arial" w:cs="Arial" w:eastAsia="Arial" w:hAnsi="Arial"/>
                <w:sz w:val="14"/>
                <w:szCs w:val="14"/>
                <w:b w:val="1"/>
                <w:bCs w:val="1"/>
                <w:color w:val="auto"/>
                <w:w w:val="96"/>
              </w:rPr>
              <w:t>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6"/>
              </w:rPr>
              <w:t>Fixed maturity securities available for sale, at fair value, at September 30, 2019 and December 31, 2018 includes pledged fixed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maturity securities of $422 and $418, respectively, related to secured trust deposits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securities, at fair value</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Equity securities,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6"/>
              </w:rPr>
              <w:t>Short-term investments, at September 30, 2019 and December 31, 2018 includes pledged short-term investments of $2 and $8,</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respectively, related to secured trust deposits</w:t>
            </w:r>
          </w:p>
        </w:tc>
        <w:tc>
          <w:tcPr>
            <w:tcW w:w="12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3,549</w:t>
            </w:r>
          </w:p>
        </w:tc>
        <w:tc>
          <w:tcPr>
            <w:tcW w:w="0" w:type="dxa"/>
            <w:vAlign w:val="bottom"/>
          </w:tcPr>
          <w:p>
            <w:pPr>
              <w:spacing w:after="0"/>
              <w:rPr>
                <w:sz w:val="1"/>
                <w:szCs w:val="1"/>
                <w:color w:val="auto"/>
              </w:rPr>
            </w:pPr>
          </w:p>
        </w:tc>
      </w:tr>
      <w:tr>
        <w:trPr>
          <w:trHeight w:val="220"/>
        </w:trPr>
        <w:tc>
          <w:tcPr>
            <w:tcW w:w="9020" w:type="dxa"/>
            <w:vAlign w:val="bottom"/>
            <w:gridSpan w:val="3"/>
          </w:tcPr>
          <w:p>
            <w:pPr>
              <w:ind w:left="40"/>
              <w:spacing w:after="0"/>
              <w:rPr>
                <w:sz w:val="20"/>
                <w:szCs w:val="20"/>
                <w:color w:val="auto"/>
              </w:rPr>
            </w:pPr>
            <w:r>
              <w:rPr>
                <w:rFonts w:ascii="Arial" w:cs="Arial" w:eastAsia="Arial" w:hAnsi="Arial"/>
                <w:sz w:val="16"/>
                <w:szCs w:val="16"/>
                <w:color w:val="auto"/>
                <w:w w:val="91"/>
              </w:rPr>
              <w:t>Cash and cash equivalents, at September 30, 2019 and December 31, 2018 includes $482 and $412, respectively, of pledged cash related</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to secured trust deposits</w:t>
            </w:r>
          </w:p>
        </w:tc>
        <w:tc>
          <w:tcPr>
            <w:tcW w:w="12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1,257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 of $19 at September 30, 2019 and December 31, 2018,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2,726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2,726</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Lease assets, see Note K</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Title plants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Income taxes receivable</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10,419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9,301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7660" w:type="dxa"/>
            <w:vAlign w:val="bottom"/>
            <w:vMerge w:val="restart"/>
          </w:tcPr>
          <w:p>
            <w:pPr>
              <w:jc w:val="center"/>
              <w:ind w:left="980"/>
              <w:spacing w:after="0"/>
              <w:rPr>
                <w:sz w:val="20"/>
                <w:szCs w:val="20"/>
                <w:color w:val="auto"/>
              </w:rPr>
            </w:pPr>
            <w:r>
              <w:rPr>
                <w:rFonts w:ascii="Arial" w:cs="Arial" w:eastAsia="Arial" w:hAnsi="Arial"/>
                <w:sz w:val="14"/>
                <w:szCs w:val="14"/>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7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Reserve for title claim losses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1,494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Secured trust deposits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Lease liabilities, see Note K</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Deferred tax liability</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4,329</w:t>
            </w:r>
          </w:p>
        </w:tc>
        <w:tc>
          <w:tcPr>
            <w:tcW w:w="0" w:type="dxa"/>
            <w:vAlign w:val="bottom"/>
          </w:tcPr>
          <w:p>
            <w:pPr>
              <w:spacing w:after="0"/>
              <w:rPr>
                <w:sz w:val="1"/>
                <w:szCs w:val="1"/>
                <w:color w:val="auto"/>
              </w:rPr>
            </w:pPr>
          </w:p>
        </w:tc>
      </w:tr>
      <w:tr>
        <w:trPr>
          <w:trHeight w:val="21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Commitments and Contingencies: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Redeemable non-controlling interest by 21% minority holder of ServiceLink Holdings, LLC</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37"/>
        </w:trPr>
        <w:tc>
          <w:tcPr>
            <w:tcW w:w="540" w:type="dxa"/>
            <w:vAlign w:val="bottom"/>
          </w:tcPr>
          <w:p>
            <w:pPr>
              <w:ind w:left="40"/>
              <w:spacing w:after="0"/>
              <w:rPr>
                <w:sz w:val="20"/>
                <w:szCs w:val="20"/>
                <w:color w:val="auto"/>
              </w:rPr>
            </w:pPr>
            <w:r>
              <w:rPr>
                <w:rFonts w:ascii="Arial" w:cs="Arial" w:eastAsia="Arial" w:hAnsi="Arial"/>
                <w:sz w:val="16"/>
                <w:szCs w:val="16"/>
                <w:color w:val="auto"/>
                <w:w w:val="98"/>
              </w:rPr>
              <w:t>Equity:</w:t>
            </w:r>
          </w:p>
        </w:tc>
        <w:tc>
          <w:tcPr>
            <w:tcW w:w="8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0"/>
              </w:rPr>
              <w:t>FNF common stock, $0.0001 par value; authorized 487,000,000 shares as of September 30, 2019 and December 31, 2018; outstanding</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4"/>
              </w:rPr>
              <w:t>of 275,079,241 and 275,373,834 as of September 30, 2019 and December 31, 2018, respectively, and issued of 291,354,650 and</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289,601,523 as of September 30, 2019 and December 31, 2018, respectively</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1,107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earnings (loss)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89"/>
              </w:rPr>
              <w:t>Less: Treasury stock, 16,275,409 shares and 14,227,689 shares as of September 30, 2019 and December 31, 2018, respectively, at cost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Fidelity National Financial, Inc. shareholders’ equity</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5,139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4,630</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Non-controlling interests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equity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4,628</w:t>
            </w: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liabilities, redeemable non-controlling interest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10,419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9,301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60" w:type="dxa"/>
            <w:vAlign w:val="bottom"/>
            <w:vMerge w:val="restart"/>
          </w:tcPr>
          <w:p>
            <w:pPr>
              <w:jc w:val="center"/>
              <w:ind w:left="960"/>
              <w:spacing w:after="0"/>
              <w:rPr>
                <w:sz w:val="20"/>
                <w:szCs w:val="20"/>
                <w:color w:val="auto"/>
              </w:rPr>
            </w:pPr>
            <w:r>
              <w:rPr>
                <w:rFonts w:ascii="Arial" w:cs="Arial" w:eastAsia="Arial" w:hAnsi="Arial"/>
                <w:sz w:val="16"/>
                <w:szCs w:val="16"/>
                <w:color w:val="auto"/>
                <w:w w:val="89"/>
              </w:rPr>
              <w:t>See Notes to Condensed Consolidated Financial Statements</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206"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206"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right"/>
        <w:ind w:right="3120"/>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millions, except per share data)</w:t>
      </w:r>
    </w:p>
    <w:p>
      <w:pPr>
        <w:sectPr>
          <w:pgSz w:w="11900" w:h="16838" w:orient="portrait"/>
          <w:cols w:equalWidth="0" w:num="1">
            <w:col w:w="11420"/>
          </w:cols>
          <w:pgMar w:left="240" w:top="121" w:right="239" w:bottom="1440" w:gutter="0" w:footer="0" w:header="0"/>
        </w:sectPr>
      </w:pPr>
    </w:p>
    <w:p>
      <w:pPr>
        <w:spacing w:after="0" w:line="186" w:lineRule="exact"/>
        <w:rPr>
          <w:sz w:val="20"/>
          <w:szCs w:val="20"/>
          <w:color w:val="auto"/>
        </w:rPr>
      </w:pPr>
    </w:p>
    <w:p>
      <w:pPr>
        <w:jc w:val="center"/>
        <w:ind w:left="814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87" w:lineRule="exact"/>
        <w:rPr>
          <w:sz w:val="20"/>
          <w:szCs w:val="20"/>
          <w:color w:val="auto"/>
        </w:rPr>
      </w:pPr>
    </w:p>
    <w:p>
      <w:pPr>
        <w:ind w:left="8160"/>
        <w:spacing w:after="0"/>
        <w:tabs>
          <w:tab w:leader="none" w:pos="90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89"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Nine months ended</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13335</wp:posOffset>
            </wp:positionV>
            <wp:extent cx="10636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87"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31115</wp:posOffset>
            </wp:positionV>
            <wp:extent cx="10636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(Unaudited)</w:t>
      </w:r>
    </w:p>
    <w:p>
      <w:pPr>
        <w:spacing w:after="0" w:line="68" w:lineRule="exact"/>
        <w:rPr>
          <w:sz w:val="20"/>
          <w:szCs w:val="20"/>
          <w:color w:val="auto"/>
        </w:rPr>
      </w:pPr>
    </w:p>
    <w:p>
      <w:pPr>
        <w:sectPr>
          <w:pgSz w:w="11900" w:h="16838" w:orient="portrait"/>
          <w:cols w:equalWidth="0" w:num="2">
            <w:col w:w="9420" w:space="580"/>
            <w:col w:w="142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Revenues: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00" w:type="dxa"/>
            <w:vAlign w:val="bottom"/>
          </w:tcPr>
          <w:p>
            <w:pPr>
              <w:ind w:left="280"/>
              <w:spacing w:after="0"/>
              <w:rPr>
                <w:sz w:val="20"/>
                <w:szCs w:val="20"/>
                <w:color w:val="auto"/>
              </w:rPr>
            </w:pPr>
            <w:r>
              <w:rPr>
                <w:rFonts w:ascii="Arial" w:cs="Arial" w:eastAsia="Arial" w:hAnsi="Arial"/>
                <w:sz w:val="16"/>
                <w:szCs w:val="16"/>
                <w:color w:val="auto"/>
              </w:rPr>
              <w:t>Direct title insurance premiums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660</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1,725</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1,645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title insurance premiums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Escrow, title-related and other fees</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1,892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2,078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and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Realized gains and losses, net</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Personnel costs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1,926</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Agent commissions</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1,630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title claim losses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5,212</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income taxes and equity in earnings of unconsolidated affiliates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Earnings before equity in earnings of unconsolidated affiliates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earnings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722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per share attributable to FNF common shareholders, basic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0.86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common shareholders, 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0.90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common stock, basic basis</w:t>
            </w:r>
          </w:p>
        </w:tc>
        <w:tc>
          <w:tcPr>
            <w:tcW w:w="2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Weighted average shares outstanding FNF common stock, diluted basis</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3780"/>
              <w:spacing w:after="0"/>
              <w:rPr>
                <w:sz w:val="20"/>
                <w:szCs w:val="20"/>
                <w:color w:val="auto"/>
              </w:rPr>
            </w:pPr>
            <w:r>
              <w:rPr>
                <w:rFonts w:ascii="Arial" w:cs="Arial" w:eastAsia="Arial" w:hAnsi="Arial"/>
                <w:sz w:val="16"/>
                <w:szCs w:val="16"/>
                <w:color w:val="auto"/>
                <w:w w:val="95"/>
              </w:rPr>
              <w:t>See Notes to Condensed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1920" w:type="dxa"/>
            <w:vAlign w:val="bottom"/>
            <w:gridSpan w:val="6"/>
          </w:tcPr>
          <w:p>
            <w:pPr>
              <w:ind w:left="40"/>
              <w:spacing w:after="0"/>
              <w:rPr>
                <w:sz w:val="20"/>
                <w:szCs w:val="20"/>
                <w:color w:val="auto"/>
              </w:rPr>
            </w:pPr>
            <w:r>
              <w:rPr>
                <w:rFonts w:ascii="Arial" w:cs="Arial" w:eastAsia="Arial" w:hAnsi="Arial"/>
                <w:sz w:val="14"/>
                <w:szCs w:val="14"/>
                <w:b w:val="1"/>
                <w:bCs w:val="1"/>
                <w:color w:val="auto"/>
                <w:w w:val="90"/>
              </w:rPr>
              <w:t>Nine months ended September</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81"/>
              </w:rPr>
              <w:t>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21"/>
                <w:szCs w:val="21"/>
                <w:color w:val="auto"/>
              </w:rPr>
            </w:pPr>
          </w:p>
        </w:tc>
        <w:tc>
          <w:tcPr>
            <w:tcW w:w="1700" w:type="dxa"/>
            <w:vAlign w:val="bottom"/>
            <w:gridSpan w:val="5"/>
          </w:tcPr>
          <w:p>
            <w:pPr>
              <w:jc w:val="right"/>
              <w:ind w:right="492"/>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earnings (loss):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Unrealized gain (loss) on investments and other financial instruments, net (excluding investments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 unconsolidated affiliates) (1)</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Unrealized gain on investments in unconsolidated affiliates (2)</w:t>
            </w:r>
          </w:p>
        </w:tc>
        <w:tc>
          <w:tcPr>
            <w:tcW w:w="22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gain on foreign currency translation (3)</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w w:val="90"/>
              </w:rPr>
              <w:t>Reclassification adjustments for change in unrealized gains and losses included in net earnings (4)</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earnings (loss)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Comprehensive earnings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w w:val="98"/>
              </w:rPr>
              <w:t>Comprehensive earnings attributable to Fidelity National Financial, Inc. common shareholders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hanging="97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(benefit) of $3 million and $1 million for the three-month periods ended September 30, 2019 and 2018, respectively, and $17 million and $(4) million for the nine-month periods ended September 30, 2019 and 2018,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$1 million for the three-month period ended September 30, 2019, and $3 million and $1 million for the nine-month periods ended September 30, 2019 and 2018, respectively</w:t>
      </w:r>
    </w:p>
    <w:p>
      <w:pPr>
        <w:spacing w:after="0" w:line="116" w:lineRule="exact"/>
        <w:rPr>
          <w:rFonts w:ascii="Arial" w:cs="Arial" w:eastAsia="Arial" w:hAnsi="Arial"/>
          <w:sz w:val="18"/>
          <w:szCs w:val="18"/>
          <w:color w:val="auto"/>
        </w:rPr>
      </w:pPr>
    </w:p>
    <w:p>
      <w:pPr>
        <w:ind w:left="980" w:hanging="972"/>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Net of income tax (benefit) expense of $(1) million and less than $(1) million for the three-month periods ended September 30, 2019 and 2018, respectively, and less than $1 million and $(1) million for the nine-month periods ended September 30, 2019 and 2018, respectively.</w:t>
      </w:r>
    </w:p>
    <w:p>
      <w:pPr>
        <w:spacing w:after="0" w:line="92" w:lineRule="exact"/>
        <w:rPr>
          <w:rFonts w:ascii="Arial" w:cs="Arial" w:eastAsia="Arial" w:hAnsi="Arial"/>
          <w:sz w:val="17"/>
          <w:szCs w:val="17"/>
          <w:color w:val="auto"/>
        </w:rPr>
      </w:pPr>
    </w:p>
    <w:p>
      <w:pPr>
        <w:ind w:left="980" w:hanging="97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benefit of less than $1 million for the three-month period ended September 30, 2018, and $1 million and less than $1 million for the nine-month periods ended September 30, 2019 and 2018,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9"/>
          </w:tcPr>
          <w:p>
            <w:pPr>
              <w:ind w:left="40"/>
              <w:spacing w:after="0"/>
              <w:rPr>
                <w:sz w:val="20"/>
                <w:szCs w:val="20"/>
                <w:color w:val="auto"/>
              </w:rPr>
            </w:pPr>
            <w:r>
              <w:rPr>
                <w:rFonts w:ascii="Arial" w:cs="Arial" w:eastAsia="Arial" w:hAnsi="Arial"/>
                <w:sz w:val="13"/>
                <w:szCs w:val="13"/>
                <w:b w:val="1"/>
                <w:bCs w:val="1"/>
                <w:color w:val="auto"/>
                <w:w w:val="94"/>
              </w:rPr>
              <w:t>Fidelity National Financial, Inc. Common Shareholders</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4"/>
              </w:rPr>
              <w:t>FNF</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Redeemable</w:t>
            </w:r>
          </w:p>
        </w:tc>
      </w:tr>
      <w:tr>
        <w:trPr>
          <w:trHeight w:val="270"/>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4"/>
          </w:tcPr>
          <w:p>
            <w:pPr>
              <w:jc w:val="center"/>
              <w:ind w:left="357"/>
              <w:spacing w:after="0"/>
              <w:rPr>
                <w:sz w:val="20"/>
                <w:szCs w:val="20"/>
                <w:color w:val="auto"/>
              </w:rPr>
            </w:pPr>
            <w:r>
              <w:rPr>
                <w:rFonts w:ascii="Arial" w:cs="Arial" w:eastAsia="Arial" w:hAnsi="Arial"/>
                <w:sz w:val="13"/>
                <w:szCs w:val="13"/>
                <w:b w:val="1"/>
                <w:bCs w:val="1"/>
                <w:color w:val="auto"/>
                <w:w w:val="88"/>
              </w:rPr>
              <w:t>Common</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960" w:type="dxa"/>
            <w:vAlign w:val="bottom"/>
            <w:gridSpan w:val="3"/>
          </w:tcPr>
          <w:p>
            <w:pPr>
              <w:jc w:val="right"/>
              <w:spacing w:after="0"/>
              <w:rPr>
                <w:sz w:val="20"/>
                <w:szCs w:val="20"/>
                <w:color w:val="auto"/>
              </w:rPr>
            </w:pPr>
            <w:r>
              <w:rPr>
                <w:rFonts w:ascii="Arial" w:cs="Arial" w:eastAsia="Arial" w:hAnsi="Arial"/>
                <w:sz w:val="13"/>
                <w:szCs w:val="13"/>
                <w:b w:val="1"/>
                <w:bCs w:val="1"/>
                <w:color w:val="auto"/>
              </w:rPr>
              <w:t>Treasury</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Non-</w:t>
            </w:r>
          </w:p>
        </w:tc>
      </w:tr>
      <w:tr>
        <w:trPr>
          <w:trHeight w:val="280"/>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gridSpan w:val="4"/>
          </w:tcPr>
          <w:p>
            <w:pPr>
              <w:jc w:val="center"/>
              <w:ind w:left="357"/>
              <w:spacing w:after="0"/>
              <w:rPr>
                <w:sz w:val="20"/>
                <w:szCs w:val="20"/>
                <w:color w:val="auto"/>
              </w:rPr>
            </w:pPr>
            <w:r>
              <w:rPr>
                <w:rFonts w:ascii="Arial" w:cs="Arial" w:eastAsia="Arial" w:hAnsi="Arial"/>
                <w:sz w:val="13"/>
                <w:szCs w:val="13"/>
                <w:b w:val="1"/>
                <w:bCs w:val="1"/>
                <w:color w:val="auto"/>
                <w:w w:val="84"/>
              </w:rPr>
              <w:t>Stock</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Earnings</w:t>
            </w:r>
          </w:p>
        </w:tc>
        <w:tc>
          <w:tcPr>
            <w:tcW w:w="96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24"/>
                <w:szCs w:val="24"/>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controlling</w:t>
            </w:r>
          </w:p>
        </w:tc>
      </w:tr>
      <w:tr>
        <w:trPr>
          <w:trHeight w:val="26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22"/>
                <w:szCs w:val="22"/>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r>
      <w:tr>
        <w:trPr>
          <w:trHeight w:val="249"/>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Balance, June 30, 2018</w:t>
            </w:r>
          </w:p>
        </w:tc>
        <w:tc>
          <w:tcPr>
            <w:tcW w:w="600" w:type="dxa"/>
            <w:vAlign w:val="bottom"/>
          </w:tcPr>
          <w:p>
            <w:pPr>
              <w:jc w:val="right"/>
              <w:spacing w:after="0"/>
              <w:rPr>
                <w:sz w:val="20"/>
                <w:szCs w:val="20"/>
                <w:color w:val="auto"/>
              </w:rPr>
            </w:pPr>
            <w:r>
              <w:rPr>
                <w:rFonts w:ascii="Arial" w:cs="Arial" w:eastAsia="Arial" w:hAnsi="Arial"/>
                <w:sz w:val="13"/>
                <w:szCs w:val="13"/>
                <w:color w:val="auto"/>
              </w:rPr>
              <w:t>288</w:t>
            </w:r>
          </w:p>
        </w:tc>
        <w:tc>
          <w:tcPr>
            <w:tcW w:w="4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4,555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529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1"/>
                <w:szCs w:val="21"/>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8"/>
              </w:rPr>
              <w:t>(468)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4,629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7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 unrealized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6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gain on investments and other financial</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instruments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 unrealized</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loss on foreign currency translation</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Reclassification adjustments for change in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6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unrealized gains and losses included in net</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earnings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Reclassification for ASU 2018-02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Equity portion of debt conversions settled in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cash</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640" w:type="dxa"/>
            <w:vAlign w:val="bottom"/>
            <w:gridSpan w:val="2"/>
          </w:tcPr>
          <w:p>
            <w:pPr>
              <w:ind w:left="40"/>
              <w:spacing w:after="0"/>
              <w:rPr>
                <w:sz w:val="20"/>
                <w:szCs w:val="20"/>
                <w:color w:val="auto"/>
              </w:rPr>
            </w:pPr>
            <w:r>
              <w:rPr>
                <w:rFonts w:ascii="Arial" w:cs="Arial" w:eastAsia="Arial" w:hAnsi="Arial"/>
                <w:sz w:val="13"/>
                <w:szCs w:val="13"/>
                <w:color w:val="auto"/>
                <w:w w:val="98"/>
              </w:rPr>
              <w:t>Dividends declared, $0.30 per common share</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Pacific Union Sale</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Subsidiary dividends declared to non-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controlling interests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earnings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82"/>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Balance, September 30, 2018</w:t>
            </w:r>
          </w:p>
        </w:tc>
        <w:tc>
          <w:tcPr>
            <w:tcW w:w="600" w:type="dxa"/>
            <w:vAlign w:val="bottom"/>
          </w:tcPr>
          <w:p>
            <w:pPr>
              <w:jc w:val="right"/>
              <w:spacing w:after="0"/>
              <w:rPr>
                <w:sz w:val="20"/>
                <w:szCs w:val="20"/>
                <w:color w:val="auto"/>
              </w:rPr>
            </w:pPr>
            <w:r>
              <w:rPr>
                <w:rFonts w:ascii="Arial" w:cs="Arial" w:eastAsia="Arial" w:hAnsi="Arial"/>
                <w:sz w:val="13"/>
                <w:szCs w:val="13"/>
                <w:color w:val="auto"/>
              </w:rPr>
              <w:t>289</w:t>
            </w:r>
          </w:p>
        </w:tc>
        <w:tc>
          <w:tcPr>
            <w:tcW w:w="4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4,488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681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8"/>
              </w:rPr>
              <w:t>(468)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4,688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144"/>
        </w:trPr>
        <w:tc>
          <w:tcPr>
            <w:tcW w:w="25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r>
      <w:tr>
        <w:trPr>
          <w:trHeight w:val="262"/>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Balance, June 30, 2019</w:t>
            </w:r>
          </w:p>
        </w:tc>
        <w:tc>
          <w:tcPr>
            <w:tcW w:w="600" w:type="dxa"/>
            <w:vAlign w:val="bottom"/>
          </w:tcPr>
          <w:p>
            <w:pPr>
              <w:jc w:val="right"/>
              <w:spacing w:after="0"/>
              <w:rPr>
                <w:sz w:val="20"/>
                <w:szCs w:val="20"/>
                <w:color w:val="auto"/>
              </w:rPr>
            </w:pPr>
            <w:r>
              <w:rPr>
                <w:rFonts w:ascii="Arial" w:cs="Arial" w:eastAsia="Arial" w:hAnsi="Arial"/>
                <w:sz w:val="13"/>
                <w:szCs w:val="13"/>
                <w:color w:val="auto"/>
              </w:rPr>
              <w:t>290</w:t>
            </w:r>
          </w:p>
        </w:tc>
        <w:tc>
          <w:tcPr>
            <w:tcW w:w="4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4,528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942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2"/>
                <w:szCs w:val="22"/>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8"/>
              </w:rPr>
              <w:t>(544)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4,952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7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Treasury stock repurchased</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 unrealized</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6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gain on investments and other financial</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instruments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 unrealized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640" w:type="dxa"/>
            <w:vAlign w:val="bottom"/>
            <w:gridSpan w:val="2"/>
          </w:tcPr>
          <w:p>
            <w:pPr>
              <w:ind w:left="40"/>
              <w:spacing w:after="0"/>
              <w:rPr>
                <w:sz w:val="20"/>
                <w:szCs w:val="20"/>
                <w:color w:val="auto"/>
              </w:rPr>
            </w:pPr>
            <w:r>
              <w:rPr>
                <w:rFonts w:ascii="Arial" w:cs="Arial" w:eastAsia="Arial" w:hAnsi="Arial"/>
                <w:sz w:val="13"/>
                <w:szCs w:val="13"/>
                <w:color w:val="auto"/>
                <w:w w:val="94"/>
              </w:rPr>
              <w:t>gain on investments in unconsolidated affiliates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 unrealized</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loss on foreign currency translation</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Stock-based compensation</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8"/>
              </w:rPr>
              <w:t>Dividends declared, $0.31 per common share</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Purchase of additional share in consolidated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subsidiaries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Subsidiary dividends declared to non-</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controlling interests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264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Net earnings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September 30, 2019</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(580)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344</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40" w:type="dxa"/>
        <w:tblCellMar>
          <w:top w:w="0" w:type="dxa"/>
          <w:left w:w="0" w:type="dxa"/>
          <w:bottom w:w="0" w:type="dxa"/>
          <w:right w:w="0" w:type="dxa"/>
        </w:tblCellMar>
      </w:tblPr>
      <w:tr>
        <w:trPr>
          <w:trHeight w:val="174"/>
        </w:trPr>
        <w:tc>
          <w:tcPr>
            <w:tcW w:w="2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0"/>
          </w:tcPr>
          <w:p>
            <w:pPr>
              <w:ind w:left="40"/>
              <w:spacing w:after="0"/>
              <w:rPr>
                <w:sz w:val="20"/>
                <w:szCs w:val="20"/>
                <w:color w:val="auto"/>
              </w:rPr>
            </w:pPr>
            <w:r>
              <w:rPr>
                <w:rFonts w:ascii="Arial" w:cs="Arial" w:eastAsia="Arial" w:hAnsi="Arial"/>
                <w:sz w:val="13"/>
                <w:szCs w:val="13"/>
                <w:b w:val="1"/>
                <w:bCs w:val="1"/>
                <w:color w:val="auto"/>
                <w:w w:val="91"/>
              </w:rPr>
              <w:t>Fidelity National Financial, Inc. Common Shareholders</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4"/>
        </w:trPr>
        <w:tc>
          <w:tcPr>
            <w:tcW w:w="2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2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FNF</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Redeemable</w:t>
            </w:r>
          </w:p>
        </w:tc>
      </w:tr>
      <w:tr>
        <w:trPr>
          <w:trHeight w:val="270"/>
        </w:trPr>
        <w:tc>
          <w:tcPr>
            <w:tcW w:w="2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4"/>
          </w:tcPr>
          <w:p>
            <w:pPr>
              <w:jc w:val="center"/>
              <w:ind w:left="317"/>
              <w:spacing w:after="0"/>
              <w:rPr>
                <w:sz w:val="20"/>
                <w:szCs w:val="20"/>
                <w:color w:val="auto"/>
              </w:rPr>
            </w:pPr>
            <w:r>
              <w:rPr>
                <w:rFonts w:ascii="Arial" w:cs="Arial" w:eastAsia="Arial" w:hAnsi="Arial"/>
                <w:sz w:val="13"/>
                <w:szCs w:val="13"/>
                <w:b w:val="1"/>
                <w:bCs w:val="1"/>
                <w:color w:val="auto"/>
                <w:w w:val="88"/>
              </w:rPr>
              <w:t>Common</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Comprehensive</w:t>
            </w: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Treasury</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Non-</w:t>
            </w:r>
          </w:p>
        </w:tc>
      </w:tr>
      <w:tr>
        <w:trPr>
          <w:trHeight w:val="280"/>
        </w:trPr>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Borders>
              <w:bottom w:val="single" w:sz="8" w:color="auto"/>
            </w:tcBorders>
            <w:gridSpan w:val="4"/>
          </w:tcPr>
          <w:p>
            <w:pPr>
              <w:jc w:val="center"/>
              <w:ind w:left="317"/>
              <w:spacing w:after="0"/>
              <w:rPr>
                <w:sz w:val="20"/>
                <w:szCs w:val="20"/>
                <w:color w:val="auto"/>
              </w:rPr>
            </w:pPr>
            <w:r>
              <w:rPr>
                <w:rFonts w:ascii="Arial" w:cs="Arial" w:eastAsia="Arial" w:hAnsi="Arial"/>
                <w:sz w:val="13"/>
                <w:szCs w:val="13"/>
                <w:b w:val="1"/>
                <w:bCs w:val="1"/>
                <w:color w:val="auto"/>
                <w:w w:val="84"/>
              </w:rPr>
              <w:t>Stock</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3"/>
              </w:rPr>
              <w:t>Retained</w:t>
            </w:r>
          </w:p>
        </w:tc>
        <w:tc>
          <w:tcPr>
            <w:tcW w:w="10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Earnings</w:t>
            </w:r>
          </w:p>
        </w:tc>
        <w:tc>
          <w:tcPr>
            <w:tcW w:w="94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controlling</w:t>
            </w:r>
          </w:p>
        </w:tc>
        <w:tc>
          <w:tcPr>
            <w:tcW w:w="64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24"/>
                <w:szCs w:val="24"/>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controlling</w:t>
            </w:r>
          </w:p>
        </w:tc>
      </w:tr>
      <w:tr>
        <w:trPr>
          <w:trHeight w:val="264"/>
        </w:trPr>
        <w:tc>
          <w:tcPr>
            <w:tcW w:w="2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22"/>
                <w:szCs w:val="22"/>
                <w:color w:val="auto"/>
              </w:rPr>
            </w:pPr>
          </w:p>
        </w:tc>
        <w:tc>
          <w:tcPr>
            <w:tcW w:w="66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1"/>
              </w:rPr>
              <w:t>(Loss)</w:t>
            </w:r>
          </w:p>
        </w:tc>
        <w:tc>
          <w:tcPr>
            <w:tcW w:w="100" w:type="dxa"/>
            <w:vAlign w:val="bottom"/>
          </w:tcPr>
          <w:p>
            <w:pPr>
              <w:spacing w:after="0"/>
              <w:rPr>
                <w:sz w:val="22"/>
                <w:szCs w:val="22"/>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8"/>
              </w:rPr>
              <w:t>Interests</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r>
      <w:tr>
        <w:trPr>
          <w:trHeight w:val="249"/>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Balance, December 31, 2017</w:t>
            </w:r>
          </w:p>
        </w:tc>
        <w:tc>
          <w:tcPr>
            <w:tcW w:w="560" w:type="dxa"/>
            <w:vAlign w:val="bottom"/>
          </w:tcPr>
          <w:p>
            <w:pPr>
              <w:jc w:val="right"/>
              <w:spacing w:after="0"/>
              <w:rPr>
                <w:sz w:val="20"/>
                <w:szCs w:val="20"/>
                <w:color w:val="auto"/>
              </w:rPr>
            </w:pPr>
            <w:r>
              <w:rPr>
                <w:rFonts w:ascii="Arial" w:cs="Arial" w:eastAsia="Arial" w:hAnsi="Arial"/>
                <w:sz w:val="13"/>
                <w:szCs w:val="13"/>
                <w:color w:val="auto"/>
              </w:rPr>
              <w:t>288</w:t>
            </w:r>
          </w:p>
        </w:tc>
        <w:tc>
          <w:tcPr>
            <w:tcW w:w="4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4,587</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1"/>
                <w:szCs w:val="21"/>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1"/>
                <w:szCs w:val="21"/>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ind w:right="17"/>
              <w:spacing w:after="0"/>
              <w:rPr>
                <w:sz w:val="20"/>
                <w:szCs w:val="20"/>
                <w:color w:val="auto"/>
              </w:rPr>
            </w:pPr>
            <w:r>
              <w:rPr>
                <w:rFonts w:ascii="Arial" w:cs="Arial" w:eastAsia="Arial" w:hAnsi="Arial"/>
                <w:sz w:val="13"/>
                <w:szCs w:val="13"/>
                <w:color w:val="auto"/>
                <w:w w:val="92"/>
              </w:rPr>
              <w:t>(468)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1"/>
                <w:szCs w:val="21"/>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w w:val="92"/>
              </w:rPr>
              <w:t>$ 4,467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344</w:t>
            </w:r>
          </w:p>
        </w:tc>
      </w:tr>
      <w:tr>
        <w:trPr>
          <w:trHeight w:val="278"/>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148"/>
        </w:trPr>
        <w:tc>
          <w:tcPr>
            <w:tcW w:w="270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7"/>
              </w:rPr>
              <w:t>Adjustment for cumulative effect for adoption of</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ASU 2016-01</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5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3"/>
              </w:rPr>
              <w:t>Other comprehensive earnings — unrealized loss</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9"/>
              </w:rPr>
              <w:t>on investments and other financial instruments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148"/>
        </w:trPr>
        <w:tc>
          <w:tcPr>
            <w:tcW w:w="270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2"/>
              </w:rPr>
              <w:t>Other comprehensive earnings — unrealized gain</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on investments in unconsolidated affiliates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5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3"/>
              </w:rPr>
              <w:t>Other comprehensive earnings — unrealized loss</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on foreign currency translation</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148"/>
        </w:trPr>
        <w:tc>
          <w:tcPr>
            <w:tcW w:w="27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Reclassification adjustments for change in</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7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unrealized gains and losses included in net</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earnings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78"/>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4"/>
              </w:rPr>
              <w:t>Equity portion of debt conversions settled in cash</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148"/>
        </w:trPr>
        <w:tc>
          <w:tcPr>
            <w:tcW w:w="27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Dilution resulting from subsidiary issuance of</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equity</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78"/>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26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Dividends declared, $0.90 per common share</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(248)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78"/>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Subsidiary repurchase of equity</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26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Acquisitions of non-controlling interests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78"/>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Pacific Union sale</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148"/>
        </w:trPr>
        <w:tc>
          <w:tcPr>
            <w:tcW w:w="270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6"/>
              </w:rPr>
              <w:t>Subsidiary dividends declared to non-controlling</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interests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72"/>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584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589</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28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Balance, September 30, 2018</w:t>
            </w:r>
          </w:p>
        </w:tc>
        <w:tc>
          <w:tcPr>
            <w:tcW w:w="560" w:type="dxa"/>
            <w:vAlign w:val="bottom"/>
          </w:tcPr>
          <w:p>
            <w:pPr>
              <w:jc w:val="right"/>
              <w:spacing w:after="0"/>
              <w:rPr>
                <w:sz w:val="20"/>
                <w:szCs w:val="20"/>
                <w:color w:val="auto"/>
              </w:rPr>
            </w:pPr>
            <w:r>
              <w:rPr>
                <w:rFonts w:ascii="Arial" w:cs="Arial" w:eastAsia="Arial" w:hAnsi="Arial"/>
                <w:sz w:val="13"/>
                <w:szCs w:val="13"/>
                <w:color w:val="auto"/>
              </w:rPr>
              <w:t>289</w:t>
            </w:r>
          </w:p>
        </w:tc>
        <w:tc>
          <w:tcPr>
            <w:tcW w:w="4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4,488</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681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ind w:right="17"/>
              <w:spacing w:after="0"/>
              <w:rPr>
                <w:sz w:val="20"/>
                <w:szCs w:val="20"/>
                <w:color w:val="auto"/>
              </w:rPr>
            </w:pPr>
            <w:r>
              <w:rPr>
                <w:rFonts w:ascii="Arial" w:cs="Arial" w:eastAsia="Arial" w:hAnsi="Arial"/>
                <w:sz w:val="13"/>
                <w:szCs w:val="13"/>
                <w:color w:val="auto"/>
                <w:w w:val="92"/>
              </w:rPr>
              <w:t>(468)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w w:val="92"/>
              </w:rPr>
              <w:t>$ 4,688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344</w:t>
            </w:r>
          </w:p>
        </w:tc>
      </w:tr>
      <w:tr>
        <w:trPr>
          <w:trHeight w:val="144"/>
        </w:trPr>
        <w:tc>
          <w:tcPr>
            <w:tcW w:w="25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r>
      <w:tr>
        <w:trPr>
          <w:trHeight w:val="26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Balance, December 31, 2018</w:t>
            </w:r>
          </w:p>
        </w:tc>
        <w:tc>
          <w:tcPr>
            <w:tcW w:w="560" w:type="dxa"/>
            <w:vAlign w:val="bottom"/>
          </w:tcPr>
          <w:p>
            <w:pPr>
              <w:jc w:val="right"/>
              <w:spacing w:after="0"/>
              <w:rPr>
                <w:sz w:val="20"/>
                <w:szCs w:val="20"/>
                <w:color w:val="auto"/>
              </w:rPr>
            </w:pPr>
            <w:r>
              <w:rPr>
                <w:rFonts w:ascii="Arial" w:cs="Arial" w:eastAsia="Arial" w:hAnsi="Arial"/>
                <w:sz w:val="13"/>
                <w:szCs w:val="13"/>
                <w:color w:val="auto"/>
              </w:rPr>
              <w:t>290</w:t>
            </w:r>
          </w:p>
        </w:tc>
        <w:tc>
          <w:tcPr>
            <w:tcW w:w="4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4,500</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641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ind w:right="17"/>
              <w:spacing w:after="0"/>
              <w:rPr>
                <w:sz w:val="20"/>
                <w:szCs w:val="20"/>
                <w:color w:val="auto"/>
              </w:rPr>
            </w:pPr>
            <w:r>
              <w:rPr>
                <w:rFonts w:ascii="Arial" w:cs="Arial" w:eastAsia="Arial" w:hAnsi="Arial"/>
                <w:sz w:val="13"/>
                <w:szCs w:val="13"/>
                <w:color w:val="auto"/>
                <w:w w:val="92"/>
              </w:rPr>
              <w:t>(498)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w w:val="92"/>
              </w:rPr>
              <w:t>$ 4,628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344</w:t>
            </w:r>
          </w:p>
        </w:tc>
      </w:tr>
      <w:tr>
        <w:trPr>
          <w:trHeight w:val="278"/>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26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Treasury stock repurchased</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jc w:val="right"/>
              <w:ind w:right="17"/>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5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2"/>
              </w:rPr>
              <w:t>Other comprehensive earnings — unrealized gain</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9"/>
              </w:rPr>
              <w:t>on investments and other financial instruments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148"/>
        </w:trPr>
        <w:tc>
          <w:tcPr>
            <w:tcW w:w="270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2"/>
              </w:rPr>
              <w:t>Other comprehensive earnings — unrealized gain</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on investments in unconsolidated affiliates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5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2"/>
              </w:rPr>
              <w:t>Other comprehensive earnings — unrealized gain</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on foreign currency translation</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148"/>
        </w:trPr>
        <w:tc>
          <w:tcPr>
            <w:tcW w:w="27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Reclassification adjustments for change in</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7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unrealized gains and losses included in net</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earnings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78"/>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26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Dividends declared, $0.93 per common share</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5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Purchase of additional share in consolidated</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subsidiaries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148"/>
        </w:trPr>
        <w:tc>
          <w:tcPr>
            <w:tcW w:w="270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6"/>
              </w:rPr>
              <w:t>Subsidiary dividends declared to non-controlling</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interests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72"/>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722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732</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r>
      <w:tr>
        <w:trPr>
          <w:trHeight w:val="24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Balance, September 30, 2019</w:t>
            </w:r>
          </w:p>
        </w:tc>
        <w:tc>
          <w:tcPr>
            <w:tcW w:w="560" w:type="dxa"/>
            <w:vAlign w:val="bottom"/>
          </w:tcPr>
          <w:p>
            <w:pPr>
              <w:jc w:val="right"/>
              <w:spacing w:after="0"/>
              <w:rPr>
                <w:sz w:val="20"/>
                <w:szCs w:val="20"/>
                <w:color w:val="auto"/>
              </w:rPr>
            </w:pPr>
            <w:r>
              <w:rPr>
                <w:rFonts w:ascii="Arial" w:cs="Arial" w:eastAsia="Arial" w:hAnsi="Arial"/>
                <w:sz w:val="13"/>
                <w:szCs w:val="13"/>
                <w:color w:val="auto"/>
              </w:rPr>
              <w:t>292</w:t>
            </w:r>
          </w:p>
        </w:tc>
        <w:tc>
          <w:tcPr>
            <w:tcW w:w="4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4,566</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1,107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21"/>
                <w:szCs w:val="21"/>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1"/>
                <w:szCs w:val="21"/>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ind w:right="17"/>
              <w:spacing w:after="0"/>
              <w:rPr>
                <w:sz w:val="20"/>
                <w:szCs w:val="20"/>
                <w:color w:val="auto"/>
              </w:rPr>
            </w:pPr>
            <w:r>
              <w:rPr>
                <w:rFonts w:ascii="Arial" w:cs="Arial" w:eastAsia="Arial" w:hAnsi="Arial"/>
                <w:sz w:val="13"/>
                <w:szCs w:val="13"/>
                <w:color w:val="auto"/>
                <w:w w:val="92"/>
              </w:rPr>
              <w:t>(580)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1"/>
                <w:szCs w:val="21"/>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w w:val="92"/>
              </w:rPr>
              <w:t>$ 5,121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344</w:t>
            </w:r>
          </w:p>
        </w:tc>
      </w:tr>
      <w:tr>
        <w:trPr>
          <w:trHeight w:val="20"/>
        </w:trPr>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121"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2"/>
              </w:rPr>
              <w:t>For the nine months ended</w:t>
            </w:r>
          </w:p>
        </w:tc>
        <w:tc>
          <w:tcPr>
            <w:tcW w:w="0" w:type="dxa"/>
            <w:vAlign w:val="bottom"/>
          </w:tcPr>
          <w:p>
            <w:pPr>
              <w:spacing w:after="0"/>
              <w:rPr>
                <w:sz w:val="1"/>
                <w:szCs w:val="1"/>
                <w:color w:val="auto"/>
              </w:rPr>
            </w:pPr>
          </w:p>
        </w:tc>
      </w:tr>
      <w:tr>
        <w:trPr>
          <w:trHeight w:val="192"/>
        </w:trPr>
        <w:tc>
          <w:tcPr>
            <w:tcW w:w="9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9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90"/>
        </w:trPr>
        <w:tc>
          <w:tcPr>
            <w:tcW w:w="9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w w:val="95"/>
              </w:rPr>
              <w:t>(Unaudited)</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936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Equity in earnings of unconsolidated affiliates</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on sales of investments and other assets and asset impairments, net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Gain on sale of subsidiaries</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Non-cash lease costs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Operating lease payments</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Distributions from unconsolidated affiliates, return on investment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Stock-based compensation cost</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Change in valuation of equity and preferred securities, net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(increase) decrease in trade receivables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increase in prepaid expenses and other assets</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increase (decrease) in accounts payable, accrued liabilities, deferred revenue and other</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increase in reserve for title claim losses</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change in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sales of investment securities</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calls and maturities of investment securities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sales of property and equipment</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Fundings of Cannae Holdings Inc. note receivable</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repayments of Cannae Holdings Inc. note receivable</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Additions to property and equipment and capitalized software</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Purchases of investment securities</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(purchases of) proceeds from sales and maturities of short-term investment securities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Additional investments in unconsolidated affiliates</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Distributions from unconsolidated affiliates, return of investment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other investing activities</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Pacific Union Sale, net of cash transferred</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Other acquisitions/disposals of businesses, net of cash acquired/disposed</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6"/>
        </w:trPr>
        <w:tc>
          <w:tcPr>
            <w:tcW w:w="9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44"/>
        </w:trPr>
        <w:tc>
          <w:tcPr>
            <w:tcW w:w="936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Borrowings</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Debt principal payments</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97"/>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portion of debt conversions paid in cash</w:t>
            </w:r>
          </w:p>
        </w:tc>
        <w:tc>
          <w:tcPr>
            <w:tcW w:w="1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61"/>
        </w:trPr>
        <w:tc>
          <w:tcPr>
            <w:tcW w:w="9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Dividends paid</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Exercise of stock options</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Subsidiary equity repurchase</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change in secured trust deposits</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additional share in consolidated subsidiaries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treasury stock</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financing activities</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243"/>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1,422</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ectPr>
          <w:pgSz w:w="11900" w:h="16838" w:orient="portrait"/>
          <w:cols w:equalWidth="0" w:num="1">
            <w:col w:w="11400"/>
          </w:cols>
          <w:pgMar w:left="240" w:top="121" w:right="259" w:bottom="0" w:gutter="0" w:footer="0" w:header="0"/>
        </w:sectPr>
      </w:pPr>
    </w:p>
    <w:p>
      <w:pPr>
        <w:jc w:val="center"/>
        <w:ind w:right="-19"/>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00"/>
          </w:cols>
          <w:pgMar w:left="240" w:top="121" w:right="259"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125"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financial information in this report presented for interim periods is unaudited and includes the accounts of Fidelity National Financial, Inc. and its subsidiaries (collectively, “we,” “us,” “our,” the "Company"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leading provider of (i) title insurance, escrow and other title-related services, including trust activities, trustee sales guarantees, recordings and reconveyances and home warranty products and (ii) technology and transaction services to the real estate and mortgage industries.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information about our reportable segments refer to Note H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Termination of Stewart Merger Agreement and Payment of Reverse Termination Fee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18, 2018, we signed a merger agreement (the "Merger Agreement") to acquire Stewart Information Services Corporation ("Stewart") (NYSE: STC) (the "Stewart Merger"). On, September 9, 2019, we entered into a mutual Termination Agreement with Stewart (the “Termination Agreement”), pursuant to which the parties agreed to terminate the Merger Agreement, due to the Federal Trade Commission's issuance of an administrative complaint seeking to block the merger. In connection with the termination of the Merger Agreement, we paid to Stewart, on September 12, 2019, the Reverse Termination Fee (as defined in the Merger Agreement) consisting of $50 million in cash, which is included within other operating expenses in the Consolidated Statements of Earnings.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Receivable from Cannae</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November 2017, in conjunction with the split-off of our former portfolio company investments into a separate company, Cannae Holdings, Inc. ("Cannae"), we issued to Cannae a revolver note (the "Cannae Revolver") in the aggregate principal amount of up to $100 million. Cannae is considered a related party to FNF.</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Cannae Revolver accrues interest quarterly at LIBOR plus 450 basis points and matures on the five-year anniversary from the date of issuance. The maturity date is automatically extended for additional five-year terms unless notice of non-renewal is otherwise provided by either FNF or Cannae, in their sole discretion.</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7, 2019, Cannae borrowed $100 million from FNF under the Cannae Revolver. On June 12, 2019, Cannae repaid to FNF the entire $100 million outstanding amount under the Cannae Revolver.</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5, 2019, Cannae borrowed $100 million from FNF under the Cannae Revolver. On September 11, 2019, Cannae repaid to FNF the entire $100 million outstanding amount under the Cannae Revolver.</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account for the Cannae Revolver as a financing receivable. Interest income is recorded ratably in periods in which principal is outstanding.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Uncollectible financing receivables are written off or impaired when, based on all available information, it is probable that a loss has occurred.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 expense was $59 million and $51 million in the three-month periods ended September 30, 2019 and 2018, respectively, and $210 million and $104 million in the nine-month periods ended September 30, 2019 and 2018, respectively. Income tax expense as a percentage of earnings before income taxes was 19% and 18% in the three-month periods ended September 30, 2019 and 2018, respectively, and 23% and 15% in the nine-month periods ended September 30, 2019 and 2018, respectively. The increase in income tax expense as a percentage of earnings before taxes in the 2019 periods from the comparable periods in 2018 was primarily attributable to a change in tax estimate in the three months ended June 30, 2018 relating to the timing of payments for, and tax rate applicable to, our tax liability resulting from the decrease in statutory premium reserve associated with the redomestication of certain of our title underwriters.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Options or other instruments which provide the ability to purchase shares of our common stock that are antidilutive are excluded from the computation of diluted earnings per share. There were no antidilutive instruments outstanding during the three or nine-month periods ended September 30, 2019 or September 30,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Adopted Pronouncements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resulting from applying the fair value measurement, to be reflected on the lessee's balance sheet; and expanding and adding to the required disclosures for lessees. In July 2018, the FASB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which allows entities the option to adopt this standard using a modified retrospective approach with a cumulative-effect adjustment to opening equity at the adoption date and include required disclosures for prior periods.</w:t>
      </w:r>
    </w:p>
    <w:p>
      <w:pPr>
        <w:spacing w:after="0" w:line="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adopted Topic 842 on January 1, 2019 using a modified retrospective approach and recorded lease right-of-use assets ("Lease assets") of $421 million and liabilities for future discounted lease payment obligations ("Lease liabilities") of $437 million at the date of adoption. The adoption also resulted in a decrease of $9 million and $25 million to our Prepaid expenses and other assets and Accounts payable and accrued liabilities, respectively. There was no impact to opening equity as a result of the adoption. We elected to apply the following package of practical expedients on a consistent basis permitting entities not to reassess: (i) whether any expired or existing contracts are or contain a lease; (ii) lease classification for any expired or existing leases and (iii) whether initial direct costs for any expired or existing leases qualify for capitalization under the amended guidance.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K.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further discussion of our leasing arrangements and related accounting.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Pronouncements Not Yet Adopted</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June 2016, the FASB issued ASU No. 2016-13 Financial Instruments - Credit Losses: Measurement of Credit Losses on Financial Instruments (Topic 326).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fixed maturity securities available for sale. This update is effective for annual periods beginning after December 15, 2019, including interim periods within those fiscal years. Early adoption is permitted for annual periods beginning after December 15, 2018, including interim periods within those fiscal years. We are finalizing the effect this new guidance will have on our Consolidated Financial Statements and related disclosures. Based on a preliminary analysis performed, the overall effect of Topic 326 is estimated not to be material to the Consolidated Financial Statements upon adoption. We do not plan to early adopt this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Reserve for Claim Losses</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reserve for claim losses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22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2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96"/>
              </w:rPr>
              <w:t>2018</w:t>
            </w:r>
          </w:p>
        </w:tc>
      </w:tr>
      <w:tr>
        <w:trPr>
          <w:trHeight w:val="196"/>
        </w:trPr>
        <w:tc>
          <w:tcPr>
            <w:tcW w:w="8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(Dollars in millions)</w:t>
            </w:r>
          </w:p>
        </w:tc>
        <w:tc>
          <w:tcPr>
            <w:tcW w:w="960" w:type="dxa"/>
            <w:vAlign w:val="bottom"/>
          </w:tcPr>
          <w:p>
            <w:pPr>
              <w:spacing w:after="0"/>
              <w:rPr>
                <w:sz w:val="17"/>
                <w:szCs w:val="17"/>
                <w:color w:val="auto"/>
              </w:rPr>
            </w:pP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8"/>
              </w:rPr>
              <w:t>1,488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1,490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Change in reinsurance recoverable</w:t>
            </w:r>
          </w:p>
        </w:tc>
        <w:tc>
          <w:tcPr>
            <w:tcW w:w="94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loss provision related to:</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Current year</w:t>
            </w:r>
          </w:p>
        </w:tc>
        <w:tc>
          <w:tcPr>
            <w:tcW w:w="940" w:type="dxa"/>
            <w:vAlign w:val="bottom"/>
          </w:tcPr>
          <w:p>
            <w:pPr>
              <w:spacing w:after="0"/>
              <w:rPr>
                <w:sz w:val="21"/>
                <w:szCs w:val="21"/>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165</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9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Total title claim loss provision</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165</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Current year</w:t>
            </w:r>
          </w:p>
        </w:tc>
        <w:tc>
          <w:tcPr>
            <w:tcW w:w="94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(165)</w:t>
            </w:r>
          </w:p>
        </w:tc>
      </w:tr>
      <w:tr>
        <w:trPr>
          <w:trHeight w:val="27"/>
        </w:trPr>
        <w:tc>
          <w:tcPr>
            <w:tcW w:w="8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of claim loss reserve for title insurance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88"/>
              </w:rPr>
              <w:t>1,494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1,491</w:t>
            </w:r>
          </w:p>
        </w:tc>
      </w:tr>
      <w:tr>
        <w:trPr>
          <w:trHeight w:val="20"/>
        </w:trPr>
        <w:tc>
          <w:tcPr>
            <w:tcW w:w="8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8200" w:type="dxa"/>
            <w:vAlign w:val="bottom"/>
          </w:tcPr>
          <w:p>
            <w:pPr>
              <w:ind w:left="4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8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22, 2019, a lawsuit was filed against Chicago Title Company and Chicago Title (collectively, the “Chicago Title Company”) styled as, Ovation Fin. Holdings 2 LLC, Ovation Fund Mgmt. II, LLC, Banc of California, N.A. v. Chicago Title Ins. Co., Chicago Title Co., Case No. 3:19-cv-02031-GPC-KSC, pending in the United States District Court for the Southern District of California. Plaintiffs allege they are investors solicited by Gina Champion-Cain to provide funds that Ms. Champion-Cain represented were to be used for high-interest, short-term loans to parties seeking to acquire California alcoholic beverage licenses. Under California state law, alcoholic beverage license applicants are required to escrow an amount equal to the license purchase price while their applications remain pending with the State. Plaintiffs allege that the Chicago Title Company participated with Ms. Champion-Cain and her entities in a fraud scheme involving an escrow account maintained by the Chicago Title Company into which the investors’ funds were deposited. The investors allege they were defrauded out of more than $75 million, and also seek consequential, treble, and punitive damages. The Chicago Title Company is investigating the allegations and has not yet filed a response to the lawsuit but plans to do so on, or before the due date. No specific known claims reserve has been established as any amount of specific loss is not estimable.</w:t>
      </w:r>
    </w:p>
    <w:p>
      <w:pPr>
        <w:spacing w:after="0" w:line="4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3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fair value hierarchy for those assets and liabilities measured at fair value on a recurring basis as of September 30, 2019 and December 31, 2018, respectively: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 2019</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3"/>
          </w:tcPr>
          <w:p>
            <w:pPr>
              <w:jc w:val="center"/>
              <w:ind w:left="574"/>
              <w:spacing w:after="0"/>
              <w:rPr>
                <w:sz w:val="20"/>
                <w:szCs w:val="20"/>
                <w:color w:val="auto"/>
              </w:rPr>
            </w:pPr>
            <w:r>
              <w:rPr>
                <w:rFonts w:ascii="Arial" w:cs="Arial" w:eastAsia="Arial" w:hAnsi="Arial"/>
                <w:sz w:val="14"/>
                <w:szCs w:val="14"/>
                <w:b w:val="1"/>
                <w:bCs w:val="1"/>
                <w:color w:val="auto"/>
                <w:w w:val="96"/>
              </w:rPr>
              <w:t>(In millions)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289</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1,596</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684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684</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r>
      <w:tr>
        <w:trPr>
          <w:trHeight w:val="257"/>
        </w:trPr>
        <w:tc>
          <w:tcPr>
            <w:tcW w:w="60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702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3,176</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35"/>
        </w:trPr>
        <w:tc>
          <w:tcPr>
            <w:tcW w:w="6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December 31, 2018</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3"/>
          </w:tcPr>
          <w:p>
            <w:pPr>
              <w:jc w:val="center"/>
              <w:ind w:left="574"/>
              <w:spacing w:after="0"/>
              <w:rPr>
                <w:sz w:val="20"/>
                <w:szCs w:val="20"/>
                <w:color w:val="auto"/>
              </w:rPr>
            </w:pPr>
            <w:r>
              <w:rPr>
                <w:rFonts w:ascii="Arial" w:cs="Arial" w:eastAsia="Arial" w:hAnsi="Arial"/>
                <w:sz w:val="14"/>
                <w:szCs w:val="14"/>
                <w:b w:val="1"/>
                <w:bCs w:val="1"/>
                <w:color w:val="auto"/>
                <w:w w:val="96"/>
              </w:rPr>
              <w:t>(In millions)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1,503</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62</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498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498</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r>
      <w:tr>
        <w:trPr>
          <w:trHeight w:val="257"/>
        </w:trPr>
        <w:tc>
          <w:tcPr>
            <w:tcW w:w="60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514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2,898</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Level 2 fair value measures for preferred securities and fixed maturity securities available for sale are provided by a third-party pricing service. We utilize one firm for our preferred stock and our bond portfolios. The pricing service is a leading global provider of financial market data, analytics and related services to financial institutions.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third-party pricing services are as follows:</w:t>
      </w:r>
    </w:p>
    <w:p>
      <w:pPr>
        <w:spacing w:after="0" w:line="70" w:lineRule="exact"/>
        <w:rPr>
          <w:sz w:val="20"/>
          <w:szCs w:val="20"/>
          <w:color w:val="auto"/>
        </w:rPr>
      </w:pPr>
    </w:p>
    <w:p>
      <w:pPr>
        <w:ind w:left="660" w:right="2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left="66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commercial mortgage-backed securities, agency mortgage-backed securities, collateralized mortgage obligations and asset-backed securities. They are valued based on available trade information, dealer quotes, cash flows, relevant indices and market data for similar assets in active markets.</w:t>
      </w: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Preferred securities: Preferred securities are valued by calculating the appropriate spread over a comparable U.S. Treasury security. Inputs include benchmark quotes and other relevant market data.</w:t>
      </w:r>
    </w:p>
    <w:p>
      <w:pPr>
        <w:spacing w:after="0" w:line="4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Level 3 fair value measures for our other long term investment are provided by a third-party pricing service. We utilize one firm to value our Level 3 other long-term investment. The pricing service is a leading global provider of financial market data, analytics and related services to financial institutions. We utilize the income approach and a discounted cash flow analysis in determining the fair value of our Level 3 other long-term investment. The primary unobservable input utilized in this pricing methodology is the discount rate used which is determined based on underwriting yield, credit spreads, yields on benchmark indices and comparable public company debt. The discount rate used in our determination of the fair value of our Level 3 other long-term investment as of September 30, 2019 was a range of 7.1% - 7.5% and a weighted-average of 7.2%. Based on the total fair value of our Level 3 other long-term investment as of September 30, 2019, changes in the discount rate utilized will not result in a fair value significantly different than the amount recorded.</w:t>
      </w:r>
    </w:p>
    <w:p>
      <w:pPr>
        <w:spacing w:after="0" w:line="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Level 3 fair value measures for our corporate debt securities relate to multiple investments which are considered immaterial individually and in the aggregate.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 for the three and nine-month periods ended September 30, 2019 and 2018.</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7"/>
          </w:tcPr>
          <w:p>
            <w:pPr>
              <w:jc w:val="center"/>
              <w:ind w:left="335"/>
              <w:spacing w:after="0"/>
              <w:rPr>
                <w:sz w:val="20"/>
                <w:szCs w:val="20"/>
                <w:color w:val="auto"/>
              </w:rPr>
            </w:pPr>
            <w:r>
              <w:rPr>
                <w:rFonts w:ascii="Arial" w:cs="Arial" w:eastAsia="Arial" w:hAnsi="Arial"/>
                <w:sz w:val="14"/>
                <w:szCs w:val="14"/>
                <w:b w:val="1"/>
                <w:bCs w:val="1"/>
                <w:color w:val="auto"/>
                <w:w w:val="91"/>
              </w:rPr>
              <w:t>Three months ended September 30, 2019</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center"/>
              <w:ind w:left="315"/>
              <w:spacing w:after="0"/>
              <w:rPr>
                <w:sz w:val="20"/>
                <w:szCs w:val="20"/>
                <w:color w:val="auto"/>
              </w:rPr>
            </w:pPr>
            <w:r>
              <w:rPr>
                <w:rFonts w:ascii="Arial" w:cs="Arial" w:eastAsia="Arial" w:hAnsi="Arial"/>
                <w:sz w:val="14"/>
                <w:szCs w:val="14"/>
                <w:b w:val="1"/>
                <w:bCs w:val="1"/>
                <w:color w:val="auto"/>
                <w:w w:val="91"/>
              </w:rPr>
              <w:t>Three months ended September 30, 2018</w:t>
            </w:r>
          </w:p>
        </w:tc>
        <w:tc>
          <w:tcPr>
            <w:tcW w:w="520" w:type="dxa"/>
            <w:vAlign w:val="bottom"/>
            <w:tcBorders>
              <w:bottom w:val="single" w:sz="8" w:color="auto"/>
            </w:tcBorders>
          </w:tcPr>
          <w:p>
            <w:pPr>
              <w:spacing w:after="0"/>
              <w:rPr>
                <w:sz w:val="16"/>
                <w:szCs w:val="16"/>
                <w:color w:val="auto"/>
              </w:rPr>
            </w:pPr>
          </w:p>
        </w:tc>
      </w:tr>
      <w:tr>
        <w:trPr>
          <w:trHeight w:val="258"/>
        </w:trPr>
        <w:tc>
          <w:tcPr>
            <w:tcW w:w="4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Other Long-Term</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Corporate Debt</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Other Long-Term</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Corporate Debt</w:t>
            </w: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6"/>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4"/>
                <w:szCs w:val="24"/>
                <w:color w:val="auto"/>
              </w:rPr>
            </w:pPr>
          </w:p>
        </w:tc>
        <w:tc>
          <w:tcPr>
            <w:tcW w:w="128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Investment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24"/>
                <w:szCs w:val="24"/>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b w:val="1"/>
                <w:bCs w:val="1"/>
                <w:color w:val="auto"/>
                <w:w w:val="95"/>
              </w:rPr>
              <w:t>Total</w:t>
            </w:r>
          </w:p>
        </w:tc>
      </w:tr>
      <w:tr>
        <w:trPr>
          <w:trHeight w:val="250"/>
        </w:trPr>
        <w:tc>
          <w:tcPr>
            <w:tcW w:w="40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5"/>
          </w:tcPr>
          <w:p>
            <w:pPr>
              <w:jc w:val="center"/>
              <w:ind w:right="7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5"/>
          </w:tcPr>
          <w:p>
            <w:pPr>
              <w:jc w:val="center"/>
              <w:ind w:right="74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Paid-in-kind dividends (1)</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Net valuation gain included in earnings (2)</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602"/>
        </w:trPr>
        <w:tc>
          <w:tcPr>
            <w:tcW w:w="4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center"/>
              <w:ind w:left="335"/>
              <w:spacing w:after="0"/>
              <w:rPr>
                <w:sz w:val="20"/>
                <w:szCs w:val="20"/>
                <w:color w:val="auto"/>
              </w:rPr>
            </w:pPr>
            <w:r>
              <w:rPr>
                <w:rFonts w:ascii="Arial" w:cs="Arial" w:eastAsia="Arial" w:hAnsi="Arial"/>
                <w:sz w:val="14"/>
                <w:szCs w:val="14"/>
                <w:b w:val="1"/>
                <w:bCs w:val="1"/>
                <w:color w:val="auto"/>
                <w:w w:val="91"/>
              </w:rPr>
              <w:t>Nine months ended September 30, 2019</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315"/>
              <w:spacing w:after="0"/>
              <w:rPr>
                <w:sz w:val="20"/>
                <w:szCs w:val="20"/>
                <w:color w:val="auto"/>
              </w:rPr>
            </w:pPr>
            <w:r>
              <w:rPr>
                <w:rFonts w:ascii="Arial" w:cs="Arial" w:eastAsia="Arial" w:hAnsi="Arial"/>
                <w:sz w:val="14"/>
                <w:szCs w:val="14"/>
                <w:b w:val="1"/>
                <w:bCs w:val="1"/>
                <w:color w:val="auto"/>
                <w:w w:val="91"/>
              </w:rPr>
              <w:t>Nine months ended September 30, 2018</w:t>
            </w:r>
          </w:p>
        </w:tc>
        <w:tc>
          <w:tcPr>
            <w:tcW w:w="520" w:type="dxa"/>
            <w:vAlign w:val="bottom"/>
            <w:tcBorders>
              <w:bottom w:val="single" w:sz="8" w:color="auto"/>
            </w:tcBorders>
          </w:tcPr>
          <w:p>
            <w:pPr>
              <w:spacing w:after="0"/>
              <w:rPr>
                <w:sz w:val="24"/>
                <w:szCs w:val="24"/>
                <w:color w:val="auto"/>
              </w:rPr>
            </w:pPr>
          </w:p>
        </w:tc>
      </w:tr>
      <w:tr>
        <w:trPr>
          <w:trHeight w:val="258"/>
        </w:trPr>
        <w:tc>
          <w:tcPr>
            <w:tcW w:w="4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Other Long-Term</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Corporate Debt</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Other Long-Term</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Corporate Debt</w:t>
            </w: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6"/>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4"/>
                <w:szCs w:val="24"/>
                <w:color w:val="auto"/>
              </w:rPr>
            </w:pPr>
          </w:p>
        </w:tc>
        <w:tc>
          <w:tcPr>
            <w:tcW w:w="128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Investment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24"/>
                <w:szCs w:val="24"/>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b w:val="1"/>
                <w:bCs w:val="1"/>
                <w:color w:val="auto"/>
                <w:w w:val="95"/>
              </w:rPr>
              <w:t>Total</w:t>
            </w:r>
          </w:p>
        </w:tc>
      </w:tr>
      <w:tr>
        <w:trPr>
          <w:trHeight w:val="250"/>
        </w:trPr>
        <w:tc>
          <w:tcPr>
            <w:tcW w:w="40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5"/>
          </w:tcPr>
          <w:p>
            <w:pPr>
              <w:jc w:val="center"/>
              <w:ind w:right="7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5"/>
          </w:tcPr>
          <w:p>
            <w:pPr>
              <w:jc w:val="center"/>
              <w:ind w:right="74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w w:val="93"/>
              </w:rPr>
              <w:t>Fair value of assets associated with the adoption of</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ASU 2016-01</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100</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from Level 2</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Transfers to Level 2</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Paid-in-kind dividends (1)</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w w:val="98"/>
              </w:rPr>
              <w:t>Net valuation gain (loss) included in earnings (2)</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2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Net unrealized loss included in other comprehensive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5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(3)</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Fair value, 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117</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Interest and investment income on the Condensed Consolidated Statements of Earnings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Realized gains and losses, net on the Condensed Consolidated Statements of Earnings</w:t>
      </w:r>
    </w:p>
    <w:p>
      <w:pPr>
        <w:spacing w:after="0" w:line="9" w:lineRule="exact"/>
        <w:rPr>
          <w:rFonts w:ascii="Arial" w:cs="Arial" w:eastAsia="Arial" w:hAnsi="Arial"/>
          <w:sz w:val="18"/>
          <w:szCs w:val="18"/>
          <w:color w:val="auto"/>
        </w:rPr>
      </w:pPr>
    </w:p>
    <w:p>
      <w:pPr>
        <w:ind w:right="20" w:firstLine="8"/>
        <w:spacing w:after="0" w:line="261" w:lineRule="auto"/>
        <w:tabs>
          <w:tab w:leader="none" w:pos="29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Unrealized gain (loss) on investments and other financial instruments, net (excluding investments in unconsolidated affiliates) on the Condensed Consolidated Statements of Comprehensive Earnings</w:t>
      </w:r>
    </w:p>
    <w:p>
      <w:pPr>
        <w:spacing w:after="0" w:line="18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Transfers into or out of the Level 3 fair value category occur when unobservable inputs become more or less significant to the fair value measurement or upon a change in valuation technique. For the three and nine months ended September 30, 2019 and three months ended 2018, respectively, transfers between Level 2 and Level 3 are not considered material. For the nine months ended September 30, 2018, transfers between Level 2 and Level 3 were based on changes in significance of unobservable inputs used associated with a change in the valuation technique used for certain of the Company’s corporate debt securities and are not considered material to the Company's financial position or results of operations.</w:t>
      </w:r>
    </w:p>
    <w:p>
      <w:pPr>
        <w:spacing w:after="0" w:line="14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Substantially all of the unrealized gain (loss) on investments and other financial instruments, net (excluding investments in unconsolidated affiliates) on our Condensed Consolidated Statements of Comprehensive Income relate to fixed maturity securities which are considered Level 2 fair value measures.</w:t>
      </w:r>
    </w:p>
    <w:p>
      <w:pPr>
        <w:spacing w:after="0" w:line="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The carrying amounts of short-term investments, accounts receivable and notes receivable approximate fair value due to their short-term nature and/or short time period since consummation. Additional information regarding the fair value of our investment portfolio is included in Note D. </w:t>
      </w:r>
      <w:r>
        <w:rPr>
          <w:rFonts w:ascii="Arial" w:cs="Arial" w:eastAsia="Arial" w:hAnsi="Arial"/>
          <w:sz w:val="16"/>
          <w:szCs w:val="16"/>
          <w:i w:val="1"/>
          <w:iCs w:val="1"/>
          <w:color w:val="auto"/>
        </w:rPr>
        <w:t>Investments</w:t>
      </w:r>
      <w:r>
        <w:rPr>
          <w:rFonts w:ascii="Arial" w:cs="Arial" w:eastAsia="Arial" w:hAnsi="Arial"/>
          <w:sz w:val="16"/>
          <w:szCs w:val="16"/>
          <w:color w:val="auto"/>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September 30, 2019 and December 31, 2018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2019</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280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289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1,596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58</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2,092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535"/>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2018</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226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225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1,503</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62</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1,998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accreted discount since the date of purchase.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September 30,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September 30, 2019</w:t>
            </w:r>
          </w:p>
        </w:tc>
        <w:tc>
          <w:tcPr>
            <w:tcW w:w="1220" w:type="dxa"/>
            <w:vAlign w:val="bottom"/>
            <w:tcBorders>
              <w:bottom w:val="single" w:sz="8" w:color="auto"/>
            </w:tcBorders>
          </w:tcPr>
          <w:p>
            <w:pPr>
              <w:spacing w:after="0"/>
              <w:rPr>
                <w:sz w:val="16"/>
                <w:szCs w:val="16"/>
                <w:color w:val="auto"/>
              </w:rPr>
            </w:pPr>
          </w:p>
        </w:tc>
      </w:tr>
      <w:tr>
        <w:trPr>
          <w:trHeight w:val="258"/>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 of</w:t>
            </w:r>
          </w:p>
        </w:tc>
      </w:tr>
      <w:tr>
        <w:trPr>
          <w:trHeight w:val="276"/>
        </w:trPr>
        <w:tc>
          <w:tcPr>
            <w:tcW w:w="6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Borders>
              <w:top w:val="single" w:sz="8" w:color="auto"/>
            </w:tcBorders>
          </w:tcPr>
          <w:p>
            <w:pPr>
              <w:spacing w:after="0"/>
              <w:rPr>
                <w:sz w:val="21"/>
                <w:szCs w:val="21"/>
                <w:color w:val="auto"/>
              </w:rPr>
            </w:pPr>
          </w:p>
        </w:tc>
      </w:tr>
      <w:tr>
        <w:trPr>
          <w:trHeight w:val="25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57</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6</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r>
      <w:tr>
        <w:trPr>
          <w:trHeight w:val="257"/>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Net unrealized losses on investment securities and the fair value of the related securities, aggregated by investment category and length of time that individual securities have been in a continuous unrealized loss position at September 30, 2019 and December 31, 2018, were as follows (in millions):</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497"/>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7"/>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136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December 31, 2018</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0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460" w:type="dxa"/>
            <w:vAlign w:val="bottom"/>
            <w:tcBorders>
              <w:bottom w:val="single" w:sz="8" w:color="auto"/>
            </w:tcBorders>
            <w:gridSpan w:val="5"/>
          </w:tcPr>
          <w:p>
            <w:pPr>
              <w:jc w:val="right"/>
              <w:ind w:right="497"/>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7"/>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agencies</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661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784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recorded no impairment charges relating to investments during the three or nine-month periods ended September 30, 2019 or during the three-month period ended September 30, 2018. We recorded $3 million of impairment charges relating to investments during the nine-month period ended September 30, 2018. Impairment in the nine-month period ended September 30, 2018 relates to fixed maturity securities of investees entering Chapter 11 bankruptcy which exhibited decreasing fair market values and from which we are uncertain of our ability to recover our initial investment.</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September 30, 2019 and December 31, 2018, we held no investment securities for which an other-than-temporary impairment had been previously recognized. It is possible that future events may lead us to recognize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tables present realized gains and losses on investments and other assets and proceeds from the sale or maturity of investments and other assets for the three and nine-month periods ended September 30, 2019 and 2018, respectively:</w:t>
      </w:r>
    </w:p>
    <w:p>
      <w:pPr>
        <w:sectPr>
          <w:pgSz w:w="11900" w:h="16838" w:orient="portrait"/>
          <w:cols w:equalWidth="0" w:num="1">
            <w:col w:w="11420"/>
          </w:cols>
          <w:pgMar w:left="240" w:top="121" w:right="239" w:bottom="1440" w:gutter="0" w:footer="0" w:header="0"/>
        </w:sectPr>
      </w:pPr>
    </w:p>
    <w:p>
      <w:pPr>
        <w:spacing w:after="0" w:line="284"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Three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23495</wp:posOffset>
            </wp:positionV>
            <wp:extent cx="2400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 w:lineRule="exact"/>
        <w:rPr>
          <w:sz w:val="20"/>
          <w:szCs w:val="20"/>
          <w:color w:val="auto"/>
        </w:rPr>
      </w:pPr>
    </w:p>
    <w:tbl>
      <w:tblPr>
        <w:tblLayout w:type="fixed"/>
        <w:tblInd w:w="3780" w:type="dxa"/>
        <w:tblCellMar>
          <w:top w:w="0" w:type="dxa"/>
          <w:left w:w="0" w:type="dxa"/>
          <w:bottom w:w="0" w:type="dxa"/>
          <w:right w:w="0" w:type="dxa"/>
        </w:tblCellMar>
      </w:tblPr>
      <w:tr>
        <w:trPr>
          <w:trHeight w:val="161"/>
        </w:trPr>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11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49"/>
        </w:trPr>
        <w:tc>
          <w:tcPr>
            <w:tcW w:w="9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11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(Losses)</w:t>
            </w:r>
          </w:p>
        </w:tc>
        <w:tc>
          <w:tcPr>
            <w:tcW w:w="11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6"/>
              </w:rPr>
              <w:t>Sale/Maturity</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3755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12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11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(Losses)</w:t>
            </w:r>
          </w:p>
        </w:tc>
        <w:tc>
          <w:tcPr>
            <w:tcW w:w="11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45" w:lineRule="exact"/>
        <w:rPr>
          <w:sz w:val="20"/>
          <w:szCs w:val="20"/>
          <w:color w:val="auto"/>
        </w:rPr>
      </w:pPr>
    </w:p>
    <w:p>
      <w:pPr>
        <w:sectPr>
          <w:pgSz w:w="11900" w:h="16838" w:orient="portrait"/>
          <w:cols w:equalWidth="0" w:num="2">
            <w:col w:w="7580" w:space="100"/>
            <w:col w:w="37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Sales and maturities of fixed maturity securities</w:t>
            </w: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for sale</w:t>
            </w:r>
          </w:p>
        </w:tc>
        <w:tc>
          <w:tcPr>
            <w:tcW w:w="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Sales and maturities of preferred securities</w:t>
            </w:r>
          </w:p>
        </w:tc>
        <w:tc>
          <w:tcPr>
            <w:tcW w:w="520" w:type="dxa"/>
            <w:vAlign w:val="bottom"/>
          </w:tcPr>
          <w:p>
            <w:pPr>
              <w:spacing w:after="0"/>
              <w:rPr>
                <w:sz w:val="21"/>
                <w:szCs w:val="21"/>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3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of equity securities</w:t>
            </w:r>
          </w:p>
        </w:tc>
        <w:tc>
          <w:tcPr>
            <w:tcW w:w="5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Valuation of equity securities</w:t>
            </w: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of preferred securities</w:t>
            </w:r>
          </w:p>
        </w:tc>
        <w:tc>
          <w:tcPr>
            <w:tcW w:w="5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Valuation of other long term investments</w:t>
            </w: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lease assets</w:t>
            </w:r>
          </w:p>
        </w:tc>
        <w:tc>
          <w:tcPr>
            <w:tcW w:w="5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Other realized gains and losses, net</w:t>
            </w: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3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Three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23495</wp:posOffset>
            </wp:positionV>
            <wp:extent cx="2332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3" w:lineRule="exact"/>
        <w:rPr>
          <w:sz w:val="20"/>
          <w:szCs w:val="20"/>
          <w:color w:val="auto"/>
        </w:rPr>
      </w:pPr>
    </w:p>
    <w:tbl>
      <w:tblPr>
        <w:tblLayout w:type="fixed"/>
        <w:tblInd w:w="3780" w:type="dxa"/>
        <w:tblCellMar>
          <w:top w:w="0" w:type="dxa"/>
          <w:left w:w="0" w:type="dxa"/>
          <w:bottom w:w="0" w:type="dxa"/>
          <w:right w:w="0" w:type="dxa"/>
        </w:tblCellMar>
      </w:tblPr>
      <w:tr>
        <w:trPr>
          <w:trHeight w:val="161"/>
        </w:trPr>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1020" w:type="dxa"/>
            <w:vAlign w:val="bottom"/>
          </w:tcPr>
          <w:p>
            <w:pPr>
              <w:jc w:val="center"/>
              <w:ind w:left="28"/>
              <w:spacing w:after="0"/>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9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0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88"/>
              </w:rPr>
              <w:t>Proceeds</w:t>
            </w:r>
          </w:p>
        </w:tc>
        <w:tc>
          <w:tcPr>
            <w:tcW w:w="0" w:type="dxa"/>
            <w:vAlign w:val="bottom"/>
          </w:tcPr>
          <w:p>
            <w:pPr>
              <w:spacing w:after="0"/>
              <w:rPr>
                <w:sz w:val="1"/>
                <w:szCs w:val="1"/>
                <w:color w:val="auto"/>
              </w:rPr>
            </w:pPr>
          </w:p>
        </w:tc>
      </w:tr>
      <w:tr>
        <w:trPr>
          <w:trHeight w:val="149"/>
        </w:trPr>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10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(Losses)</w:t>
            </w:r>
          </w:p>
        </w:tc>
        <w:tc>
          <w:tcPr>
            <w:tcW w:w="10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44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Net Realized</w:t>
            </w:r>
          </w:p>
        </w:tc>
        <w:tc>
          <w:tcPr>
            <w:tcW w:w="1100" w:type="dxa"/>
            <w:vAlign w:val="bottom"/>
          </w:tcPr>
          <w:p>
            <w:pPr>
              <w:jc w:val="center"/>
              <w:ind w:left="8"/>
              <w:spacing w:after="0"/>
              <w:rPr>
                <w:sz w:val="20"/>
                <w:szCs w:val="20"/>
                <w:color w:val="auto"/>
              </w:rPr>
            </w:pPr>
            <w:r>
              <w:rPr>
                <w:rFonts w:ascii="Arial" w:cs="Arial" w:eastAsia="Arial" w:hAnsi="Arial"/>
                <w:sz w:val="14"/>
                <w:szCs w:val="14"/>
                <w:b w:val="1"/>
                <w:bCs w:val="1"/>
                <w:color w:val="auto"/>
                <w:w w:val="87"/>
              </w:rPr>
              <w:t>Gross Proceeds</w:t>
            </w:r>
          </w:p>
        </w:tc>
      </w:tr>
      <w:tr>
        <w:trPr>
          <w:trHeight w:val="149"/>
        </w:trPr>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11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6"/>
              </w:rPr>
              <w:t>from</w:t>
            </w:r>
          </w:p>
        </w:tc>
      </w:tr>
      <w:tr>
        <w:trPr>
          <w:trHeight w:val="192"/>
        </w:trPr>
        <w:tc>
          <w:tcPr>
            <w:tcW w:w="8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Gains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(Losses)</w:t>
            </w:r>
          </w:p>
        </w:tc>
        <w:tc>
          <w:tcPr>
            <w:tcW w:w="11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8"/>
              </w:rPr>
              <w:t>Sale/Maturity</w:t>
            </w:r>
          </w:p>
        </w:tc>
      </w:tr>
    </w:tbl>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45" w:lineRule="exact"/>
        <w:rPr>
          <w:sz w:val="20"/>
          <w:szCs w:val="20"/>
          <w:color w:val="auto"/>
        </w:rPr>
      </w:pPr>
    </w:p>
    <w:p>
      <w:pPr>
        <w:sectPr>
          <w:pgSz w:w="11900" w:h="16838" w:orient="portrait"/>
          <w:cols w:equalWidth="0" w:num="2">
            <w:col w:w="7460" w:space="120"/>
            <w:col w:w="38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Sales and maturities of fixed maturity securities</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for sale</w:t>
            </w: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Sales and maturities of preferred securities</w:t>
            </w:r>
          </w:p>
        </w:tc>
        <w:tc>
          <w:tcPr>
            <w:tcW w:w="480" w:type="dxa"/>
            <w:vAlign w:val="bottom"/>
          </w:tcPr>
          <w:p>
            <w:pPr>
              <w:spacing w:after="0"/>
              <w:rPr>
                <w:sz w:val="21"/>
                <w:szCs w:val="21"/>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3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of equity securities</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Valuation of equity securities</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of preferred securities</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3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Pacific Union sale</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Other realized gains and losses, net</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3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4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with Related Party</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Included in equity securities as of September 30, 2019 and December 31, 2018 are 5,706,134 shares of Cannae common stock (NYSE: CNNE) which were purchased during the fourth quarter of 2017 in connection with the split-off of our former portfolio company investments to Cannae. The fair value of our related party investment based on quoted market prices is $157 million and $98 million as of September 30, 2019 and December 31, 2018,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Notes Payable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Notes payable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60" w:type="dxa"/>
            <w:vAlign w:val="bottom"/>
            <w:gridSpan w:val="4"/>
          </w:tcPr>
          <w:p>
            <w:pPr>
              <w:jc w:val="right"/>
              <w:ind w:right="1056"/>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4.50% Notes, net of discount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5.50% Notes, net of discount</w:t>
            </w:r>
          </w:p>
        </w:tc>
        <w:tc>
          <w:tcPr>
            <w:tcW w:w="20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398</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8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836</w:t>
            </w:r>
          </w:p>
        </w:tc>
      </w:tr>
      <w:tr>
        <w:trPr>
          <w:trHeight w:val="27"/>
        </w:trPr>
        <w:tc>
          <w:tcPr>
            <w:tcW w:w="8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September 30, 2019, the estimated fair value of our unsecured notes payable was approximately $913 million, which was $63 million higher than its carrying value, excluding $12 million of net unamortized debt issuance costs and discount. The fair values of our unsecured notes payable are based on established market prices for the securities on September 30, 2019 and are considered Level 2 financial liabilities.</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August 13, 2018, we completed an offering of $450 million in aggregate principal amount of 4.50% notes due August 2028 (the "4.50% Notes"), pursuant to Rule 144A and Regulation S under the Securities Act of 1933, as amended. The 4.50% Notes were priced at 99.252% of par to yield 4.594% annual interest. We pay interest on the 4.50% Notes semi-annually on the 15th of February and August, beginning February 15, 2019. The 4.50% Notes contain customary covenants and events of default for investment grade public debt, which primarily relate to failure to make principal or interest payments. On May 16, 2019, we completed an offering to exchange the 4.50% Notes for substantially identical notes registered pursuant to Rule 424 under the Securities Act of 1933 (the "4.50% Notes Exchange"). There were no material changes to the terms of the 4.50% Notes as a result of the 4.50% Notes Exchange and all holders of the 4.50% Notes accepted the offer to exchange.</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25, 2013, we entered into an agreement to amend and restate our existing $800 million Second Amended and Restated Credit Agreement (the “Existing Credit Agreement”), dated as of April 16, 2012 with Bank of America, N.A., as administrative agent and the other agents party thereto (the “Revolving Credit Facility”). On April 27, 2017, the Existing Credit Agreement was amended (the "Restated Credit Agreement").The material terms of the Restated Credit Agreement are set forth in our Annual Report</w:t>
      </w:r>
    </w:p>
    <w:p>
      <w:pPr>
        <w:sectPr>
          <w:pgSz w:w="11900" w:h="16838" w:orient="portrait"/>
          <w:cols w:equalWidth="0" w:num="1">
            <w:col w:w="11420"/>
          </w:cols>
          <w:pgMar w:left="240" w:top="121" w:right="239" w:bottom="1440" w:gutter="0" w:footer="0" w:header="0"/>
          <w:type w:val="continuous"/>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2018. As of September 30, 2019, there was no principal outstanding, $3 million of unamortized debt issuance costs, and $800 million of available borrowing capacity under the Revolving Credit Facility.</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28, 2012, we completed an offering of $400 million in aggregate principal amount of 5.50% notes due September 2022 (the "5.50% Notes"), pursuant to an effective registration statement previously filed with the Securities and Exchange Commission ("SEC"). The material terms of the 5.50% Notes are set forth in our Annual Report for the year ended December 31, 2018.</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20" w:type="dxa"/>
            <w:vAlign w:val="bottom"/>
          </w:tcPr>
          <w:p>
            <w:pPr>
              <w:ind w:left="300"/>
              <w:spacing w:after="0"/>
              <w:rPr>
                <w:sz w:val="20"/>
                <w:szCs w:val="20"/>
                <w:color w:val="auto"/>
              </w:rPr>
            </w:pPr>
            <w:r>
              <w:rPr>
                <w:rFonts w:ascii="Arial" w:cs="Arial" w:eastAsia="Arial" w:hAnsi="Arial"/>
                <w:sz w:val="18"/>
                <w:szCs w:val="18"/>
                <w:color w:val="auto"/>
              </w:rPr>
              <w:t>Gross principal maturities of notes payable at September 30, 2019 are as follows (in millions):</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10020" w:type="dxa"/>
            <w:vAlign w:val="bottom"/>
          </w:tcPr>
          <w:p>
            <w:pPr>
              <w:ind w:left="20"/>
              <w:spacing w:after="0"/>
              <w:rPr>
                <w:sz w:val="20"/>
                <w:szCs w:val="20"/>
                <w:color w:val="auto"/>
              </w:rPr>
            </w:pPr>
            <w:r>
              <w:rPr>
                <w:rFonts w:ascii="Arial" w:cs="Arial" w:eastAsia="Arial" w:hAnsi="Arial"/>
                <w:sz w:val="18"/>
                <w:szCs w:val="18"/>
                <w:color w:val="auto"/>
              </w:rPr>
              <w:t>2019 (remaining)</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37"/>
        </w:trPr>
        <w:tc>
          <w:tcPr>
            <w:tcW w:w="100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850</w:t>
            </w:r>
          </w:p>
        </w:tc>
      </w:tr>
      <w:tr>
        <w:trPr>
          <w:trHeight w:val="27"/>
        </w:trPr>
        <w:tc>
          <w:tcPr>
            <w:tcW w:w="100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0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13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$12 million and $11 million as of September 30, 2019 and December 31, 2018,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7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In a class action captioned, </w:t>
      </w:r>
      <w:r>
        <w:rPr>
          <w:rFonts w:ascii="Arial" w:cs="Arial" w:eastAsia="Arial" w:hAnsi="Arial"/>
          <w:sz w:val="16"/>
          <w:szCs w:val="16"/>
          <w:i w:val="1"/>
          <w:iCs w:val="1"/>
          <w:color w:val="auto"/>
        </w:rPr>
        <w:t>Patterson, et al. v. Fidelity National Title Insurance Company, et al.</w:t>
      </w:r>
      <w:r>
        <w:rPr>
          <w:rFonts w:ascii="Arial" w:cs="Arial" w:eastAsia="Arial" w:hAnsi="Arial"/>
          <w:sz w:val="16"/>
          <w:szCs w:val="16"/>
          <w:color w:val="auto"/>
        </w:rPr>
        <w:t>, Case No. GD 03-021176, originally filed on October 27, 2003, and pending in the Court of Common Pleas of Allegheny County, Pennsylvania, plaintiffs allege the named Company underwriters violated Pennsylvania’s Unfair Trade Practices and Consumer Protection Law (“UTPCPL”) by failing to provide premium discounts in accordance with filed rates in refinancing transactions. Contrary to rulings in similar federal court cases that considered the rate rule and agreed with the Company’s position, the court held that the rate rule should be interpreted such that an institutional mortgage in the public record is a “proxy” for prior title insurance entitling a consumer to a discount rate when refinancing when there is a mortgage of record within the number of years required by the rate rule. The rate rule requires sufficient evidence of a prior policy, and because not all institutional mortgages were insured, the Company’s position is that a recorded first mortgage alone does not constitute sufficient evidence of an earlier policy entitling consumers to a discounted rate. The court certified the class refusing to follow prior Pennsylvania Supreme Court and appellate court decisions holding that the UTPCPL requires proof of reliance, an individual issue that precludes certification. After notice to the class, plaintiffs moved for partial summary judgment on liability, and defendants moved for summary judgment. On June 27, 2018, the court entered an order granting plaintiffs’ motion for partial summary judgment on liability, and denying the Company’s motion. The court also determined that a multiplier of 1.5, not treble, should be applied to the amount of damages, if any, proven by class members at trial, and that Plaintiffs should bear the responsibility of identifying class members and calculating damages. The Company sought permission from the Pennsylvania Superior Court to appeal both the liability and damage multiplier issues; however, the petition was denied. The Company has filed a petition with the Pennsylvania Supreme Court requesting consideration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of the appeal on the merits, or in the alternative, an order directing the Pennsylvania Superior Court to grant interlocutory review. There has been no determination as to the size of the class. It is unknown whether plaintiffs will seek statutory or actual damages, or whether the judge will exercise discretion to award prejudgment interest or reasonable attorneys’ fees. Accordingly, damages are not reasonably estimable at this time. We will continue to vigorously defend this matter, and we do not believe the result will have a material adverse effect on our financial condition.</w:t>
      </w:r>
    </w:p>
    <w:p>
      <w:pPr>
        <w:spacing w:after="0" w:line="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Dividends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29, 2019, our Board of Directors declared cash dividends of $0.33 per share, payable on December 31, 2019, to FNF common shareholders of record as of December 17, 2019.</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September 30,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240" w:type="dxa"/>
            <w:vAlign w:val="bottom"/>
          </w:tcPr>
          <w:p>
            <w:pPr>
              <w:spacing w:after="0"/>
              <w:rPr>
                <w:sz w:val="13"/>
                <w:szCs w:val="13"/>
                <w:color w:val="auto"/>
              </w:rPr>
            </w:pPr>
          </w:p>
        </w:tc>
        <w:tc>
          <w:tcPr>
            <w:tcW w:w="78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96"/>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1,487</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653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693</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2,140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2,180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2,194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2,241</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313</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296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256</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9,305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10,419</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2,726</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September 30,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240" w:type="dxa"/>
            <w:vAlign w:val="bottom"/>
          </w:tcPr>
          <w:p>
            <w:pPr>
              <w:spacing w:after="0"/>
              <w:rPr>
                <w:sz w:val="12"/>
                <w:szCs w:val="12"/>
                <w:color w:val="auto"/>
              </w:rPr>
            </w:pPr>
          </w:p>
        </w:tc>
        <w:tc>
          <w:tcPr>
            <w:tcW w:w="78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96"/>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1,296</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567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695</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1,863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1,991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1,945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2,085</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287</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236</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(loss)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244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237</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9,371</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2,719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nine months ended September 30,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240" w:type="dxa"/>
            <w:vAlign w:val="bottom"/>
          </w:tcPr>
          <w:p>
            <w:pPr>
              <w:spacing w:after="0"/>
              <w:rPr>
                <w:sz w:val="13"/>
                <w:szCs w:val="13"/>
                <w:color w:val="auto"/>
              </w:rPr>
            </w:pPr>
          </w:p>
        </w:tc>
        <w:tc>
          <w:tcPr>
            <w:tcW w:w="78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96"/>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3,858</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1,747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1,892</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5,605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5,750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344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357</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5,949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6,107</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132</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1,068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930</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210</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720</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819</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732</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9,305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10,419</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2,726</w:t>
            </w:r>
          </w:p>
        </w:tc>
        <w:tc>
          <w:tcPr>
            <w:tcW w:w="0" w:type="dxa"/>
            <w:vAlign w:val="bottom"/>
          </w:tcPr>
          <w:p>
            <w:pPr>
              <w:spacing w:after="0"/>
              <w:rPr>
                <w:sz w:val="1"/>
                <w:szCs w:val="1"/>
                <w:color w:val="auto"/>
              </w:rPr>
            </w:pPr>
          </w:p>
        </w:tc>
      </w:tr>
      <w:tr>
        <w:trPr>
          <w:trHeight w:val="336"/>
        </w:trPr>
        <w:tc>
          <w:tcPr>
            <w:tcW w:w="8120" w:type="dxa"/>
            <w:vAlign w:val="bottom"/>
          </w:tcPr>
          <w:p>
            <w:pPr>
              <w:ind w:left="340"/>
              <w:spacing w:after="0"/>
              <w:rPr>
                <w:sz w:val="20"/>
                <w:szCs w:val="20"/>
                <w:color w:val="auto"/>
              </w:rPr>
            </w:pPr>
            <w:r>
              <w:rPr>
                <w:rFonts w:ascii="Arial" w:cs="Arial" w:eastAsia="Arial" w:hAnsi="Arial"/>
                <w:sz w:val="18"/>
                <w:szCs w:val="18"/>
                <w:color w:val="auto"/>
              </w:rPr>
              <w:t>As of and for the nine months ended September 30, 2018:</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240" w:type="dxa"/>
            <w:vAlign w:val="bottom"/>
          </w:tcPr>
          <w:p>
            <w:pPr>
              <w:spacing w:after="0"/>
              <w:rPr>
                <w:sz w:val="24"/>
                <w:szCs w:val="24"/>
                <w:color w:val="auto"/>
              </w:rPr>
            </w:pPr>
          </w:p>
        </w:tc>
        <w:tc>
          <w:tcPr>
            <w:tcW w:w="78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color w:val="auto"/>
                <w:w w:val="96"/>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3,663</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1,683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395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2,078</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5,346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5,741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160</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5,493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5,901</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138</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689</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104</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585</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640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589</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9,371</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2,719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90" w:lineRule="exact"/>
        <w:rPr>
          <w:sz w:val="20"/>
          <w:szCs w:val="20"/>
          <w:color w:val="auto"/>
        </w:rPr>
      </w:pPr>
    </w:p>
    <w:p>
      <w:pPr>
        <w:jc w:val="both"/>
        <w:ind w:left="660" w:hanging="409"/>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jc w:val="both"/>
        <w:ind w:left="660" w:hanging="409"/>
        <w:spacing w:after="0" w:line="30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Corporate and Other. </w:t>
      </w:r>
      <w:r>
        <w:rPr>
          <w:rFonts w:ascii="Arial" w:cs="Arial" w:eastAsia="Arial" w:hAnsi="Arial"/>
          <w:sz w:val="16"/>
          <w:szCs w:val="16"/>
          <w:color w:val="auto"/>
        </w:rPr>
        <w:t>This segment consists of the operations of the parent holding company, our real estate technology subsidiaries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remaining real estate brokerage businesses. This segment includes the results of operations of Pacific Union International, Inc. ("Pacific Union") through September 24, 2018, the date we closed on the sale of all of our equity interest in, and notes outstanding from, Pacific Union. This segment also includes certain other unallocated corporate overhead expenses and eliminations of revenues and expenses between it and our Title segment.</w:t>
      </w:r>
    </w:p>
    <w:p>
      <w:pPr>
        <w:sectPr>
          <w:pgSz w:w="11900" w:h="16838" w:orient="portrait"/>
          <w:cols w:equalWidth="0" w:num="1">
            <w:col w:w="11420"/>
          </w:cols>
          <w:pgMar w:left="240" w:top="121"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Supplemental Cash Flow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supplemental cash flow information is provided with respect to certain cash payment and non-cash investing and financing activities.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620" w:type="dxa"/>
            <w:vAlign w:val="bottom"/>
            <w:gridSpan w:val="5"/>
          </w:tcPr>
          <w:p>
            <w:pPr>
              <w:jc w:val="right"/>
              <w:ind w:right="152"/>
              <w:spacing w:after="0"/>
              <w:rPr>
                <w:sz w:val="20"/>
                <w:szCs w:val="20"/>
                <w:color w:val="auto"/>
              </w:rPr>
            </w:pPr>
            <w:r>
              <w:rPr>
                <w:rFonts w:ascii="Arial" w:cs="Arial" w:eastAsia="Arial" w:hAnsi="Arial"/>
                <w:sz w:val="14"/>
                <w:szCs w:val="14"/>
                <w:b w:val="1"/>
                <w:bCs w:val="1"/>
                <w:color w:val="auto"/>
              </w:rPr>
              <w:t>Nine months ended September 30,</w:t>
            </w:r>
          </w:p>
        </w:tc>
      </w:tr>
      <w:tr>
        <w:trPr>
          <w:trHeight w:val="276"/>
        </w:trPr>
        <w:tc>
          <w:tcPr>
            <w:tcW w:w="8800" w:type="dxa"/>
            <w:vAlign w:val="bottom"/>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for:</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127</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820" w:type="dxa"/>
            <w:vAlign w:val="bottom"/>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Receivable for non-cash earnout proceeds for the Pacific Union Sale</w:t>
            </w: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accrual for unsettled repurchases of formerly outstanding debt instruments</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Lease liabilities recognized in exchange for lease right-of-use assets</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Remeasurement of lease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891"/>
        </w:trPr>
        <w:tc>
          <w:tcPr>
            <w:tcW w:w="8800" w:type="dxa"/>
            <w:vAlign w:val="bottom"/>
          </w:tcPr>
          <w:p>
            <w:pPr>
              <w:ind w:left="5620"/>
              <w:spacing w:after="0"/>
              <w:rPr>
                <w:sz w:val="20"/>
                <w:szCs w:val="20"/>
                <w:color w:val="auto"/>
              </w:rPr>
            </w:pPr>
            <w:r>
              <w:rPr>
                <w:rFonts w:ascii="Arial" w:cs="Arial" w:eastAsia="Arial" w:hAnsi="Arial"/>
                <w:sz w:val="18"/>
                <w:szCs w:val="18"/>
                <w:color w:val="auto"/>
              </w:rPr>
              <w:t>20</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Revenue Recognition</w:t>
      </w:r>
    </w:p>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On January 1, 2018, we adopted Accounting Standard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by applying the modified retrospective method. The adoption of ASC Topic 606 did not have an impact on the recognition of our primary sources of revenue, direct and agency title premiums, as those revenue streams are subject to the accounting and reporting requirements under ASC Topic 944. Timing of recognition of substantially all of our remaining revenue was also not impacted and we therefore did not record any cumulative effect adjustment to opening equity.</w:t>
      </w:r>
    </w:p>
    <w:p>
      <w:pPr>
        <w:spacing w:after="0" w:line="117" w:lineRule="exact"/>
        <w:rPr>
          <w:sz w:val="20"/>
          <w:szCs w:val="20"/>
          <w:color w:val="auto"/>
        </w:rPr>
      </w:pPr>
    </w:p>
    <w:p>
      <w:pPr>
        <w:jc w:val="right"/>
        <w:ind w:right="9400"/>
        <w:spacing w:after="0"/>
        <w:rPr>
          <w:sz w:val="20"/>
          <w:szCs w:val="20"/>
          <w:color w:val="auto"/>
        </w:rPr>
      </w:pPr>
      <w:r>
        <w:rPr>
          <w:rFonts w:ascii="Arial" w:cs="Arial" w:eastAsia="Arial" w:hAnsi="Arial"/>
          <w:sz w:val="15"/>
          <w:szCs w:val="15"/>
          <w:b w:val="1"/>
          <w:bCs w:val="1"/>
          <w:i w:val="1"/>
          <w:iCs w:val="1"/>
          <w:color w:val="auto"/>
        </w:rPr>
        <w:t>Disaggregation of Revenue</w:t>
      </w:r>
    </w:p>
    <w:p>
      <w:pPr>
        <w:spacing w:after="0" w:line="206" w:lineRule="exact"/>
        <w:rPr>
          <w:sz w:val="20"/>
          <w:szCs w:val="20"/>
          <w:color w:val="auto"/>
        </w:rPr>
      </w:pPr>
    </w:p>
    <w:p>
      <w:pPr>
        <w:jc w:val="right"/>
        <w:ind w:right="9340"/>
        <w:spacing w:after="0"/>
        <w:rPr>
          <w:sz w:val="20"/>
          <w:szCs w:val="20"/>
          <w:color w:val="auto"/>
        </w:rPr>
      </w:pPr>
      <w:r>
        <w:rPr>
          <w:rFonts w:ascii="Arial" w:cs="Arial" w:eastAsia="Arial" w:hAnsi="Arial"/>
          <w:sz w:val="18"/>
          <w:szCs w:val="18"/>
          <w:color w:val="auto"/>
        </w:rPr>
        <w:t>Our revenue consists of:</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4"/>
                <w:szCs w:val="14"/>
                <w:color w:val="auto"/>
              </w:rPr>
            </w:pPr>
          </w:p>
        </w:tc>
        <w:tc>
          <w:tcPr>
            <w:tcW w:w="15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5"/>
              </w:rPr>
              <w:t>Nine months ended</w:t>
            </w:r>
          </w:p>
        </w:tc>
      </w:t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5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2018</w:t>
            </w:r>
          </w:p>
        </w:tc>
      </w:tr>
      <w:tr>
        <w:trPr>
          <w:trHeight w:val="250"/>
        </w:trPr>
        <w:tc>
          <w:tcPr>
            <w:tcW w:w="25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Revenue Stream</w:t>
            </w:r>
          </w:p>
        </w:tc>
        <w:tc>
          <w:tcPr>
            <w:tcW w:w="120" w:type="dxa"/>
            <w:vAlign w:val="bottom"/>
          </w:tcPr>
          <w:p>
            <w:pPr>
              <w:spacing w:after="0"/>
              <w:rPr>
                <w:sz w:val="21"/>
                <w:szCs w:val="21"/>
                <w:color w:val="auto"/>
              </w:rPr>
            </w:pPr>
          </w:p>
        </w:tc>
        <w:tc>
          <w:tcPr>
            <w:tcW w:w="29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Income Statement Classification</w:t>
            </w:r>
          </w:p>
        </w:tc>
        <w:tc>
          <w:tcPr>
            <w:tcW w:w="120" w:type="dxa"/>
            <w:vAlign w:val="bottom"/>
          </w:tcPr>
          <w:p>
            <w:pPr>
              <w:spacing w:after="0"/>
              <w:rPr>
                <w:sz w:val="21"/>
                <w:szCs w:val="21"/>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Total Revenue</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Revenue from insurance contracts:</w:t>
            </w: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5"/>
          </w:tcPr>
          <w:p>
            <w:pPr>
              <w:jc w:val="center"/>
              <w:ind w:right="3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6"/>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Direct title insurance premiums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Direct title insurance premiums</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Title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1,645</w:t>
            </w:r>
          </w:p>
        </w:tc>
      </w:tr>
      <w:tr>
        <w:trPr>
          <w:trHeight w:val="237"/>
        </w:trPr>
        <w:tc>
          <w:tcPr>
            <w:tcW w:w="2640" w:type="dxa"/>
            <w:vAlign w:val="bottom"/>
            <w:gridSpan w:val="2"/>
          </w:tcPr>
          <w:p>
            <w:pPr>
              <w:ind w:left="180"/>
              <w:spacing w:after="0"/>
              <w:rPr>
                <w:sz w:val="20"/>
                <w:szCs w:val="20"/>
                <w:color w:val="auto"/>
              </w:rPr>
            </w:pPr>
            <w:r>
              <w:rPr>
                <w:rFonts w:ascii="Arial" w:cs="Arial" w:eastAsia="Arial" w:hAnsi="Arial"/>
                <w:sz w:val="16"/>
                <w:szCs w:val="16"/>
                <w:color w:val="auto"/>
              </w:rPr>
              <w:t>Agency title insurance premiums</w:t>
            </w:r>
          </w:p>
        </w:tc>
        <w:tc>
          <w:tcPr>
            <w:tcW w:w="3100" w:type="dxa"/>
            <w:vAlign w:val="bottom"/>
            <w:gridSpan w:val="2"/>
          </w:tcPr>
          <w:p>
            <w:pPr>
              <w:ind w:left="20"/>
              <w:spacing w:after="0"/>
              <w:rPr>
                <w:sz w:val="20"/>
                <w:szCs w:val="20"/>
                <w:color w:val="auto"/>
              </w:rPr>
            </w:pPr>
            <w:r>
              <w:rPr>
                <w:rFonts w:ascii="Arial" w:cs="Arial" w:eastAsia="Arial" w:hAnsi="Arial"/>
                <w:sz w:val="16"/>
                <w:szCs w:val="16"/>
                <w:color w:val="auto"/>
              </w:rPr>
              <w:t>Agency title insurance premiums</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Title</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827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2,133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2,018</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Home warranty</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Title</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r>
      <w:tr>
        <w:trPr>
          <w:trHeight w:val="200"/>
        </w:trPr>
        <w:tc>
          <w:tcPr>
            <w:tcW w:w="2640" w:type="dxa"/>
            <w:vAlign w:val="bottom"/>
            <w:gridSpan w:val="2"/>
          </w:tcPr>
          <w:p>
            <w:pPr>
              <w:ind w:left="280"/>
              <w:spacing w:after="0"/>
              <w:rPr>
                <w:sz w:val="20"/>
                <w:szCs w:val="20"/>
                <w:color w:val="auto"/>
              </w:rPr>
            </w:pPr>
            <w:r>
              <w:rPr>
                <w:rFonts w:ascii="Arial" w:cs="Arial" w:eastAsia="Arial" w:hAnsi="Arial"/>
                <w:sz w:val="16"/>
                <w:szCs w:val="16"/>
                <w:color w:val="auto"/>
              </w:rPr>
              <w:t>Total revenue from insurance</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06"/>
        </w:trPr>
        <w:tc>
          <w:tcPr>
            <w:tcW w:w="2640" w:type="dxa"/>
            <w:vAlign w:val="bottom"/>
            <w:gridSpan w:val="2"/>
          </w:tcPr>
          <w:p>
            <w:pPr>
              <w:ind w:left="280"/>
              <w:spacing w:after="0"/>
              <w:rPr>
                <w:sz w:val="20"/>
                <w:szCs w:val="20"/>
                <w:color w:val="auto"/>
              </w:rPr>
            </w:pPr>
            <w:r>
              <w:rPr>
                <w:rFonts w:ascii="Arial" w:cs="Arial" w:eastAsia="Arial" w:hAnsi="Arial"/>
                <w:sz w:val="16"/>
                <w:szCs w:val="16"/>
                <w:color w:val="auto"/>
              </w:rPr>
              <w:t>contracts</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1,532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1,342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3,990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3,800</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 from contracts with</w:t>
            </w:r>
          </w:p>
        </w:tc>
        <w:tc>
          <w:tcPr>
            <w:tcW w:w="2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customers:</w:t>
            </w:r>
          </w:p>
        </w:tc>
        <w:tc>
          <w:tcPr>
            <w:tcW w:w="2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r>
      <w:tr>
        <w:trPr>
          <w:trHeight w:val="237"/>
        </w:trPr>
        <w:tc>
          <w:tcPr>
            <w:tcW w:w="2640" w:type="dxa"/>
            <w:vAlign w:val="bottom"/>
            <w:gridSpan w:val="2"/>
          </w:tcPr>
          <w:p>
            <w:pPr>
              <w:ind w:left="180"/>
              <w:spacing w:after="0"/>
              <w:rPr>
                <w:sz w:val="20"/>
                <w:szCs w:val="20"/>
                <w:color w:val="auto"/>
              </w:rPr>
            </w:pPr>
            <w:r>
              <w:rPr>
                <w:rFonts w:ascii="Arial" w:cs="Arial" w:eastAsia="Arial" w:hAnsi="Arial"/>
                <w:sz w:val="16"/>
                <w:szCs w:val="16"/>
                <w:color w:val="auto"/>
              </w:rPr>
              <w:t>Escrow fees</w:t>
            </w:r>
          </w:p>
        </w:tc>
        <w:tc>
          <w:tcPr>
            <w:tcW w:w="310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Title</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637</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w w:val="99"/>
              </w:rPr>
              <w:t>Other title-related fees and income</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Title</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456</w:t>
            </w:r>
          </w:p>
        </w:tc>
      </w:tr>
      <w:tr>
        <w:trPr>
          <w:trHeight w:val="220"/>
        </w:trPr>
        <w:tc>
          <w:tcPr>
            <w:tcW w:w="2640" w:type="dxa"/>
            <w:vAlign w:val="bottom"/>
            <w:gridSpan w:val="2"/>
          </w:tcPr>
          <w:p>
            <w:pPr>
              <w:ind w:left="180"/>
              <w:spacing w:after="0"/>
              <w:rPr>
                <w:sz w:val="20"/>
                <w:szCs w:val="20"/>
                <w:color w:val="auto"/>
              </w:rPr>
            </w:pPr>
            <w:r>
              <w:rPr>
                <w:rFonts w:ascii="Arial" w:cs="Arial" w:eastAsia="Arial" w:hAnsi="Arial"/>
                <w:sz w:val="16"/>
                <w:szCs w:val="16"/>
                <w:color w:val="auto"/>
              </w:rPr>
              <w:t>ServiceLink, excluding title</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3"/>
        </w:trPr>
        <w:tc>
          <w:tcPr>
            <w:tcW w:w="2640" w:type="dxa"/>
            <w:vAlign w:val="bottom"/>
            <w:gridSpan w:val="2"/>
          </w:tcPr>
          <w:p>
            <w:pPr>
              <w:ind w:left="180"/>
              <w:spacing w:after="0"/>
              <w:rPr>
                <w:sz w:val="20"/>
                <w:szCs w:val="20"/>
                <w:color w:val="auto"/>
              </w:rPr>
            </w:pPr>
            <w:r>
              <w:rPr>
                <w:rFonts w:ascii="Arial" w:cs="Arial" w:eastAsia="Arial" w:hAnsi="Arial"/>
                <w:sz w:val="16"/>
                <w:szCs w:val="16"/>
                <w:color w:val="auto"/>
              </w:rPr>
              <w:t>premiums, escrow fees, and</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6"/>
        </w:trPr>
        <w:tc>
          <w:tcPr>
            <w:tcW w:w="2640" w:type="dxa"/>
            <w:vAlign w:val="bottom"/>
            <w:gridSpan w:val="2"/>
          </w:tcPr>
          <w:p>
            <w:pPr>
              <w:ind w:left="180"/>
              <w:spacing w:after="0"/>
              <w:rPr>
                <w:sz w:val="20"/>
                <w:szCs w:val="20"/>
                <w:color w:val="auto"/>
              </w:rPr>
            </w:pPr>
            <w:r>
              <w:rPr>
                <w:rFonts w:ascii="Arial" w:cs="Arial" w:eastAsia="Arial" w:hAnsi="Arial"/>
                <w:sz w:val="16"/>
                <w:szCs w:val="16"/>
                <w:color w:val="auto"/>
              </w:rPr>
              <w:t>subservicing fees</w:t>
            </w:r>
          </w:p>
        </w:tc>
        <w:tc>
          <w:tcPr>
            <w:tcW w:w="310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Title</w:t>
            </w: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293</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Real estate technology</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Corporate and other</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r>
      <w:tr>
        <w:trPr>
          <w:trHeight w:val="237"/>
        </w:trPr>
        <w:tc>
          <w:tcPr>
            <w:tcW w:w="2640" w:type="dxa"/>
            <w:vAlign w:val="bottom"/>
            <w:gridSpan w:val="2"/>
          </w:tcPr>
          <w:p>
            <w:pPr>
              <w:ind w:left="180"/>
              <w:spacing w:after="0"/>
              <w:rPr>
                <w:sz w:val="20"/>
                <w:szCs w:val="20"/>
                <w:color w:val="auto"/>
              </w:rPr>
            </w:pPr>
            <w:r>
              <w:rPr>
                <w:rFonts w:ascii="Arial" w:cs="Arial" w:eastAsia="Arial" w:hAnsi="Arial"/>
                <w:sz w:val="16"/>
                <w:szCs w:val="16"/>
                <w:color w:val="auto"/>
              </w:rPr>
              <w:t>Real estate brokerage</w:t>
            </w:r>
          </w:p>
        </w:tc>
        <w:tc>
          <w:tcPr>
            <w:tcW w:w="310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Corporate and other</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305</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Corporate and other</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00"/>
        </w:trPr>
        <w:tc>
          <w:tcPr>
            <w:tcW w:w="2640" w:type="dxa"/>
            <w:vAlign w:val="bottom"/>
            <w:gridSpan w:val="2"/>
          </w:tcPr>
          <w:p>
            <w:pPr>
              <w:ind w:left="280"/>
              <w:spacing w:after="0"/>
              <w:rPr>
                <w:sz w:val="20"/>
                <w:szCs w:val="20"/>
                <w:color w:val="auto"/>
              </w:rPr>
            </w:pPr>
            <w:r>
              <w:rPr>
                <w:rFonts w:ascii="Arial" w:cs="Arial" w:eastAsia="Arial" w:hAnsi="Arial"/>
                <w:sz w:val="16"/>
                <w:szCs w:val="16"/>
                <w:color w:val="auto"/>
                <w:w w:val="98"/>
              </w:rPr>
              <w:t>Total revenue from contracts with</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06"/>
        </w:trPr>
        <w:tc>
          <w:tcPr>
            <w:tcW w:w="2640" w:type="dxa"/>
            <w:vAlign w:val="bottom"/>
            <w:gridSpan w:val="2"/>
          </w:tcPr>
          <w:p>
            <w:pPr>
              <w:ind w:left="280"/>
              <w:spacing w:after="0"/>
              <w:rPr>
                <w:sz w:val="20"/>
                <w:szCs w:val="20"/>
                <w:color w:val="auto"/>
              </w:rPr>
            </w:pPr>
            <w:r>
              <w:rPr>
                <w:rFonts w:ascii="Arial" w:cs="Arial" w:eastAsia="Arial" w:hAnsi="Arial"/>
                <w:sz w:val="16"/>
                <w:szCs w:val="16"/>
                <w:color w:val="auto"/>
              </w:rPr>
              <w:t>customers</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1,556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1,781</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2640" w:type="dxa"/>
            <w:vAlign w:val="bottom"/>
            <w:gridSpan w:val="2"/>
          </w:tcPr>
          <w:p>
            <w:pPr>
              <w:ind w:left="180"/>
              <w:spacing w:after="0"/>
              <w:rPr>
                <w:sz w:val="20"/>
                <w:szCs w:val="20"/>
                <w:color w:val="auto"/>
              </w:rPr>
            </w:pPr>
            <w:r>
              <w:rPr>
                <w:rFonts w:ascii="Arial" w:cs="Arial" w:eastAsia="Arial" w:hAnsi="Arial"/>
                <w:sz w:val="16"/>
                <w:szCs w:val="16"/>
                <w:color w:val="auto"/>
              </w:rPr>
              <w:t>Loan subservicing revenue</w:t>
            </w:r>
          </w:p>
        </w:tc>
        <w:tc>
          <w:tcPr>
            <w:tcW w:w="310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Title</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160</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and investment income</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and investment income</w:t>
            </w:r>
          </w:p>
        </w:tc>
        <w:tc>
          <w:tcPr>
            <w:tcW w:w="2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r>
      <w:tr>
        <w:trPr>
          <w:trHeight w:val="237"/>
        </w:trPr>
        <w:tc>
          <w:tcPr>
            <w:tcW w:w="2640" w:type="dxa"/>
            <w:vAlign w:val="bottom"/>
            <w:gridSpan w:val="2"/>
          </w:tcPr>
          <w:p>
            <w:pPr>
              <w:ind w:left="180"/>
              <w:spacing w:after="0"/>
              <w:rPr>
                <w:sz w:val="20"/>
                <w:szCs w:val="20"/>
                <w:color w:val="auto"/>
              </w:rPr>
            </w:pPr>
            <w:r>
              <w:rPr>
                <w:rFonts w:ascii="Arial" w:cs="Arial" w:eastAsia="Arial" w:hAnsi="Arial"/>
                <w:sz w:val="16"/>
                <w:szCs w:val="16"/>
                <w:color w:val="auto"/>
              </w:rPr>
              <w:t>Realized gains and losses, net</w:t>
            </w:r>
          </w:p>
        </w:tc>
        <w:tc>
          <w:tcPr>
            <w:tcW w:w="3100" w:type="dxa"/>
            <w:vAlign w:val="bottom"/>
            <w:gridSpan w:val="2"/>
          </w:tcPr>
          <w:p>
            <w:pPr>
              <w:ind w:left="20"/>
              <w:spacing w:after="0"/>
              <w:rPr>
                <w:sz w:val="20"/>
                <w:szCs w:val="20"/>
                <w:color w:val="auto"/>
              </w:rPr>
            </w:pPr>
            <w:r>
              <w:rPr>
                <w:rFonts w:ascii="Arial" w:cs="Arial" w:eastAsia="Arial" w:hAnsi="Arial"/>
                <w:sz w:val="16"/>
                <w:szCs w:val="16"/>
                <w:color w:val="auto"/>
              </w:rPr>
              <w:t>Realized gains and losses, net</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35</w:t>
            </w: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5,901</w:t>
            </w: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1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Real estate brokerage revenues are primarily comprised of commission revenues earned in association with the facilitation of real estate transactions and are recognized upon closing of the sale of the underlying real estate transaction.</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investment income consists primarily of interest payments received on fixed maturity security holdings and dividends received on equity and preferred security holdings.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September 30, 2019</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5"/>
              </w:rPr>
              <w:t>December 31, 2018</w:t>
            </w:r>
          </w:p>
        </w:tc>
      </w:tr>
      <w:tr>
        <w:trPr>
          <w:trHeight w:val="190"/>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3"/>
          </w:tcPr>
          <w:p>
            <w:pPr>
              <w:jc w:val="right"/>
              <w:ind w:right="1296"/>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7900" w:type="dxa"/>
            <w:vAlign w:val="bottom"/>
          </w:tcPr>
          <w:p>
            <w:pPr>
              <w:ind w:left="40"/>
              <w:spacing w:after="0"/>
              <w:rPr>
                <w:sz w:val="20"/>
                <w:szCs w:val="20"/>
                <w:color w:val="auto"/>
              </w:rPr>
            </w:pPr>
            <w:r>
              <w:rPr>
                <w:rFonts w:ascii="Arial" w:cs="Arial" w:eastAsia="Arial" w:hAnsi="Arial"/>
                <w:sz w:val="18"/>
                <w:szCs w:val="18"/>
                <w:color w:val="auto"/>
              </w:rPr>
              <w:t>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9"/>
              <w:spacing w:after="0"/>
              <w:rPr>
                <w:sz w:val="20"/>
                <w:szCs w:val="20"/>
                <w:color w:val="auto"/>
              </w:rPr>
            </w:pPr>
            <w:r>
              <w:rPr>
                <w:rFonts w:ascii="Arial" w:cs="Arial" w:eastAsia="Arial" w:hAnsi="Arial"/>
                <w:sz w:val="18"/>
                <w:szCs w:val="18"/>
                <w:color w:val="auto"/>
              </w:rPr>
              <w:t>362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284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 (contract liabilities)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105</w:t>
            </w:r>
          </w:p>
        </w:tc>
      </w:tr>
      <w:tr>
        <w:trPr>
          <w:trHeight w:val="27"/>
        </w:trPr>
        <w:tc>
          <w:tcPr>
            <w:tcW w:w="7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Condensed Consolidated Balance Sheets. During the three and nine months ended September 30, 2019, we recognized $44 million and $97 million of revenue, respectively, which was included in deferred revenue at the beginning of the period.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Leases</w:t>
      </w:r>
    </w:p>
    <w:p>
      <w:pPr>
        <w:spacing w:after="0" w:line="202"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 xml:space="preserve">We adopted ASC Topic 842 on January 1, 2019 using a modified retrospective approach. Prior year periods continue to be reported under ASC Topic 840. See Note A </w:t>
      </w:r>
      <w:r>
        <w:rPr>
          <w:rFonts w:ascii="Arial" w:cs="Arial" w:eastAsia="Arial" w:hAnsi="Arial"/>
          <w:sz w:val="16"/>
          <w:szCs w:val="16"/>
          <w:i w:val="1"/>
          <w:iCs w:val="1"/>
          <w:color w:val="auto"/>
        </w:rPr>
        <w:t>Basis of Financial Statements</w:t>
      </w:r>
      <w:r>
        <w:rPr>
          <w:rFonts w:ascii="Arial" w:cs="Arial" w:eastAsia="Arial" w:hAnsi="Arial"/>
          <w:sz w:val="16"/>
          <w:szCs w:val="16"/>
          <w:color w:val="auto"/>
        </w:rPr>
        <w:t xml:space="preserve"> for further discussion of the current period effects of adoption of ASU No. 2016-02 </w:t>
      </w:r>
      <w:r>
        <w:rPr>
          <w:rFonts w:ascii="Arial" w:cs="Arial" w:eastAsia="Arial" w:hAnsi="Arial"/>
          <w:sz w:val="16"/>
          <w:szCs w:val="16"/>
          <w:i w:val="1"/>
          <w:iCs w:val="1"/>
          <w:color w:val="auto"/>
        </w:rPr>
        <w:t>Leases (Topic 842).</w:t>
      </w:r>
    </w:p>
    <w:p>
      <w:pPr>
        <w:spacing w:after="0" w:line="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Right-of-use assets and lease liabilities related to operating leases under ASC Topic 842 are recorded when we are party to a contract which conveys the right for the Company to control an asset for a specified period of time. Substantially all of our operating lease arrangements relate to rented office space and real estate for our title operations. We generally are not a party to any material contracts considered finance leases. Right-of-use assets and lease liabilities under ASC Topic 842 are recorded as Lease assets and Lease liabilities, respectively, on the Condensed Consolidated Balance Sheet as of September 30, 2019.</w:t>
      </w:r>
    </w:p>
    <w:p>
      <w:pPr>
        <w:spacing w:after="0" w:line="16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operating leases range in term from one to ten years. As of September 30, 2019, the weighted-average remaining lease term of our operating leases was 4.2 years.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lease agreements do not contain material variable lease payments, buyout options, residual value guarantees or restrictive covenants.</w:t>
      </w:r>
    </w:p>
    <w:p>
      <w:pPr>
        <w:sectPr>
          <w:pgSz w:w="11900" w:h="16838" w:orient="portrait"/>
          <w:cols w:equalWidth="0" w:num="1">
            <w:col w:w="11420"/>
          </w:cols>
          <w:pgMar w:left="240" w:top="12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Most of our leases include one or more options to renew, with renewal terms that can extend the lease term by varying amounts. The exercise of lease renewal options is at our sole discretion. We do not include options to renew in our measurement of right-of-use assets and lease liabilities as they are not considered reasonably assured of exercise.</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lease liability is determined by discounting future lease payments using a discount rate based on the Company's incremental borrowing rate for similar collateralized borrowing. The discount rate is calculated as an average of the current yield on our unsecured notes payable and 140 basis points in excess of the current five year LIBOR swap rate. As of September 30, 2019 the weighted-average discount rate used to determine our operating lease liability was 4.33%.</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separate lease components from non-lease components for any of our right-of-use assets.</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lease costs are included in Other operating expenses on the Condensed Consolidated Statements of Income and were $36 million and $109 million for the three and nine-month periods ended September 30, 2019, respectively. We do not have any material short term lease costs, variable lease costs, or sublease income.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payments under operating lease arrangements accounted for under ASC Topic 842 as of September 30, 2019 are as follows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 (remaining)</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136</w:t>
            </w:r>
          </w:p>
        </w:tc>
      </w:tr>
      <w:tr>
        <w:trPr>
          <w:trHeight w:val="27"/>
        </w:trPr>
        <w:tc>
          <w:tcPr>
            <w:tcW w:w="10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81</w:t>
            </w:r>
          </w:p>
        </w:tc>
      </w:tr>
      <w:tr>
        <w:trPr>
          <w:trHeight w:val="27"/>
        </w:trPr>
        <w:tc>
          <w:tcPr>
            <w:tcW w:w="10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
        </w:trPr>
        <w:tc>
          <w:tcPr>
            <w:tcW w:w="10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payments, undiscounted</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r>
      <w:tr>
        <w:trPr>
          <w:trHeight w:val="237"/>
        </w:trPr>
        <w:tc>
          <w:tcPr>
            <w:tcW w:w="10160" w:type="dxa"/>
            <w:vAlign w:val="bottom"/>
          </w:tcPr>
          <w:p>
            <w:pPr>
              <w:ind w:left="40"/>
              <w:spacing w:after="0"/>
              <w:rPr>
                <w:sz w:val="20"/>
                <w:szCs w:val="20"/>
                <w:color w:val="auto"/>
              </w:rPr>
            </w:pPr>
            <w:r>
              <w:rPr>
                <w:rFonts w:ascii="Arial" w:cs="Arial" w:eastAsia="Arial" w:hAnsi="Arial"/>
                <w:sz w:val="18"/>
                <w:szCs w:val="18"/>
                <w:color w:val="auto"/>
              </w:rPr>
              <w:t>Less: present value discount</w:t>
            </w:r>
          </w:p>
        </w:tc>
        <w:tc>
          <w:tcPr>
            <w:tcW w:w="4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r>
      <w:tr>
        <w:trPr>
          <w:trHeight w:val="27"/>
        </w:trPr>
        <w:tc>
          <w:tcPr>
            <w:tcW w:w="10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liability, at present value</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w:t>
            </w:r>
          </w:p>
        </w:tc>
      </w:tr>
      <w:tr>
        <w:trPr>
          <w:trHeight w:val="20"/>
        </w:trPr>
        <w:tc>
          <w:tcPr>
            <w:tcW w:w="10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payments under operating lease arrangements accounted for under ASC Topic 840 as of December 31, 2018 are as follows (in millions):</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260" w:type="dxa"/>
            <w:vAlign w:val="bottom"/>
          </w:tcPr>
          <w:p>
            <w:pPr>
              <w:ind w:left="20"/>
              <w:spacing w:after="0"/>
              <w:rPr>
                <w:sz w:val="20"/>
                <w:szCs w:val="20"/>
                <w:color w:val="auto"/>
              </w:rPr>
            </w:pPr>
            <w:r>
              <w:rPr>
                <w:rFonts w:ascii="Arial" w:cs="Arial" w:eastAsia="Arial" w:hAnsi="Arial"/>
                <w:sz w:val="18"/>
                <w:szCs w:val="18"/>
                <w:color w:val="auto"/>
              </w:rPr>
              <w:t>2019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10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10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10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57"/>
        </w:trPr>
        <w:tc>
          <w:tcPr>
            <w:tcW w:w="10260" w:type="dxa"/>
            <w:vAlign w:val="bottom"/>
          </w:tcPr>
          <w:p>
            <w:pPr>
              <w:ind w:left="20"/>
              <w:spacing w:after="0"/>
              <w:rPr>
                <w:sz w:val="20"/>
                <w:szCs w:val="20"/>
                <w:color w:val="auto"/>
              </w:rPr>
            </w:pPr>
            <w:r>
              <w:rPr>
                <w:rFonts w:ascii="Arial" w:cs="Arial" w:eastAsia="Arial" w:hAnsi="Arial"/>
                <w:sz w:val="18"/>
                <w:szCs w:val="18"/>
                <w:color w:val="auto"/>
              </w:rPr>
              <w:t>Total future minimum operating lease payments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496</w:t>
            </w:r>
          </w:p>
        </w:tc>
      </w:tr>
      <w:tr>
        <w:trPr>
          <w:trHeight w:val="20"/>
        </w:trPr>
        <w:tc>
          <w:tcPr>
            <w:tcW w:w="10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I. Supplemental Cash Flow Information</w:t>
      </w:r>
      <w:r>
        <w:rPr>
          <w:rFonts w:ascii="Arial" w:cs="Arial" w:eastAsia="Arial" w:hAnsi="Arial"/>
          <w:sz w:val="18"/>
          <w:szCs w:val="18"/>
          <w:color w:val="auto"/>
        </w:rPr>
        <w:t xml:space="preserve"> for certain information on noncash investing and financing activities related to our operating lease arrangements.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and other risks detailed in the “Statement Regarding Forward-Looking Information,” “Risk Factors” and other sections of our Annual Report on Form 10-K (our "Annual Report") for the year ended December 31, 2018 and other filings with the SEC.</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a description of our business, including descriptions of segments and recent business developments, see the discussion under Basis of Financial Statements in Note A to the Condensed Consolidated Financial Statements included in Item 1 of Part I of this Report, which is incorporated by reference into this Part I, Item 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Title segment revenue is closely related to the level of real estate activity which includes sales, mortgage financing and mortgage refinancing.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Declines in the level of real estate activity or the average price of real estate sales will adversely affect our title insurance revenues.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9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funding supply;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housing inventory and home prices;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strength of the United States economy, including employment levels.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19, 2019, the Mortgage Bankers Association ("MBA") estimated (actual for fiscal year 2018) the size of the U.S. mortgage originations market as shown in the following table for 2018 - 2021 in its "Mortgage Finance Forecast" (in trillions):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0.4</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mortgage originations forecast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2018, average interest rates on 30-year, fixed-rate mortgages in the U.S. rose from approximately 4.0% to 4.9% through October, representing an increase of 22%, before retreating to 4.55% in the last week of December according to mortgage buyer Freddie Mac. As a result of the overall upward trend in rates, refinance transactions decreased in 2018 from the historically high levels experienced in years preceding 2017. Existing home sales decreased in the second half of 2018. Coupled with stagnant levels of new home construction over the same time period, the result has been a decline in total housing inventory and increase in average home prices, albeit with decreasing magnitude toward the end of 2018. Through the nine months ended September 30, 2019, mortgage interest rates continued to decline to an average of 3.61% in September 2019.</w:t>
      </w:r>
    </w:p>
    <w:p>
      <w:pPr>
        <w:spacing w:after="0" w:line="4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combination of reduced housing inventory, increasing mortgage interest rates (through 2018) and increasing home prices led the MBA to lower mortgage origination forecasts for 2019 and beyond during the second half of 2018. Market volatility and the shift in mortgage interest rates in late 2018 and through the nine months ended September 30, 2019 have created uncertainty in forecasts of future mortgage interest rates and originations. During the nine months ended September 30, 2019, the U.S. Federal Reserve cut the target federal funds rate by 50 basis points and indicated it may further reduce the target rate if economic conditions deteriorate. The decrease in market interest rates through the nine months ended September 30, 2019 has begun to impact the volume of residential refinance transactions in 2019. See further discussion in the following Results of Operations section. The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MBA predicts overall mortgage originations in 2019 will slightly increase compared to the 2018 period, followed by a slight decrease in originations through 2021.</w:t>
      </w:r>
    </w:p>
    <w:p>
      <w:pPr>
        <w:spacing w:after="0" w:line="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Other economic indicators used to measure the health of the U.S. economy, including the unemployment rate and consumer confidence, have continued to indicate the U.S. economy remains on strong footing. According to the U.S. Department of Labor's Bureau of Labor, the unemployment rate was at a historically low 3.5% in September 2019. Additionally, the Conference Board's monthly Consumer Confidence Index has remained at historically high levels through the third quarter of 2019, despite a slight drop from late 2018 highs. Toward the end of the fiscal year of 2018 and into 2019, there has been increased global economic uncertainty and stock market volatility. Such market uncertainty could ultimately impact U.S. real estate markets if these markets continue to worsen. We believe continued strong readings in domestic U.S. economic indicators present potential tailwinds for mortgage originations, despite growing risks from global economic uncertainties.</w:t>
      </w:r>
    </w:p>
    <w:p>
      <w:pPr>
        <w:spacing w:after="0" w:line="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cannot be certain how the effects of a generally strong U.S. economy, decreasing mortgage interest rates and global economic uncertainty will impact mortgage originations and our future results of operations from our residential business. We continually monitor mortgage origination trends and believe that, based on our ability to produce industry leading operating margins through all economic cycles, we are well positioned to adjust our operations for adverse changes in real estate activity.</w:t>
      </w:r>
    </w:p>
    <w:p>
      <w:pPr>
        <w:spacing w:after="0" w:line="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Conversely, gradual increases in the Fed Funds Rate through the end of 2018 and the shift in late 2017 by the U.S. Federal Reserve to unwind its balance sheet are generally expected to adversely impact availability of financing by decreasing the overall money supply. In recent years, we have continued to experience strong demand in commercial real estate markets and from 2015 through the nine months ended September 30, 2019, we experienced historically high volumes and fee-per-file in our commercial business.</w:t>
      </w:r>
    </w:p>
    <w:p>
      <w:pPr>
        <w:spacing w:after="0" w:line="3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Historically, real estate transactions have produced seasonal revenue fluctuations in the real estate industry. The first calendar quarter is</w:t>
      </w:r>
      <w:r>
        <w:rPr>
          <w:rFonts w:ascii="Arial" w:cs="Arial" w:eastAsia="Arial" w:hAnsi="Arial"/>
          <w:sz w:val="17"/>
          <w:szCs w:val="17"/>
          <w:i w:val="1"/>
          <w:iCs w:val="1"/>
          <w:color w:val="auto"/>
        </w:rPr>
        <w:t xml:space="preserve"> </w:t>
      </w:r>
      <w:r>
        <w:rPr>
          <w:rFonts w:ascii="Arial" w:cs="Arial" w:eastAsia="Arial" w:hAnsi="Arial"/>
          <w:sz w:val="17"/>
          <w:szCs w:val="17"/>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We have noted short-term fluctuations through recent years in resale and refinance transactions as a result of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4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61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196"/>
        </w:trPr>
        <w:tc>
          <w:tcPr>
            <w:tcW w:w="6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1,645</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2,078</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5,901</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1,926</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Agent commissions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1,546</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1,406</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5,212</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w w:val="96"/>
              </w:rPr>
              <w:t>Earnings before income taxes and equity in earnings of unconsolidated affiliates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689</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589</w:t>
            </w: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increased by $156 million in the three months ended September 30, 2019 and increased by $206 million in the nine months ended September 30, 2019 compared to the corresponding periods in 2018.</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earnings increased by $19 million in the three months ended September 30, 2019 and increased by $143 million in the nine months ended September 30, 2019 compared to the corresponding periods in 2018.</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and net earnings from our reportable segments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operating expenses consist primarily of Personnel costs; Other operating expenses, which in our title business are incurred as orders are received and processed; and Agent commissions, which are incurred as title agency revenue is recognized.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Agent commissions represent the portion of premiums retained by our third-party agents pursuant to the terms of their respective agency contracts.</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ServiceLink product offerings and other title-related products, postage and courier services, computer services, professional services, travel expenses, general insurance and bad debt expense on our trade and notes receivable.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attributable to our reportable segments is discussed in further detail at the segment level below.</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 expense was $59 million and $51 million in the three-month periods ended September 30, 2019 and 2018, respectively, and $210 million and $104 million in the nine-month periods ended September 30, 2019 and 2018, respectively. Income tax expense as a percentage of earnings before income taxes was 19% and 18% in the three-month periods ended September 30, 2019 and 2018, respectively, and 23% and 15% in the nine- month periods ended September 30, 2019 and 2018, respectively. The increase in income tax expense as a percentage of earnings before taxes in the 2019 nine-month period from the comparable period in 2018 was primarily attributable to a change in tax estimate in the three months ended June 30, 2018 relating to the timing of payments for, and tax rate applicable to, our tax liability resulting from the decrease in statutory premium reserve associated with the redomestication of certain of our title underwriters.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Title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24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title insurance premiums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Agency title insurance premiums</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title-related and other fees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628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09"/>
        </w:trPr>
        <w:tc>
          <w:tcPr>
            <w:tcW w:w="6280" w:type="dxa"/>
            <w:vAlign w:val="bottom"/>
          </w:tcPr>
          <w:p>
            <w:pPr>
              <w:ind w:left="40"/>
              <w:spacing w:after="0"/>
              <w:rPr>
                <w:sz w:val="20"/>
                <w:szCs w:val="20"/>
                <w:color w:val="auto"/>
              </w:rPr>
            </w:pPr>
            <w:r>
              <w:rPr>
                <w:rFonts w:ascii="Arial" w:cs="Arial" w:eastAsia="Arial" w:hAnsi="Arial"/>
                <w:sz w:val="18"/>
                <w:szCs w:val="18"/>
                <w:color w:val="auto"/>
                <w:w w:val="94"/>
              </w:rPr>
              <w:t>Earnings from continuing operations, before income taxes and equity in earnings of</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7"/>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unconsolidated affiliates</w:t>
            </w:r>
          </w:p>
        </w:tc>
        <w:tc>
          <w:tcPr>
            <w:tcW w:w="20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Orders opened by direct title operations (in thousands)</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Orders closed by direct title operations (in thousands)</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 per file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2,459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for the Title segment increased by $249 million, or 13%, in the three months ended September 30, 2019 and increased by $456 million, or 8%, in the nine months ended September 30, 2019 from the corresponding periods in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3"/>
              </w:rPr>
              <w:t>Three months ended 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4"/>
              </w:rPr>
              <w:t>Nine months ended September 30,</w:t>
            </w:r>
          </w:p>
        </w:tc>
        <w:tc>
          <w:tcPr>
            <w:tcW w:w="680" w:type="dxa"/>
            <w:vAlign w:val="bottom"/>
            <w:tcBorders>
              <w:bottom w:val="single" w:sz="8" w:color="auto"/>
            </w:tcBorders>
          </w:tcPr>
          <w:p>
            <w:pPr>
              <w:spacing w:after="0"/>
              <w:rPr>
                <w:sz w:val="16"/>
                <w:szCs w:val="16"/>
                <w:color w:val="auto"/>
              </w:rPr>
            </w:pPr>
          </w:p>
        </w:tc>
      </w:tr>
      <w:tr>
        <w:trPr>
          <w:trHeight w:val="258"/>
        </w:trPr>
        <w:tc>
          <w:tcPr>
            <w:tcW w:w="4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ind w:left="26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197"/>
              <w:spacing w:after="0"/>
              <w:rPr>
                <w:sz w:val="20"/>
                <w:szCs w:val="20"/>
                <w:color w:val="auto"/>
              </w:rPr>
            </w:pPr>
            <w:r>
              <w:rPr>
                <w:rFonts w:ascii="Arial" w:cs="Arial" w:eastAsia="Arial" w:hAnsi="Arial"/>
                <w:sz w:val="14"/>
                <w:szCs w:val="14"/>
                <w:b w:val="1"/>
                <w:bCs w:val="1"/>
                <w:color w:val="auto"/>
              </w:rPr>
              <w:t>% of</w:t>
            </w:r>
          </w:p>
        </w:tc>
      </w:tr>
      <w:tr>
        <w:trPr>
          <w:trHeight w:val="276"/>
        </w:trPr>
        <w:tc>
          <w:tcPr>
            <w:tcW w:w="4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Total</w:t>
            </w:r>
          </w:p>
        </w:tc>
      </w:tr>
      <w:tr>
        <w:trPr>
          <w:trHeight w:val="196"/>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827</w:t>
            </w:r>
          </w:p>
        </w:tc>
        <w:tc>
          <w:tcPr>
            <w:tcW w:w="1040" w:type="dxa"/>
            <w:vAlign w:val="bottom"/>
            <w:gridSpan w:val="3"/>
          </w:tcPr>
          <w:p>
            <w:pPr>
              <w:jc w:val="right"/>
              <w:ind w:right="128"/>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99"/>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2,133</w:t>
            </w:r>
          </w:p>
        </w:tc>
        <w:tc>
          <w:tcPr>
            <w:tcW w:w="1020" w:type="dxa"/>
            <w:vAlign w:val="bottom"/>
            <w:gridSpan w:val="3"/>
          </w:tcPr>
          <w:p>
            <w:pPr>
              <w:jc w:val="right"/>
              <w:ind w:right="108"/>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97"/>
              <w:spacing w:after="0"/>
              <w:rPr>
                <w:sz w:val="20"/>
                <w:szCs w:val="20"/>
                <w:color w:val="auto"/>
              </w:rPr>
            </w:pPr>
            <w:r>
              <w:rPr>
                <w:rFonts w:ascii="Arial" w:cs="Arial" w:eastAsia="Arial" w:hAnsi="Arial"/>
                <w:sz w:val="18"/>
                <w:szCs w:val="18"/>
                <w:color w:val="auto"/>
              </w:rPr>
              <w:t>55</w:t>
            </w:r>
          </w:p>
        </w:tc>
      </w:tr>
      <w:tr>
        <w:trPr>
          <w:trHeight w:val="27"/>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4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Title premiums increased by 15% in the three months ended September 30, 2019 as compared to the corresponding period in 2018. The increase is comprised of an increase in Title premiums from direct operations of $86 million, or 15%, and an increase in Title premiums from agency operations of $105 million, or 15%.</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Title premiums increased by 5% in the nine months ended September 30, 2019 as compared to the corresponding period in 2018. The increase is comprised of an increase in Title premiums from agency operations of $115 million, or 6%, and an increase in Title premiums from direct operations of $80 million, or 5%.</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percentages of opened and closed title insurance orders generated by purchase and refinance transactions by our direct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80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52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6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7"/>
        </w:trPr>
        <w:tc>
          <w:tcPr>
            <w:tcW w:w="610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1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Percentages exclude consideration of an immaterial number of non-purchase and non-refinance orders.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Title premiums from direct operations increased in the three and nine months ended September 30, 2019, as compared to the corresponding periods in 2018. The increase in the three-month period is primarily attributable to an increase in closed order volumes, partially offset by a decrease in the fee per file. The increase in the nine-month period is primarily attributable to an increase in both fee per file and closed order volumes.</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Closed title insurance order volumes from purchase transactions were flat in the three months ended September 30, 2019 as compared to the corresponding periods in 2018. We experienced a decrease in closed title insurance order volumes from purchase transactions and an increase in closed title insurance order volumes from refinance transactions in the three and nine months ended September 30, 2019 as compared to the corresponding periods in 2018. Total closed order volumes were 409,000 in the three months ended September 30, 2019 compared to 339,000 in the three months ended September 30, 2018 and 1,031,000 in the nine months ended September 30, 2019 compared to 1,014,000 in the nine months ended September 30, 2018. This represented an overall increase of 21% and 2%, respectively, in the three and nine months ended September 30, 2019 from the corresponding periods in 2018.</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opened title insurance order volumes increased in the three and nine months ended September 30, 2019, as compared to the corresponding periods in 2018. The increase in both the three and nine-month periods was primarily attributable to increased opened title orders from refinance transactions, partially offset by a decrease in opened title orders from purchase transactions.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average fee per file in our direct operations was $2,459 and $2,562 in the three and nine months ended September 30, 2019, respectively, compared to $2,623 and $2,521 in the three and nine months ended September 30, 2018, respectively. The year-to-date increase in average fee per file reflects a stronger commercial market and a favorable increase in average property prices of underlying transactions, partially offset by an increased proportion of refinance transactions.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ectPr>
          <w:pgSz w:w="11900" w:h="16838" w:orient="portrait"/>
          <w:cols w:equalWidth="0" w:num="1">
            <w:col w:w="11420"/>
          </w:cols>
          <w:pgMar w:left="240" w:top="121"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Title premiums from agency operations increased $105 million, or 15%, in the three months ended September 30, 2019 and increased $115 million, or 6%, in the nine months ended September 30, 2019 from the corresponding periods in 2018. The increase was directionally consistent with the trend in title premiums from direct operations and is further impacted by changes in underlying real estate activity in the geographic regions in which the independent agents operate.</w:t>
      </w:r>
    </w:p>
    <w:p>
      <w:pPr>
        <w:spacing w:after="0" w:line="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Escrow, title-related and other fees increased by $86 million, or 15%, in the three months ended September 30, 2019 and increased $64 million, or 4%, in the nine months ended September 30, 2019 from the corresponding periods in 2018. Escrow fees, which are more closely related to our direct operations, increased by $35 million, or 16%, in the three months ended September 30, 2019 and increased by $20 million or 3% in the nine months ended September 30, 2019 as compared to the corresponding periods in 2018. The increase in the three and nine-month periods is directionally consistent with the change in title premiums from direct operations, albeit to a lesser magnitude resulting from a higher proportion of commercial transactions in the 2019 periods. Other fees in the Title segment, excluding escrow fees, increased by $52 million or 15% in the three months ended September 30, 2019 and increased by $45 million, or 4%, in the nine months ended September 30, 2019 compared to the corresponding periods in 2018. The changes in Other fees were driven by various individually immaterial items.</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increased by $9 million in the three months ended September 30, 2019 and increased $31 million in the nine months ended September 30, 2019 compared to the corresponding periods in 2018. The increase was primarily driven by the impact of increased market interest rates on the cash and investment portfolio and float income on tax-deferred property exchange businesses as well as an increase in average fixed maturity holdings period over period.</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Realized gains and losses, net, decreased $37 million in the three months ended September 30, 2019 and increased $166 million in the nine months ended September 30, 2019 from the comparable periods in 2018. The decrease in the three-month period and the increase in the nine-month period are primarily attributable to fluctuations in non-cash valuation changes on our equity and preferred security holdings.</w:t>
      </w:r>
    </w:p>
    <w:p>
      <w:pPr>
        <w:spacing w:after="0" w:line="18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Personnel costs include base salaries, commissions, benefits, stock-based compensation and bonuses paid to employees, and are one of our most significant operating expenses. Personnel costs increased $58 million, or 9%, in the three months ended September 30, 2019 and increased $50 million, or 3%, in the nine months ended September 30, 2019 compared to the corresponding periods in 2018. The increase in the three-month period is primarily attributable to increased average headcount and increased commissions driven by the increase in closed title order volumes in the 2019 period. The increase in the nine-month period is primarily attributable to increased commissions driven by the increase in closed title order volumes in the 2019 period, partially offset by reduced head count. Personnel costs as a percentage of total revenues from direct title premiums and escrow, title-related and other fees were 52% and 54% for the three-month periods ended September 30, 2019 and 2018, respectively, and 54% and 55% in the nine-month periods ended September 30, 2019 and 2018, respectively. Average employee count in the Title segment was 24,233 and 23,511 in the three-month periods ended September 30, 2019 and 2018, respectively, and 23,219 and 23,289 in the nine-month periods ended September 30, 2019 and 2018, respectively.</w:t>
      </w:r>
    </w:p>
    <w:p>
      <w:pPr>
        <w:spacing w:after="0" w:line="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increased by $28 million, or 8%, in the three months ended September 30, 2019 and increased $20 million, or 2%, in the nine months ended September 30, 2019 from the corresponding periods in 2018. Other operating expenses as a percentage of total revenue excluding agency premiums, interest and investment income, and realized gains and losses were 30% and 32% in the three months ended September 30, 2019 and 2018, respectively, and 31% and 32% in the nine months ended September 30, 2019 and 2018, respectively.</w:t>
      </w:r>
    </w:p>
    <w:p>
      <w:pPr>
        <w:spacing w:after="0" w:line="7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relationship of agent premiums and agent commissions, which have remained relatively consistent since 2018:</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3"/>
              </w:rPr>
              <w:t>Three months ended 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4"/>
              </w:rPr>
              <w:t>Nine months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827</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2,133</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630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1,630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503</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claim loss provision for title insurance was $67 million and $58 million for the three-month periods ended September 30, 2019 and 2018, respectively, and $174 million and $165 million in the nine-month periods ended September 30, 2019 and 2018, respectively. The provision reflects an average provision rate of 4.5% of title premiums in all periods. We continually monitor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Corporate and Other segment consists of the operations of the parent holding company, our various real estate brokerage businesses and our real estate technology subsidiaries. This segment also includes certain other unallocated corporate overhead expenses and eliminations of revenues and expenses between it and our Title segment.</w:t>
      </w:r>
    </w:p>
    <w:p>
      <w:pPr>
        <w:spacing w:after="0" w:line="7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On September 24, 2018, we closed on the sale of Pacific Union, a real estate brokerage. The results of operations of Pacific Union are included through the date of sale.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Corporate and Other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62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34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40"/>
              <w:spacing w:after="0"/>
              <w:rPr>
                <w:sz w:val="20"/>
                <w:szCs w:val="20"/>
                <w:color w:val="auto"/>
              </w:rPr>
            </w:pPr>
            <w:r>
              <w:rPr>
                <w:rFonts w:ascii="Arial" w:cs="Arial" w:eastAsia="Arial" w:hAnsi="Arial"/>
                <w:sz w:val="18"/>
                <w:szCs w:val="18"/>
                <w:color w:val="auto"/>
              </w:rPr>
              <w:t>Revenues:</w:t>
            </w: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title-related and other fees</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7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7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82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7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7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7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582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7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123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Loss from continuing operations, before income taxes and equity in earnings of</w:t>
            </w:r>
          </w:p>
        </w:tc>
        <w:tc>
          <w:tcPr>
            <w:tcW w:w="780" w:type="dxa"/>
            <w:vAlign w:val="bottom"/>
            <w:vMerge w:val="restart"/>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affiliates</w:t>
            </w: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revenue in the Corporate and Other segment for all periods represents revenue generated by our non-title real estate technology and brokerage subsidiaries as well as mark-to-market valuation changes on certain corporate deferred compensation plans.</w:t>
      </w:r>
    </w:p>
    <w:p>
      <w:pPr>
        <w:spacing w:after="0" w:line="6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Total revenues in the Corporate and Other segment decreased $93 million, or 66%, in the three-month period ended September 30, 2019 and decreased $250 million, or 61%, in the nine-month period ended September 30, 2019 from the corresponding periods in 2018. The decrease is primarily attributable to the sale of Pacific Union, partially offset by increased revenue associated with the valuation of deferred compensation assets.</w:t>
      </w:r>
    </w:p>
    <w:p>
      <w:pPr>
        <w:spacing w:after="0" w:line="5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Personnel costs in the Corporate and Other segment decreased $10 million, or 29%, in the three-month period ended September 30, 2019 and increased $3 million, or 3%, in the nine-month period ended September 30, 2019 from the corresponding periods in 2018. The decrease in the three-month period ended September 30, 2019 is primarily attributable to reduced headcount as a result of the Pacific Union sale in the third quarter of 2018. The increase in the nine-month period ended September 30, 2019 is primarily attributable to increased expense associated with the aforementioned increase in the valuation of deferred compensation plan assets and increased costs resulting from growth of our real estate technology subsidiaries, partially offset by our sale of Pacific Union.</w:t>
      </w:r>
    </w:p>
    <w:p>
      <w:pPr>
        <w:spacing w:after="0" w:line="8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 operating expenses in the Corporate and Other segment decreased $32 million, or 29%, in the three-month period ended September 30, 2019 and decreased $200 million, or 58%, in the nine-month period ended September 30, 2019 from the corresponding periods in 2018. The decrease in both the three and nine-month periods is primarily attributable to our sale of Pacific Union, which is partially offset by the Reverse Termination Fee of $50 million paid to Stewart on September 12, 2019.</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claim payments, taxes, payments of interest and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on our debt, capital expenditures, business acquisitions, stock repurchases and dividends on our common stock. We paid dividends of $0.31 per share in the third quarter of 2019, or approximately $85 million to our FNF</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common shareholders. On October 29, 2019, our Board of Directors declared cash dividends of $0.33 per share, payable on December 31, 2019, to FNF common shareholders of record as of December 17, 2019.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15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of September 30, 2019, we had cash and cash equivalents of $1,530 million, short term investments of $554 million and available capacity under our Revolving Credit Facility of $800 million. 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and borrowings on our Revolving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2018, $1,518 million of our net assets were restricted from dividend payments without prior approval from the relevant departments of insurance. We anticipate that our title insurance subsidiaries will pay or make dividends in the remainder of 2019 of approximately $127 million. Our underwritten title companies and non-insurance subsidiaries are not regulated to the same extent as our insurance subsidiaries.</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Operating Cash Flow</w:t>
      </w:r>
      <w:r>
        <w:rPr>
          <w:rFonts w:ascii="Arial" w:cs="Arial" w:eastAsia="Arial" w:hAnsi="Arial"/>
          <w:sz w:val="17"/>
          <w:szCs w:val="17"/>
          <w:color w:val="auto"/>
        </w:rPr>
        <w:t>. Our cash flows provided by operations for the nine months ended September 30, 2019 and 2018 totaled $700 million and $671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The increase in cash provided by operating activities of $29 million is primarily attributable to the increase in pre-tax earnings and the timing of receipts and payments of payables, partially offset by the timing of receipts and payments of prepaid assets, receivables and income taxes. Included in net earnings in the 2019 period is our payment to Stewart of the Reverse Termination Fee of $50 million.</w:t>
      </w:r>
    </w:p>
    <w:p>
      <w:pPr>
        <w:spacing w:after="0" w:line="17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Our cash flows used in investing activities for the nine months ended September 30, 2019 and 2018 were $161 million and $42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increase in cash used in investing activities of $119 million in the 2019 period compared to the 2018 period is primarily attributable to a $228 million decrease in net cash inflow from proceeds from calls and maturities of investment securities, partially offset by reduced purchases of investment securities and increased proceeds from sales of investment securities.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$69 million and $56 million for the nine-month periods ended September 30, 2019 and 2018, respectively.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Our cash flows used in financing activities for the nine months ended September 30, 2019 and 2018 were $266 million and $317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decrease in cash used in financing activities of $51 million from the 2019 period to the 2018 period is primarily attributable to $142 million of the equity portion of debt conversions paid in cash in the 2018 period and a $63 million increase in the change in secured trust deposits in the 2019 period, partially offset by purchases of treasury stock in the 2019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E.</w:t>
      </w:r>
      <w:r>
        <w:rPr>
          <w:rFonts w:ascii="Arial" w:cs="Arial" w:eastAsia="Arial" w:hAnsi="Arial"/>
          <w:sz w:val="18"/>
          <w:szCs w:val="18"/>
          <w:i w:val="1"/>
          <w:iCs w:val="1"/>
          <w:color w:val="auto"/>
        </w:rPr>
        <w:t xml:space="preserve"> Notes Payable </w:t>
      </w:r>
      <w:r>
        <w:rPr>
          <w:rFonts w:ascii="Arial" w:cs="Arial" w:eastAsia="Arial" w:hAnsi="Arial"/>
          <w:sz w:val="18"/>
          <w:szCs w:val="18"/>
          <w:color w:val="auto"/>
        </w:rPr>
        <w:t>included in Item 1 of Part 1 of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which is incorporated by reference into this Item 2 of Part I.</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There have been no significant changes to our long-term contractual obligations since our Annual Report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Capital Stock Transactions</w:t>
      </w:r>
      <w:r>
        <w:rPr>
          <w:rFonts w:ascii="Arial" w:cs="Arial" w:eastAsia="Arial" w:hAnsi="Arial"/>
          <w:sz w:val="17"/>
          <w:szCs w:val="17"/>
          <w:color w:val="auto"/>
        </w:rPr>
        <w:t>. On July 17, 2018, our Board of Directors approved a new three-year stock repurchase program effective August 1, 2018 (the</w:t>
      </w:r>
      <w:r>
        <w:rPr>
          <w:rFonts w:ascii="Arial" w:cs="Arial" w:eastAsia="Arial" w:hAnsi="Arial"/>
          <w:sz w:val="17"/>
          <w:szCs w:val="17"/>
          <w:i w:val="1"/>
          <w:iCs w:val="1"/>
          <w:color w:val="auto"/>
        </w:rPr>
        <w:t xml:space="preserve"> </w:t>
      </w:r>
      <w:r>
        <w:rPr>
          <w:rFonts w:ascii="Arial" w:cs="Arial" w:eastAsia="Arial" w:hAnsi="Arial"/>
          <w:sz w:val="17"/>
          <w:szCs w:val="17"/>
          <w:color w:val="auto"/>
        </w:rPr>
        <w:t>"2018 Repurchase Program") under which we may purchase up to 25 million shares of our FNF common stock through July 31, 2021. We may make repurchases from time to time in the open market, in block purchases or in privately negotiated transactions, depending on market conditions and other factors. We repurchased 2,040,000 shares of FNF common stock during the nine months ended September 30, 2019 for approximately $82 million, or an average of $39.95 per share. Subsequent to September 30, 2019 through market close on October 29, 2019, we purchased 60,000 additional shares for $3 million, or an average of $44.16 per share. Since the original commencement of the 2018 Repurchase Program through market close on October 29, 2019, we repurchased a total of 2,760,000 FNF common shares for $106 million, or an average of $38.23 per share.</w:t>
      </w:r>
    </w:p>
    <w:p>
      <w:pPr>
        <w:spacing w:after="0" w:line="17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Equity and Preferred Security Investments. </w:t>
      </w:r>
      <w:r>
        <w:rPr>
          <w:rFonts w:ascii="Arial" w:cs="Arial" w:eastAsia="Arial" w:hAnsi="Arial"/>
          <w:sz w:val="18"/>
          <w:szCs w:val="18"/>
          <w:color w:val="auto"/>
        </w:rPr>
        <w:t>Our equity and preferred security investments may be subject to significant volatility. Currently prevailing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require us to record the change in fair value of equity and preferred security investments held as of any given period end within earnings. Our results of operations in future periods is anticipated to be subject to such volatility.</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Other than inclusion of operating lease arrangements on the balance sheet, further discussed below, there have been no</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changes to our off-balance sheet arrangements since our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than our adoption of ASC Topic 842 as further described in Notes A and K to our Condensed Consolidated Financial Statements included in Item 1 of Part 1 of this Quarterly Report which is incorporated by reference into this Item 2 of Part I, there have been no material changes to our critical accounting policies described in our Annual Report for the year ended.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2019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See discussion of legal proceedings in Note F. </w:t>
      </w:r>
      <w:r>
        <w:rPr>
          <w:rFonts w:ascii="Arial" w:cs="Arial" w:eastAsia="Arial" w:hAnsi="Arial"/>
          <w:sz w:val="18"/>
          <w:szCs w:val="18"/>
          <w:i w:val="1"/>
          <w:iCs w:val="1"/>
          <w:color w:val="auto"/>
        </w:rPr>
        <w:t>Commitment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repurchases of equity securities by FNF during the three months ended September 30, 2019:</w:t>
      </w:r>
    </w:p>
    <w:p>
      <w:pPr>
        <w:spacing w:after="0" w:line="25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Total Number of Shares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440" w:type="dxa"/>
            <w:vAlign w:val="bottom"/>
            <w:vMerge w:val="restart"/>
          </w:tcPr>
          <w:p>
            <w:pPr>
              <w:jc w:val="center"/>
              <w:ind w:left="1588"/>
              <w:spacing w:after="0"/>
              <w:rPr>
                <w:sz w:val="20"/>
                <w:szCs w:val="20"/>
                <w:color w:val="auto"/>
              </w:rPr>
            </w:pPr>
            <w:r>
              <w:rPr>
                <w:rFonts w:ascii="Arial" w:cs="Arial" w:eastAsia="Arial" w:hAnsi="Arial"/>
                <w:sz w:val="14"/>
                <w:szCs w:val="14"/>
                <w:b w:val="1"/>
                <w:bCs w:val="1"/>
                <w:color w:val="auto"/>
                <w:w w:val="92"/>
              </w:rPr>
              <w:t>Total Number of Shares</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Average Price Paid per</w:t>
            </w:r>
          </w:p>
        </w:tc>
        <w:tc>
          <w:tcPr>
            <w:tcW w:w="16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0" w:type="dxa"/>
            <w:vAlign w:val="bottom"/>
          </w:tcPr>
          <w:p>
            <w:pPr>
              <w:spacing w:after="0"/>
              <w:rPr>
                <w:sz w:val="1"/>
                <w:szCs w:val="1"/>
                <w:color w:val="auto"/>
              </w:rPr>
            </w:pPr>
          </w:p>
        </w:tc>
      </w:tr>
      <w:tr>
        <w:trPr>
          <w:trHeight w:val="149"/>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44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6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0" w:type="dxa"/>
            <w:vAlign w:val="bottom"/>
          </w:tcPr>
          <w:p>
            <w:pPr>
              <w:spacing w:after="0"/>
              <w:rPr>
                <w:sz w:val="1"/>
                <w:szCs w:val="1"/>
                <w:color w:val="auto"/>
              </w:rPr>
            </w:pPr>
          </w:p>
        </w:tc>
      </w:tr>
      <w:tr>
        <w:trPr>
          <w:trHeight w:val="186"/>
        </w:trPr>
        <w:tc>
          <w:tcPr>
            <w:tcW w:w="2240" w:type="dxa"/>
            <w:vAlign w:val="bottom"/>
            <w:vMerge w:val="continue"/>
          </w:tcPr>
          <w:p>
            <w:pPr>
              <w:spacing w:after="0"/>
              <w:rPr>
                <w:sz w:val="16"/>
                <w:szCs w:val="16"/>
                <w:color w:val="auto"/>
              </w:rPr>
            </w:pPr>
          </w:p>
        </w:tc>
        <w:tc>
          <w:tcPr>
            <w:tcW w:w="3440" w:type="dxa"/>
            <w:vAlign w:val="bottom"/>
          </w:tcPr>
          <w:p>
            <w:pPr>
              <w:jc w:val="center"/>
              <w:ind w:left="1608"/>
              <w:spacing w:after="0"/>
              <w:rPr>
                <w:sz w:val="20"/>
                <w:szCs w:val="20"/>
                <w:color w:val="auto"/>
              </w:rPr>
            </w:pPr>
            <w:r>
              <w:rPr>
                <w:rFonts w:ascii="Arial" w:cs="Arial" w:eastAsia="Arial" w:hAnsi="Arial"/>
                <w:sz w:val="14"/>
                <w:szCs w:val="14"/>
                <w:b w:val="1"/>
                <w:bCs w:val="1"/>
                <w:color w:val="auto"/>
                <w:w w:val="89"/>
              </w:rPr>
              <w:t>Purchased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0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60"/>
        <w:spacing w:after="0" w:line="258" w:lineRule="auto"/>
        <w:rPr>
          <w:sz w:val="20"/>
          <w:szCs w:val="20"/>
          <w:color w:val="auto"/>
        </w:rPr>
      </w:pPr>
      <w:r>
        <w:rPr>
          <w:rFonts w:ascii="Arial" w:cs="Arial" w:eastAsia="Arial" w:hAnsi="Arial"/>
          <w:sz w:val="13"/>
          <w:szCs w:val="13"/>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9340" w:space="160"/>
            <w:col w:w="1920"/>
          </w:cols>
          <w:pgMar w:left="240" w:top="121" w:right="239" w:bottom="1440" w:gutter="0" w:footer="0" w:header="0"/>
          <w:type w:val="continuous"/>
        </w:sectPr>
      </w:pPr>
    </w:p>
    <w:tbl>
      <w:tblPr>
        <w:tblLayout w:type="fixed"/>
        <w:tblInd w:w="260" w:type="dxa"/>
        <w:tblCellMar>
          <w:top w:w="0" w:type="dxa"/>
          <w:left w:w="0" w:type="dxa"/>
          <w:bottom w:w="0" w:type="dxa"/>
          <w:right w:w="0" w:type="dxa"/>
        </w:tblCellMar>
      </w:tblPr>
      <w:tr>
        <w:trPr>
          <w:trHeight w:val="245"/>
        </w:trPr>
        <w:tc>
          <w:tcPr>
            <w:tcW w:w="3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7/1/2019 - 7/31/2019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22,930,000</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8/1/2019 - 8/31/2019</w:t>
            </w:r>
          </w:p>
        </w:tc>
        <w:tc>
          <w:tcPr>
            <w:tcW w:w="1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330,000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43.76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330,000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22,600,000</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9/1/2019 - 9/30/2019</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22,300,000</w:t>
            </w:r>
          </w:p>
        </w:tc>
      </w:tr>
      <w:tr>
        <w:trPr>
          <w:trHeight w:val="237"/>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810,000</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43.63</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810,000</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6" w:lineRule="exact"/>
        <w:rPr>
          <w:sz w:val="20"/>
          <w:szCs w:val="20"/>
          <w:color w:val="auto"/>
        </w:rPr>
      </w:pPr>
    </w:p>
    <w:p>
      <w:pPr>
        <w:ind w:left="98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July 17, 2018, our Board of Directors approved the 2018 Repurchase Program, effective August 1, 2018, under which we may purchase up to 25 million shares of our FNF common stock through July 31, 2021.</w:t>
      </w:r>
    </w:p>
    <w:p>
      <w:pPr>
        <w:spacing w:after="0" w:line="35"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-455930</wp:posOffset>
            </wp:positionV>
            <wp:extent cx="3215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1520" w:type="dxa"/>
            <w:vAlign w:val="bottom"/>
          </w:tcPr>
          <w:p>
            <w:pPr>
              <w:ind w:left="240"/>
              <w:spacing w:after="0"/>
              <w:rPr>
                <w:sz w:val="20"/>
                <w:szCs w:val="20"/>
                <w:color w:val="auto"/>
              </w:rPr>
            </w:pPr>
            <w:r>
              <w:rPr>
                <w:rFonts w:ascii="Arial" w:cs="Arial" w:eastAsia="Arial" w:hAnsi="Arial"/>
                <w:sz w:val="18"/>
                <w:szCs w:val="18"/>
                <w:color w:val="auto"/>
              </w:rPr>
              <w:t>(a) Exhibits:</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10.1</w:t>
            </w:r>
          </w:p>
        </w:tc>
        <w:tc>
          <w:tcPr>
            <w:tcW w:w="9880" w:type="dxa"/>
            <w:vAlign w:val="bottom"/>
            <w:tcBorders>
              <w:bottom w:val="single" w:sz="8" w:color="0000FF"/>
            </w:tcBorders>
            <w:gridSpan w:val="6"/>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Termination Agreement, dated September 9, 2019, among Stewart Information Services Corporation, Fidelity National Financial, Inc., A</w:t>
              </w:r>
            </w:hyperlink>
          </w:p>
        </w:tc>
      </w:tr>
      <w:tr>
        <w:trPr>
          <w:trHeight w:val="196"/>
        </w:trPr>
        <w:tc>
          <w:tcPr>
            <w:tcW w:w="1520" w:type="dxa"/>
            <w:vAlign w:val="bottom"/>
          </w:tcPr>
          <w:p>
            <w:pPr>
              <w:spacing w:after="0"/>
              <w:rPr>
                <w:sz w:val="17"/>
                <w:szCs w:val="17"/>
                <w:color w:val="auto"/>
              </w:rPr>
            </w:pPr>
          </w:p>
        </w:tc>
        <w:tc>
          <w:tcPr>
            <w:tcW w:w="9880" w:type="dxa"/>
            <w:vAlign w:val="bottom"/>
            <w:tcBorders>
              <w:bottom w:val="single" w:sz="8" w:color="0000FF"/>
            </w:tcBorders>
            <w:gridSpan w:val="6"/>
          </w:tcPr>
          <w:p>
            <w:pPr>
              <w:spacing w:after="0" w:line="196" w:lineRule="exact"/>
              <w:rPr>
                <w:rFonts w:ascii="Arial" w:cs="Arial" w:eastAsia="Arial" w:hAnsi="Arial"/>
                <w:sz w:val="18"/>
                <w:szCs w:val="18"/>
                <w:color w:val="0000FF"/>
                <w:w w:val="95"/>
              </w:rPr>
            </w:pPr>
            <w:hyperlink r:id="rId22">
              <w:r>
                <w:rPr>
                  <w:rFonts w:ascii="Arial" w:cs="Arial" w:eastAsia="Arial" w:hAnsi="Arial"/>
                  <w:sz w:val="18"/>
                  <w:szCs w:val="18"/>
                  <w:color w:val="0000FF"/>
                  <w:w w:val="95"/>
                </w:rPr>
                <w:t>Holdco Corp. and S Holdco LLC (incorporated by reference to Exhibit 10.1 to the Registrant’s Current Report on Form 8-K filed on</w:t>
              </w:r>
            </w:hyperlink>
          </w:p>
        </w:tc>
      </w:tr>
      <w:tr>
        <w:trPr>
          <w:trHeight w:val="196"/>
        </w:trPr>
        <w:tc>
          <w:tcPr>
            <w:tcW w:w="1520" w:type="dxa"/>
            <w:vAlign w:val="bottom"/>
          </w:tcPr>
          <w:p>
            <w:pPr>
              <w:spacing w:after="0"/>
              <w:rPr>
                <w:sz w:val="17"/>
                <w:szCs w:val="17"/>
                <w:color w:val="auto"/>
              </w:rPr>
            </w:pPr>
          </w:p>
        </w:tc>
        <w:tc>
          <w:tcPr>
            <w:tcW w:w="9880" w:type="dxa"/>
            <w:vAlign w:val="bottom"/>
            <w:gridSpan w:val="6"/>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September 11, 2019).</w:t>
              </w:r>
            </w:hyperlink>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10.2</w:t>
            </w:r>
          </w:p>
        </w:tc>
        <w:tc>
          <w:tcPr>
            <w:tcW w:w="9880" w:type="dxa"/>
            <w:vAlign w:val="bottom"/>
            <w:tcBorders>
              <w:bottom w:val="single" w:sz="8" w:color="0000FF"/>
            </w:tcBorders>
            <w:gridSpan w:val="6"/>
          </w:tcPr>
          <w:p>
            <w:pPr>
              <w:spacing w:after="0"/>
              <w:rPr>
                <w:rFonts w:ascii="Arial" w:cs="Arial" w:eastAsia="Arial" w:hAnsi="Arial"/>
                <w:sz w:val="18"/>
                <w:szCs w:val="18"/>
                <w:color w:val="0000FF"/>
                <w:w w:val="94"/>
              </w:rPr>
            </w:pPr>
            <w:hyperlink w:anchor="page39">
              <w:r>
                <w:rPr>
                  <w:rFonts w:ascii="Arial" w:cs="Arial" w:eastAsia="Arial" w:hAnsi="Arial"/>
                  <w:sz w:val="18"/>
                  <w:szCs w:val="18"/>
                  <w:color w:val="0000FF"/>
                  <w:w w:val="94"/>
                </w:rPr>
                <w:t>Amendment effective November 1, 2019 to Amended and Restated Employment Agreement between the Registrant and Michael L.</w:t>
              </w:r>
            </w:hyperlink>
          </w:p>
        </w:tc>
      </w:tr>
      <w:tr>
        <w:trPr>
          <w:trHeight w:val="196"/>
        </w:trPr>
        <w:tc>
          <w:tcPr>
            <w:tcW w:w="1520" w:type="dxa"/>
            <w:vAlign w:val="bottom"/>
          </w:tcPr>
          <w:p>
            <w:pPr>
              <w:spacing w:after="0"/>
              <w:rPr>
                <w:sz w:val="17"/>
                <w:szCs w:val="17"/>
                <w:color w:val="auto"/>
              </w:rPr>
            </w:pPr>
          </w:p>
        </w:tc>
        <w:tc>
          <w:tcPr>
            <w:tcW w:w="9880" w:type="dxa"/>
            <w:vAlign w:val="bottom"/>
            <w:gridSpan w:val="6"/>
          </w:tcPr>
          <w:p>
            <w:pPr>
              <w:spacing w:after="0" w:line="196" w:lineRule="exact"/>
              <w:rPr>
                <w:rFonts w:ascii="Arial" w:cs="Arial" w:eastAsia="Arial" w:hAnsi="Arial"/>
                <w:sz w:val="18"/>
                <w:szCs w:val="18"/>
                <w:color w:val="0000FF"/>
                <w:w w:val="94"/>
              </w:rPr>
            </w:pPr>
            <w:hyperlink w:anchor="page39">
              <w:r>
                <w:rPr>
                  <w:rFonts w:ascii="Arial" w:cs="Arial" w:eastAsia="Arial" w:hAnsi="Arial"/>
                  <w:sz w:val="18"/>
                  <w:szCs w:val="18"/>
                  <w:color w:val="0000FF"/>
                  <w:w w:val="94"/>
                </w:rPr>
                <w:t>Gravelle effective May 3, 2016 (incorporated by reference to Exhibit 10.5 to the Registrant's Quarterly Report on Form 10-Q for the</w:t>
              </w:r>
            </w:hyperlink>
          </w:p>
        </w:tc>
      </w:tr>
      <w:tr>
        <w:trPr>
          <w:trHeight w:val="196"/>
        </w:trPr>
        <w:tc>
          <w:tcPr>
            <w:tcW w:w="1520" w:type="dxa"/>
            <w:vAlign w:val="bottom"/>
          </w:tcPr>
          <w:p>
            <w:pPr>
              <w:spacing w:after="0"/>
              <w:rPr>
                <w:sz w:val="17"/>
                <w:szCs w:val="17"/>
                <w:color w:val="auto"/>
              </w:rPr>
            </w:pPr>
          </w:p>
        </w:tc>
        <w:tc>
          <w:tcPr>
            <w:tcW w:w="21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7"/>
              </w:rPr>
            </w:pPr>
            <w:hyperlink w:anchor="page39">
              <w:r>
                <w:rPr>
                  <w:rFonts w:ascii="Arial" w:cs="Arial" w:eastAsia="Arial" w:hAnsi="Arial"/>
                  <w:sz w:val="18"/>
                  <w:szCs w:val="18"/>
                  <w:color w:val="0000FF"/>
                  <w:w w:val="87"/>
                </w:rPr>
                <w:t>quarter ended June 30, 2016).</w:t>
              </w:r>
            </w:hyperlink>
          </w:p>
        </w:tc>
        <w:tc>
          <w:tcPr>
            <w:tcW w:w="772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642"/>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31.1</w:t>
            </w:r>
          </w:p>
        </w:tc>
        <w:tc>
          <w:tcPr>
            <w:tcW w:w="724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Certification of Chief Executive Officer pursuant to Section 302 of the Sarbanes-Oxley Act of 2002.</w:t>
              </w:r>
            </w:hyperlink>
          </w:p>
        </w:tc>
        <w:tc>
          <w:tcPr>
            <w:tcW w:w="2640" w:type="dxa"/>
            <w:vAlign w:val="bottom"/>
            <w:gridSpan w:val="2"/>
          </w:tcPr>
          <w:p>
            <w:pPr>
              <w:spacing w:after="0"/>
              <w:rPr>
                <w:sz w:val="24"/>
                <w:szCs w:val="24"/>
                <w:color w:val="auto"/>
              </w:rPr>
            </w:pPr>
          </w:p>
        </w:tc>
      </w:tr>
      <w:tr>
        <w:trPr>
          <w:trHeight w:val="520"/>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31.2</w:t>
            </w:r>
          </w:p>
        </w:tc>
        <w:tc>
          <w:tcPr>
            <w:tcW w:w="9880" w:type="dxa"/>
            <w:vAlign w:val="bottom"/>
            <w:gridSpan w:val="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60" w:type="dxa"/>
            <w:vAlign w:val="bottom"/>
            <w:tcBorders>
              <w:left w:val="single" w:sz="8" w:color="0000FF"/>
            </w:tcBorders>
            <w:gridSpan w:val="2"/>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32.1</w:t>
            </w:r>
          </w:p>
        </w:tc>
        <w:tc>
          <w:tcPr>
            <w:tcW w:w="9880" w:type="dxa"/>
            <w:vAlign w:val="bottom"/>
            <w:gridSpan w:val="6"/>
          </w:tcPr>
          <w:p>
            <w:pPr>
              <w:spacing w:after="0"/>
              <w:rPr>
                <w:rFonts w:ascii="Arial" w:cs="Arial" w:eastAsia="Arial" w:hAnsi="Arial"/>
                <w:sz w:val="18"/>
                <w:szCs w:val="18"/>
                <w:color w:val="0000FF"/>
                <w:w w:val="94"/>
              </w:rPr>
            </w:pPr>
            <w:hyperlink w:anchor="page43">
              <w:r>
                <w:rPr>
                  <w:rFonts w:ascii="Arial" w:cs="Arial" w:eastAsia="Arial" w:hAnsi="Arial"/>
                  <w:sz w:val="18"/>
                  <w:szCs w:val="18"/>
                  <w:color w:val="0000FF"/>
                  <w:w w:val="94"/>
                </w:rPr>
                <w:t>Certification by Chief Executive Officer of Periodic Financial Reports pursuant to Section 906 of the Sarbanes-Oxley Act of 2002, 18</w:t>
              </w:r>
            </w:hyperlink>
          </w:p>
        </w:tc>
      </w:tr>
      <w:tr>
        <w:trPr>
          <w:trHeight w:val="196"/>
        </w:trPr>
        <w:tc>
          <w:tcPr>
            <w:tcW w:w="1520" w:type="dxa"/>
            <w:vAlign w:val="bottom"/>
          </w:tcPr>
          <w:p>
            <w:pPr>
              <w:spacing w:after="0"/>
              <w:rPr>
                <w:sz w:val="17"/>
                <w:szCs w:val="17"/>
                <w:color w:val="auto"/>
              </w:rPr>
            </w:pPr>
          </w:p>
        </w:tc>
        <w:tc>
          <w:tcPr>
            <w:tcW w:w="98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U.S.C. Section 1350.</w:t>
              </w:r>
            </w:hyperlink>
          </w:p>
        </w:tc>
        <w:tc>
          <w:tcPr>
            <w:tcW w:w="2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32.2</w:t>
            </w:r>
          </w:p>
        </w:tc>
        <w:tc>
          <w:tcPr>
            <w:tcW w:w="9880" w:type="dxa"/>
            <w:vAlign w:val="bottom"/>
            <w:gridSpan w:val="6"/>
          </w:tcPr>
          <w:p>
            <w:pPr>
              <w:spacing w:after="0"/>
              <w:rPr>
                <w:rFonts w:ascii="Arial" w:cs="Arial" w:eastAsia="Arial" w:hAnsi="Arial"/>
                <w:sz w:val="18"/>
                <w:szCs w:val="18"/>
                <w:color w:val="0000FF"/>
                <w:w w:val="94"/>
              </w:rPr>
            </w:pPr>
            <w:hyperlink w:anchor="page44">
              <w:r>
                <w:rPr>
                  <w:rFonts w:ascii="Arial" w:cs="Arial" w:eastAsia="Arial" w:hAnsi="Arial"/>
                  <w:sz w:val="18"/>
                  <w:szCs w:val="18"/>
                  <w:color w:val="0000FF"/>
                  <w:w w:val="94"/>
                </w:rPr>
                <w:t>Certification by Chief Financial Officer of Periodic Financial Reports pursuant to Section 906 of the Sarbanes-Oxley Act of 2002, 18</w:t>
              </w:r>
            </w:hyperlink>
          </w:p>
        </w:tc>
      </w:tr>
      <w:tr>
        <w:trPr>
          <w:trHeight w:val="196"/>
        </w:trPr>
        <w:tc>
          <w:tcPr>
            <w:tcW w:w="1520" w:type="dxa"/>
            <w:vAlign w:val="bottom"/>
          </w:tcPr>
          <w:p>
            <w:pPr>
              <w:spacing w:after="0"/>
              <w:rPr>
                <w:sz w:val="17"/>
                <w:szCs w:val="17"/>
                <w:color w:val="auto"/>
              </w:rPr>
            </w:pPr>
          </w:p>
        </w:tc>
        <w:tc>
          <w:tcPr>
            <w:tcW w:w="98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44">
              <w:r>
                <w:rPr>
                  <w:rFonts w:ascii="Arial" w:cs="Arial" w:eastAsia="Arial" w:hAnsi="Arial"/>
                  <w:sz w:val="18"/>
                  <w:szCs w:val="18"/>
                  <w:color w:val="0000FF"/>
                </w:rPr>
                <w:t>U.S.C. Section 1350.</w:t>
              </w:r>
            </w:hyperlink>
          </w:p>
        </w:tc>
        <w:tc>
          <w:tcPr>
            <w:tcW w:w="2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360" w:type="dxa"/>
            <w:vAlign w:val="bottom"/>
            <w:gridSpan w:val="5"/>
          </w:tcPr>
          <w:p>
            <w:pPr>
              <w:spacing w:after="0" w:line="20" w:lineRule="exact"/>
              <w:rPr>
                <w:sz w:val="1"/>
                <w:szCs w:val="1"/>
                <w:color w:val="auto"/>
              </w:rPr>
            </w:pPr>
          </w:p>
        </w:tc>
      </w:tr>
      <w:tr>
        <w:trPr>
          <w:trHeight w:val="480"/>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95"/>
              </w:rPr>
              <w:t>101.INS</w:t>
            </w:r>
          </w:p>
        </w:tc>
        <w:tc>
          <w:tcPr>
            <w:tcW w:w="988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r>
      <w:tr>
        <w:trPr>
          <w:trHeight w:val="891"/>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90"/>
              </w:rPr>
              <w:t>101.SCH</w:t>
            </w:r>
          </w:p>
        </w:tc>
        <w:tc>
          <w:tcPr>
            <w:tcW w:w="988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675"/>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94"/>
              </w:rPr>
              <w:t>101.CAL</w:t>
            </w:r>
          </w:p>
        </w:tc>
        <w:tc>
          <w:tcPr>
            <w:tcW w:w="988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675"/>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92"/>
              </w:rPr>
              <w:t>101.DEF</w:t>
            </w:r>
          </w:p>
        </w:tc>
        <w:tc>
          <w:tcPr>
            <w:tcW w:w="988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675"/>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91"/>
              </w:rPr>
              <w:t>101.PRE</w:t>
            </w:r>
          </w:p>
        </w:tc>
        <w:tc>
          <w:tcPr>
            <w:tcW w:w="988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675"/>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95"/>
              </w:rPr>
              <w:t>101.LAB</w:t>
            </w:r>
          </w:p>
        </w:tc>
        <w:tc>
          <w:tcPr>
            <w:tcW w:w="988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bl>
    <w:p>
      <w:pPr>
        <w:spacing w:after="0" w:line="200" w:lineRule="exact"/>
        <w:rPr>
          <w:sz w:val="20"/>
          <w:szCs w:val="20"/>
          <w:color w:val="auto"/>
        </w:rPr>
      </w:pPr>
    </w:p>
    <w:p>
      <w:pPr>
        <w:spacing w:after="0" w:line="245" w:lineRule="exact"/>
        <w:rPr>
          <w:sz w:val="20"/>
          <w:szCs w:val="20"/>
          <w:color w:val="auto"/>
        </w:rPr>
      </w:pPr>
    </w:p>
    <w:p>
      <w:pPr>
        <w:ind w:left="1520" w:hanging="1127"/>
        <w:spacing w:after="0"/>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4"/>
          <w:szCs w:val="14"/>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Date: October 30, 2019</w:t>
            </w:r>
          </w:p>
        </w:tc>
        <w:tc>
          <w:tcPr>
            <w:tcW w:w="6360" w:type="dxa"/>
            <w:vAlign w:val="bottom"/>
            <w:gridSpan w:val="2"/>
          </w:tcPr>
          <w:p>
            <w:pPr>
              <w:ind w:left="1660"/>
              <w:spacing w:after="0"/>
              <w:rPr>
                <w:sz w:val="20"/>
                <w:szCs w:val="20"/>
                <w:color w:val="auto"/>
              </w:rPr>
            </w:pPr>
            <w:r>
              <w:rPr>
                <w:rFonts w:ascii="Arial" w:cs="Arial" w:eastAsia="Arial" w:hAnsi="Arial"/>
                <w:sz w:val="18"/>
                <w:szCs w:val="18"/>
                <w:color w:val="auto"/>
              </w:rPr>
              <w:t>FIDELITY NATIONAL FINANCIAL, INC.</w:t>
            </w:r>
          </w:p>
        </w:tc>
      </w:tr>
      <w:tr>
        <w:trPr>
          <w:trHeight w:val="230"/>
        </w:trPr>
        <w:tc>
          <w:tcPr>
            <w:tcW w:w="3340" w:type="dxa"/>
            <w:vAlign w:val="bottom"/>
          </w:tcPr>
          <w:p>
            <w:pPr>
              <w:spacing w:after="0"/>
              <w:rPr>
                <w:sz w:val="20"/>
                <w:szCs w:val="20"/>
                <w:color w:val="auto"/>
              </w:rPr>
            </w:pPr>
          </w:p>
        </w:tc>
        <w:tc>
          <w:tcPr>
            <w:tcW w:w="6360" w:type="dxa"/>
            <w:vAlign w:val="bottom"/>
            <w:gridSpan w:val="2"/>
          </w:tcPr>
          <w:p>
            <w:pPr>
              <w:ind w:left="1660"/>
              <w:spacing w:after="0"/>
              <w:rPr>
                <w:sz w:val="20"/>
                <w:szCs w:val="20"/>
                <w:color w:val="auto"/>
              </w:rPr>
            </w:pPr>
            <w:r>
              <w:rPr>
                <w:rFonts w:ascii="Arial" w:cs="Arial" w:eastAsia="Arial" w:hAnsi="Arial"/>
                <w:sz w:val="18"/>
                <w:szCs w:val="18"/>
                <w:color w:val="auto"/>
              </w:rPr>
              <w:t>(registrant)</w:t>
            </w:r>
          </w:p>
        </w:tc>
      </w:tr>
      <w:tr>
        <w:trPr>
          <w:trHeight w:val="486"/>
        </w:trPr>
        <w:tc>
          <w:tcPr>
            <w:tcW w:w="3340" w:type="dxa"/>
            <w:vAlign w:val="bottom"/>
          </w:tcPr>
          <w:p>
            <w:pPr>
              <w:spacing w:after="0"/>
              <w:rPr>
                <w:sz w:val="24"/>
                <w:szCs w:val="24"/>
                <w:color w:val="auto"/>
              </w:rPr>
            </w:pPr>
          </w:p>
        </w:tc>
        <w:tc>
          <w:tcPr>
            <w:tcW w:w="6360" w:type="dxa"/>
            <w:vAlign w:val="bottom"/>
            <w:gridSpan w:val="2"/>
          </w:tcPr>
          <w:p>
            <w:pPr>
              <w:ind w:left="1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r>
        <w:trPr>
          <w:trHeight w:val="27"/>
        </w:trPr>
        <w:tc>
          <w:tcPr>
            <w:tcW w:w="3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Anthony J. Park</w:t>
            </w:r>
          </w:p>
        </w:tc>
      </w:tr>
      <w:tr>
        <w:trPr>
          <w:trHeight w:val="256"/>
        </w:trPr>
        <w:tc>
          <w:tcPr>
            <w:tcW w:w="33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702"/>
        </w:trPr>
        <w:tc>
          <w:tcPr>
            <w:tcW w:w="334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b w:val="1"/>
          <w:bCs w:val="1"/>
          <w:color w:val="auto"/>
        </w:rPr>
        <w:t>AMENDMENT NO. 4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20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THIS AMENDMENT NO. 4 TO AMENDED AND RESTATED EMPLOYMENT AGREEMENT (the "Amendment") is effective as of November 1, 2019, by and between </w:t>
      </w:r>
      <w:r>
        <w:rPr>
          <w:rFonts w:ascii="Arial" w:cs="Arial" w:eastAsia="Arial" w:hAnsi="Arial"/>
          <w:sz w:val="19"/>
          <w:szCs w:val="19"/>
          <w:b w:val="1"/>
          <w:bCs w:val="1"/>
          <w:color w:val="auto"/>
        </w:rPr>
        <w:t>FIDELITY NATIONAL FINANCIAL, INC.</w:t>
      </w:r>
      <w:r>
        <w:rPr>
          <w:rFonts w:ascii="Arial" w:cs="Arial" w:eastAsia="Arial" w:hAnsi="Arial"/>
          <w:sz w:val="19"/>
          <w:szCs w:val="19"/>
          <w:color w:val="auto"/>
        </w:rPr>
        <w:t xml:space="preserve">, a Delaware corporation (the "Company"), and </w:t>
      </w:r>
      <w:r>
        <w:rPr>
          <w:rFonts w:ascii="Arial" w:cs="Arial" w:eastAsia="Arial" w:hAnsi="Arial"/>
          <w:sz w:val="19"/>
          <w:szCs w:val="19"/>
          <w:b w:val="1"/>
          <w:bCs w:val="1"/>
          <w:color w:val="auto"/>
        </w:rPr>
        <w:t>MICHAEL L. GRAVELLE</w:t>
      </w:r>
      <w:r>
        <w:rPr>
          <w:rFonts w:ascii="Arial" w:cs="Arial" w:eastAsia="Arial" w:hAnsi="Arial"/>
          <w:sz w:val="19"/>
          <w:szCs w:val="19"/>
          <w:color w:val="auto"/>
        </w:rPr>
        <w:t xml:space="preserve"> (the "Employee") and amends that certain Amended and Restated Employment Agreement dated as of January 1, 2010, as amended by Amendment No. 1 dated January 30, 2013, Amendment No. 2 dated March 1, 2015, and Amendment No. 3 dated May 3, 2016 (the "Agreement"), which the parties agree is in full force and effect as of the date hereof. In consideration of the mutual covenants and agreements set forth herein, the parties agree as follows:</w:t>
      </w:r>
    </w:p>
    <w:p>
      <w:pPr>
        <w:spacing w:after="0" w:line="150" w:lineRule="exact"/>
        <w:rPr>
          <w:sz w:val="20"/>
          <w:szCs w:val="20"/>
          <w:color w:val="auto"/>
        </w:rPr>
      </w:pPr>
    </w:p>
    <w:p>
      <w:pPr>
        <w:jc w:val="both"/>
        <w:ind w:left="660" w:hanging="328"/>
        <w:spacing w:after="0" w:line="246"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last sentence of Section 2 of the Agreement is deleted and the following shall be inserted in lieu thereof: The Company acknowledges and agrees that Employee may serve and receive compensation as Executive Vice President and General Counsel of Black Knight, Inc. (“Black Knight”), Executive Vice President, General Counsel and Corporate Secretary of Cannae Holdings, Inc. (“Cannae”) and Trasimene Management Services, LLC (“Trasimene”), and in other unpaid non-competitor companies.</w:t>
      </w:r>
    </w:p>
    <w:p>
      <w:pPr>
        <w:spacing w:after="0" w:line="4" w:lineRule="exact"/>
        <w:rPr>
          <w:rFonts w:ascii="Arial" w:cs="Arial" w:eastAsia="Arial" w:hAnsi="Arial"/>
          <w:sz w:val="22"/>
          <w:szCs w:val="22"/>
          <w:color w:val="auto"/>
        </w:rPr>
      </w:pPr>
    </w:p>
    <w:p>
      <w:pPr>
        <w:ind w:left="660" w:right="20" w:hanging="328"/>
        <w:spacing w:after="0" w:line="260" w:lineRule="auto"/>
        <w:tabs>
          <w:tab w:leader="none" w:pos="552"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first sentence of Section 4 of the Agreement is deleted and the following shall be inserted in lieu thereof: “</w:t>
      </w:r>
      <w:r>
        <w:rPr>
          <w:rFonts w:ascii="Arial" w:cs="Arial" w:eastAsia="Arial" w:hAnsi="Arial"/>
          <w:sz w:val="21"/>
          <w:szCs w:val="21"/>
          <w:u w:val="single" w:color="auto"/>
          <w:color w:val="auto"/>
        </w:rPr>
        <w:t>Salary</w:t>
      </w:r>
      <w:r>
        <w:rPr>
          <w:rFonts w:ascii="Arial" w:cs="Arial" w:eastAsia="Arial" w:hAnsi="Arial"/>
          <w:sz w:val="21"/>
          <w:szCs w:val="21"/>
          <w:color w:val="auto"/>
        </w:rPr>
        <w:t>. During the period from the Effective Date through the end of the Employment Term, the Company shall pay the Employee a base salary at an annual rate, before deducting all applicable withholdings, of no less than $326,375 per year, payable at the time and in the manner dictated by the Company's standard payroll policies.”</w:t>
      </w:r>
    </w:p>
    <w:p>
      <w:pPr>
        <w:spacing w:after="0" w:line="178" w:lineRule="exact"/>
        <w:rPr>
          <w:rFonts w:ascii="Arial" w:cs="Arial" w:eastAsia="Arial" w:hAnsi="Arial"/>
          <w:sz w:val="21"/>
          <w:szCs w:val="21"/>
          <w:color w:val="auto"/>
        </w:rPr>
      </w:pPr>
    </w:p>
    <w:p>
      <w:pPr>
        <w:jc w:val="both"/>
        <w:ind w:left="660" w:hanging="328"/>
        <w:spacing w:after="0" w:line="264" w:lineRule="auto"/>
        <w:tabs>
          <w:tab w:leader="none" w:pos="6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Section 5(d) is deleted and the following shall be inserted in lieu thereof: “an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target Annual Bonus under the Annual Bonus Plan shall be no less than 105% of the Employee’s paid salary with the Company, with a maximum of up to 210% of the Employee's paid salary with the Company (collectively, the target and maximum are referred to as the "Annual Bonus Opportunity"). The Employee's Annual Bonus Opportunity may be periodically reviewed and increased (but not decreased without the Employee's express written consent) at the discretion of the Committee. The Annual Bonus shall be paid no later than the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first following the calendar year to which the Annual Bonus relates. Unless provided otherwise herein or the Committee determines otherwise, no Annual Bonus shall be paid to the Employee unless the Employee is employed by the Company, or an affiliate thereof, on the last day of the Annual Bonus measurement period.”</w:t>
      </w:r>
    </w:p>
    <w:p>
      <w:pPr>
        <w:spacing w:after="0" w:line="180" w:lineRule="exact"/>
        <w:rPr>
          <w:rFonts w:ascii="Arial" w:cs="Arial" w:eastAsia="Arial" w:hAnsi="Arial"/>
          <w:sz w:val="20"/>
          <w:szCs w:val="20"/>
          <w:color w:val="auto"/>
        </w:rPr>
      </w:pPr>
    </w:p>
    <w:p>
      <w:pPr>
        <w:ind w:left="660" w:hanging="328"/>
        <w:spacing w:after="0"/>
        <w:tabs>
          <w:tab w:leader="none" w:pos="6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Section 9(a)(iii) is deleted and the following shall be inserted in lieu thereof: “the Company shall pay the Employee, no later</w:t>
      </w:r>
    </w:p>
    <w:p>
      <w:pPr>
        <w:spacing w:after="0" w:line="56" w:lineRule="exact"/>
        <w:rPr>
          <w:rFonts w:ascii="Arial" w:cs="Arial" w:eastAsia="Arial" w:hAnsi="Arial"/>
          <w:sz w:val="19"/>
          <w:szCs w:val="19"/>
          <w:color w:val="auto"/>
        </w:rPr>
      </w:pPr>
    </w:p>
    <w:p>
      <w:pPr>
        <w:jc w:val="both"/>
        <w:ind w:left="660"/>
        <w:spacing w:after="0" w:line="241" w:lineRule="auto"/>
        <w:rPr>
          <w:rFonts w:ascii="Arial" w:cs="Arial" w:eastAsia="Arial" w:hAnsi="Arial"/>
          <w:sz w:val="19"/>
          <w:szCs w:val="19"/>
          <w:color w:val="auto"/>
        </w:rPr>
      </w:pPr>
      <w:r>
        <w:rPr>
          <w:rFonts w:ascii="Arial" w:cs="Arial" w:eastAsia="Arial" w:hAnsi="Arial"/>
          <w:sz w:val="21"/>
          <w:szCs w:val="21"/>
          <w:color w:val="auto"/>
        </w:rPr>
        <w:t>than the sixty-fifth (65</w:t>
      </w:r>
      <w:r>
        <w:rPr>
          <w:rFonts w:ascii="Arial" w:cs="Arial" w:eastAsia="Arial" w:hAnsi="Arial"/>
          <w:sz w:val="27"/>
          <w:szCs w:val="27"/>
          <w:color w:val="auto"/>
          <w:vertAlign w:val="superscript"/>
        </w:rPr>
        <w:t>th</w:t>
      </w:r>
      <w:r>
        <w:rPr>
          <w:rFonts w:ascii="Arial" w:cs="Arial" w:eastAsia="Arial" w:hAnsi="Arial"/>
          <w:sz w:val="21"/>
          <w:szCs w:val="21"/>
          <w:color w:val="auto"/>
        </w:rPr>
        <w:t>) calendar day after the Date of Termination, a lump-sum payment equal to 100% of the sum of: (A) the Employee's Annual Base Salary in effect immediately prior to the Date of Termination (disregarding any reduction in Annual Base Salary to which the Employee did not expressly consent in writing); and (B) the highest Annual Bonus paid to the Employee by the Company within the three (3) years preceding his termination of employment or, if higher, the target Annual Bonus Opportunity in the year in which the Date of Termination occurs;</w:t>
      </w:r>
    </w:p>
    <w:p>
      <w:pPr>
        <w:spacing w:after="0" w:line="199" w:lineRule="exact"/>
        <w:rPr>
          <w:rFonts w:ascii="Arial" w:cs="Arial" w:eastAsia="Arial" w:hAnsi="Arial"/>
          <w:sz w:val="19"/>
          <w:szCs w:val="19"/>
          <w:color w:val="auto"/>
        </w:rPr>
      </w:pPr>
    </w:p>
    <w:p>
      <w:pPr>
        <w:jc w:val="both"/>
        <w:ind w:left="660" w:hanging="328"/>
        <w:spacing w:after="0" w:line="250"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Section 12(c) of the Agreement is deleted and the following shall be inserted in lieu thereof: Working directly or indirectly for any of the following entities shall not be considered competitive to the Company or its affiliates for the purpose of this Section: (i) Cannae, its affiliates or their successors, (ii) Black Knight, its affiliates or their successors or (iii) Trasimene, its affiliates or their successors.</w:t>
      </w:r>
    </w:p>
    <w:p>
      <w:pPr>
        <w:sectPr>
          <w:pgSz w:w="11900" w:h="16838" w:orient="portrait"/>
          <w:cols w:equalWidth="0" w:num="1">
            <w:col w:w="11420"/>
          </w:cols>
          <w:pgMar w:left="240" w:top="585" w:right="239" w:bottom="1440" w:gutter="0" w:footer="0" w:header="0"/>
        </w:sectPr>
      </w:pPr>
    </w:p>
    <w:bookmarkStart w:id="39" w:name="page40"/>
    <w:bookmarkEnd w:id="39"/>
    <w:p>
      <w:pPr>
        <w:spacing w:after="0"/>
        <w:rPr>
          <w:sz w:val="20"/>
          <w:szCs w:val="20"/>
          <w:color w:val="auto"/>
        </w:rPr>
      </w:pPr>
      <w:r>
        <w:rPr>
          <w:rFonts w:ascii="Arial" w:cs="Arial" w:eastAsia="Arial" w:hAnsi="Arial"/>
          <w:sz w:val="19"/>
          <w:szCs w:val="19"/>
          <w:color w:val="auto"/>
        </w:rPr>
        <w:t>IN WITNESS WHEREOF the parties have executed this Amendment to be effective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FIDELITY NATIONAL FINANCIAL, INC.</w:t>
      </w:r>
    </w:p>
    <w:p>
      <w:pPr>
        <w:spacing w:after="0" w:line="6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3822700</wp:posOffset>
            </wp:positionH>
            <wp:positionV relativeFrom="paragraph">
              <wp:posOffset>31750</wp:posOffset>
            </wp:positionV>
            <wp:extent cx="28130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ectPr>
          <w:pgSz w:w="11900" w:h="16838" w:orient="portrait"/>
          <w:cols w:equalWidth="0" w:num="1">
            <w:col w:w="10320"/>
          </w:cols>
          <w:pgMar w:left="900" w:top="591" w:right="679" w:bottom="1440" w:gutter="0" w:footer="0" w:header="0"/>
        </w:sectPr>
      </w:pPr>
    </w:p>
    <w:p>
      <w:pPr>
        <w:spacing w:after="0" w:line="347"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ectPr>
          <w:pgSz w:w="11900" w:h="16838" w:orient="portrait"/>
          <w:cols w:equalWidth="0" w:num="2">
            <w:col w:w="5620" w:space="420"/>
            <w:col w:w="4280"/>
          </w:cols>
          <w:pgMar w:left="900" w:top="591" w:right="679" w:bottom="1440" w:gutter="0" w:footer="0" w:header="0"/>
          <w:type w:val="continuous"/>
        </w:sectPr>
      </w:pPr>
    </w:p>
    <w:p>
      <w:pPr>
        <w:spacing w:after="0" w:line="199"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MICHAEL L.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245110</wp:posOffset>
            </wp:positionV>
            <wp:extent cx="32245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ectPr>
          <w:pgSz w:w="11900" w:h="16838" w:orient="portrait"/>
          <w:cols w:equalWidth="0" w:num="1">
            <w:col w:w="10320"/>
          </w:cols>
          <w:pgMar w:left="900" w:top="591" w:right="67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October 30, 2019</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October 30, 2019</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lvl w:ilvl="1">
      <w:lvlJc w:val="left"/>
      <w:lvlText w:val="%2"/>
      <w:numFmt w:val="decimal"/>
      <w:start w:val="104"/>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2" Type="http://schemas.openxmlformats.org/officeDocument/2006/relationships/hyperlink" Target="http://www.sec.gov/Archives/edgar/data/1331875/000133187519000041/ex101termination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2019-12-28T04:16:20Z</dcterms:created>
  <dcterms:modified xsi:type="dcterms:W3CDTF">2019-12-28T04:16:20Z</dcterms:modified>
</cp:coreProperties>
</file>