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August 2, 2022</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Fidelity National Financial, Inc.</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001-32630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w:t>
      </w:r>
    </w:p>
    <w:p>
      <w:pPr>
        <w:spacing w:after="0" w:line="35" w:lineRule="exact"/>
        <w:rPr>
          <w:sz w:val="24"/>
          <w:szCs w:val="24"/>
          <w:color w:val="auto"/>
        </w:rPr>
      </w:pPr>
    </w:p>
    <w:tbl>
      <w:tblPr>
        <w:tblLayout w:type="fixed"/>
        <w:tblInd w:w="1820" w:type="dxa"/>
        <w:tblCellMar>
          <w:top w:w="0" w:type="dxa"/>
          <w:left w:w="0" w:type="dxa"/>
          <w:bottom w:w="0" w:type="dxa"/>
          <w:right w:w="0" w:type="dxa"/>
        </w:tblCellMar>
      </w:tblPr>
      <w:tr>
        <w:trPr>
          <w:trHeight w:val="230"/>
        </w:trPr>
        <w:tc>
          <w:tcPr>
            <w:tcW w:w="3660" w:type="dxa"/>
            <w:vAlign w:val="bottom"/>
          </w:tcPr>
          <w:p>
            <w:pPr>
              <w:ind w:left="760"/>
              <w:spacing w:after="0"/>
              <w:rPr>
                <w:sz w:val="20"/>
                <w:szCs w:val="20"/>
                <w:color w:val="auto"/>
              </w:rPr>
            </w:pPr>
            <w:r>
              <w:rPr>
                <w:rFonts w:ascii="Arial" w:cs="Arial" w:eastAsia="Arial" w:hAnsi="Arial"/>
                <w:sz w:val="18"/>
                <w:szCs w:val="18"/>
                <w:color w:val="auto"/>
              </w:rPr>
              <w:t>Delaware</w:t>
            </w:r>
          </w:p>
        </w:tc>
        <w:tc>
          <w:tcPr>
            <w:tcW w:w="4240" w:type="dxa"/>
            <w:vAlign w:val="bottom"/>
          </w:tcPr>
          <w:p>
            <w:pPr>
              <w:jc w:val="right"/>
              <w:ind w:right="890"/>
              <w:spacing w:after="0"/>
              <w:rPr>
                <w:sz w:val="20"/>
                <w:szCs w:val="20"/>
                <w:color w:val="auto"/>
              </w:rPr>
            </w:pPr>
            <w:r>
              <w:rPr>
                <w:rFonts w:ascii="Arial" w:cs="Arial" w:eastAsia="Arial" w:hAnsi="Arial"/>
                <w:sz w:val="18"/>
                <w:szCs w:val="18"/>
                <w:color w:val="auto"/>
              </w:rPr>
              <w:t>16-1725106</w:t>
            </w:r>
          </w:p>
        </w:tc>
        <w:tc>
          <w:tcPr>
            <w:tcW w:w="0" w:type="dxa"/>
            <w:vAlign w:val="bottom"/>
          </w:tcPr>
          <w:p>
            <w:pPr>
              <w:spacing w:after="0"/>
              <w:rPr>
                <w:sz w:val="1"/>
                <w:szCs w:val="1"/>
                <w:color w:val="auto"/>
              </w:rPr>
            </w:pPr>
          </w:p>
        </w:tc>
      </w:tr>
      <w:tr>
        <w:trPr>
          <w:trHeight w:val="351"/>
        </w:trPr>
        <w:tc>
          <w:tcPr>
            <w:tcW w:w="3660" w:type="dxa"/>
            <w:vAlign w:val="bottom"/>
          </w:tcPr>
          <w:p>
            <w:pPr>
              <w:ind w:left="20"/>
              <w:spacing w:after="0"/>
              <w:rPr>
                <w:sz w:val="20"/>
                <w:szCs w:val="20"/>
                <w:color w:val="auto"/>
              </w:rPr>
            </w:pPr>
            <w:r>
              <w:rPr>
                <w:rFonts w:ascii="Arial" w:cs="Arial" w:eastAsia="Arial" w:hAnsi="Arial"/>
                <w:sz w:val="18"/>
                <w:szCs w:val="18"/>
                <w:color w:val="auto"/>
              </w:rPr>
              <w:t>(State or Other Jurisdiction of</w:t>
            </w:r>
          </w:p>
        </w:tc>
        <w:tc>
          <w:tcPr>
            <w:tcW w:w="4240" w:type="dxa"/>
            <w:vAlign w:val="bottom"/>
            <w:vMerge w:val="restart"/>
          </w:tcPr>
          <w:p>
            <w:pPr>
              <w:jc w:val="center"/>
              <w:ind w:left="1330"/>
              <w:spacing w:after="0"/>
              <w:rPr>
                <w:sz w:val="20"/>
                <w:szCs w:val="20"/>
                <w:color w:val="auto"/>
              </w:rPr>
            </w:pPr>
            <w:r>
              <w:rPr>
                <w:rFonts w:ascii="Arial" w:cs="Arial" w:eastAsia="Arial" w:hAnsi="Arial"/>
                <w:sz w:val="18"/>
                <w:szCs w:val="18"/>
                <w:color w:val="auto"/>
                <w:w w:val="94"/>
              </w:rPr>
              <w:t>(IRS Employer Identification Number)</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4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601 Riverside Avenue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Jacksonville, Florida 32204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(Addresses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(904) 854-8100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6" w:lineRule="exact"/>
        <w:rPr>
          <w:sz w:val="24"/>
          <w:szCs w:val="24"/>
          <w:color w:val="auto"/>
        </w:rPr>
      </w:pPr>
    </w:p>
    <w:tbl>
      <w:tblPr>
        <w:tblLayout w:type="fixed"/>
        <w:tblInd w:w="64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66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91"/>
              </w:rPr>
              <w:t>Title of Each Class</w:t>
            </w:r>
          </w:p>
        </w:tc>
        <w:tc>
          <w:tcPr>
            <w:tcW w:w="23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Trading Symbol</w:t>
            </w:r>
          </w:p>
        </w:tc>
        <w:tc>
          <w:tcPr>
            <w:tcW w:w="3860" w:type="dxa"/>
            <w:vAlign w:val="bottom"/>
            <w:gridSpan w:val="2"/>
          </w:tcPr>
          <w:p>
            <w:pPr>
              <w:jc w:val="center"/>
              <w:ind w:left="61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50"/>
        </w:trPr>
        <w:tc>
          <w:tcPr>
            <w:tcW w:w="344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FNF Common Stock, $0.0001 par value</w:t>
            </w:r>
          </w:p>
        </w:tc>
        <w:tc>
          <w:tcPr>
            <w:tcW w:w="560" w:type="dxa"/>
            <w:vAlign w:val="bottom"/>
          </w:tcPr>
          <w:p>
            <w:pPr>
              <w:spacing w:after="0"/>
              <w:rPr>
                <w:sz w:val="21"/>
                <w:szCs w:val="21"/>
                <w:color w:val="auto"/>
              </w:rPr>
            </w:pPr>
          </w:p>
        </w:tc>
        <w:tc>
          <w:tcPr>
            <w:tcW w:w="1820" w:type="dxa"/>
            <w:vAlign w:val="bottom"/>
            <w:gridSpan w:val="2"/>
          </w:tcPr>
          <w:p>
            <w:pPr>
              <w:jc w:val="center"/>
              <w:ind w:right="720"/>
              <w:spacing w:after="0"/>
              <w:rPr>
                <w:sz w:val="20"/>
                <w:szCs w:val="20"/>
                <w:color w:val="auto"/>
              </w:rPr>
            </w:pPr>
            <w:r>
              <w:rPr>
                <w:rFonts w:ascii="Arial" w:cs="Arial" w:eastAsia="Arial" w:hAnsi="Arial"/>
                <w:sz w:val="18"/>
                <w:szCs w:val="18"/>
                <w:color w:val="auto"/>
                <w:w w:val="97"/>
              </w:rPr>
              <w:t>FNF</w:t>
            </w:r>
          </w:p>
        </w:tc>
        <w:tc>
          <w:tcPr>
            <w:tcW w:w="70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6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44"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1046480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8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August 2, 2022, Fidelity National Financial, Inc. (the "Company", "FNF") issued an earnings release announcing its financial results for the Second Quarter of 2022. A copy of the FNF earnings release is attached as Exhibit 99.1 to this Current Report on Form 8-K. In addition, the Company is furnishing the quarterly financial supplement for its F&amp;G operating segment as Exhibit 99.2 to this Current Report on Form 8-K.</w:t>
      </w:r>
    </w:p>
    <w:p>
      <w:pPr>
        <w:spacing w:after="0" w:line="19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following information, including the Exhibits referenced in this Item 2.02, is being furnished pursuant to this Item 2.02 and shall not be deemed “filed” for purposes of Section 18 of the Securities Exchange Act of 1934, as amended or otherwise subject to the liabilities of that Section, nor shall it be deemed incorporated by reference into any registration statement or other document pursuant to the Securities Act of 1933, as amended, except as shall be expressly set forth by specific reference in such filing.</w:t>
      </w:r>
    </w:p>
    <w:p>
      <w:pPr>
        <w:spacing w:after="0" w:line="7" w:lineRule="exact"/>
        <w:rPr>
          <w:sz w:val="20"/>
          <w:szCs w:val="20"/>
          <w:color w:val="auto"/>
        </w:rPr>
      </w:pPr>
    </w:p>
    <w:p>
      <w:pPr>
        <w:ind w:left="560"/>
        <w:spacing w:after="0"/>
        <w:tabs>
          <w:tab w:leader="none" w:pos="18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75" w:lineRule="exact"/>
        <w:rPr>
          <w:sz w:val="20"/>
          <w:szCs w:val="20"/>
          <w:color w:val="auto"/>
        </w:rPr>
      </w:pPr>
    </w:p>
    <w:p>
      <w:pPr>
        <w:ind w:left="700"/>
        <w:spacing w:after="0"/>
        <w:tabs>
          <w:tab w:leader="none" w:pos="17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729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pacing w:after="0" w:line="30" w:lineRule="exact"/>
        <w:rPr>
          <w:sz w:val="20"/>
          <w:szCs w:val="20"/>
          <w:color w:val="auto"/>
        </w:rPr>
      </w:pPr>
    </w:p>
    <w:p>
      <w:pPr>
        <w:ind w:left="920"/>
        <w:spacing w:after="0"/>
        <w:tabs>
          <w:tab w:leader="none" w:pos="170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announcing FNF Second Quarter 2022 Earnings</w:t>
        </w:r>
      </w:hyperlink>
    </w:p>
    <w:p>
      <w:pPr>
        <w:spacing w:after="0" w:line="23" w:lineRule="exact"/>
        <w:rPr>
          <w:sz w:val="20"/>
          <w:szCs w:val="20"/>
          <w:color w:val="auto"/>
        </w:rPr>
      </w:pPr>
    </w:p>
    <w:p>
      <w:pPr>
        <w:ind w:left="920"/>
        <w:spacing w:after="0"/>
        <w:tabs>
          <w:tab w:leader="none" w:pos="1700" w:val="left"/>
        </w:tabs>
        <w:rPr>
          <w:rFonts w:ascii="Arial" w:cs="Arial" w:eastAsia="Arial" w:hAnsi="Arial"/>
          <w:sz w:val="16"/>
          <w:szCs w:val="16"/>
          <w:u w:val="single" w:color="auto"/>
          <w:color w:val="0000FF"/>
        </w:rPr>
      </w:pPr>
      <w:r>
        <w:rPr>
          <w:rFonts w:ascii="Arial" w:cs="Arial" w:eastAsia="Arial" w:hAnsi="Arial"/>
          <w:sz w:val="18"/>
          <w:szCs w:val="18"/>
          <w:color w:val="auto"/>
        </w:rPr>
        <w:t>99.2</w:t>
      </w:r>
      <w:r>
        <w:rPr>
          <w:sz w:val="20"/>
          <w:szCs w:val="20"/>
          <w:color w:val="auto"/>
        </w:rPr>
        <w:tab/>
      </w:r>
      <w:hyperlink w:anchor="page23">
        <w:r>
          <w:rPr>
            <w:rFonts w:ascii="Arial" w:cs="Arial" w:eastAsia="Arial" w:hAnsi="Arial"/>
            <w:sz w:val="16"/>
            <w:szCs w:val="16"/>
            <w:u w:val="single" w:color="auto"/>
            <w:color w:val="0000FF"/>
          </w:rPr>
          <w:t xml:space="preserve">Financial Supplement of F&amp;G, dated August </w:t>
        </w:r>
      </w:hyperlink>
      <w:r>
        <w:rPr>
          <w:rFonts w:ascii="Arial" w:cs="Arial" w:eastAsia="Arial" w:hAnsi="Arial"/>
          <w:sz w:val="16"/>
          <w:szCs w:val="16"/>
          <w:u w:val="single" w:color="auto"/>
          <w:color w:val="0000FF"/>
        </w:rPr>
        <w:t xml:space="preserve">2, </w:t>
      </w:r>
      <w:hyperlink w:anchor="page23">
        <w:r>
          <w:rPr>
            <w:rFonts w:ascii="Arial" w:cs="Arial" w:eastAsia="Arial" w:hAnsi="Arial"/>
            <w:sz w:val="16"/>
            <w:szCs w:val="16"/>
            <w:u w:val="single" w:color="auto"/>
            <w:color w:val="0000FF"/>
          </w:rPr>
          <w:t>2022</w:t>
        </w:r>
      </w:hyperlink>
    </w:p>
    <w:p>
      <w:pPr>
        <w:spacing w:after="0" w:line="23" w:lineRule="exact"/>
        <w:rPr>
          <w:sz w:val="20"/>
          <w:szCs w:val="20"/>
          <w:color w:val="auto"/>
        </w:rPr>
      </w:pPr>
    </w:p>
    <w:p>
      <w:pPr>
        <w:ind w:left="960"/>
        <w:spacing w:after="0"/>
        <w:tabs>
          <w:tab w:leader="none" w:pos="1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1347470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firstLine="225"/>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940" w:type="dxa"/>
            <w:vAlign w:val="bottom"/>
            <w:gridSpan w:val="3"/>
          </w:tcPr>
          <w:p>
            <w:pPr>
              <w:ind w:left="1600"/>
              <w:spacing w:after="0"/>
              <w:rPr>
                <w:sz w:val="20"/>
                <w:szCs w:val="20"/>
                <w:color w:val="auto"/>
              </w:rPr>
            </w:pPr>
            <w:r>
              <w:rPr>
                <w:rFonts w:ascii="Arial" w:cs="Arial" w:eastAsia="Arial" w:hAnsi="Arial"/>
                <w:sz w:val="18"/>
                <w:szCs w:val="18"/>
                <w:b w:val="1"/>
                <w:bCs w:val="1"/>
                <w:color w:val="auto"/>
              </w:rPr>
              <w:t>Fidelity National Financial, Inc.</w:t>
            </w: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60"/>
              <w:spacing w:after="0"/>
              <w:rPr>
                <w:sz w:val="20"/>
                <w:szCs w:val="20"/>
                <w:color w:val="auto"/>
              </w:rPr>
            </w:pPr>
            <w:r>
              <w:rPr>
                <w:rFonts w:ascii="Arial" w:cs="Arial" w:eastAsia="Arial" w:hAnsi="Arial"/>
                <w:sz w:val="18"/>
                <w:szCs w:val="18"/>
                <w:color w:val="auto"/>
              </w:rPr>
              <w:t>August 2, 2022</w:t>
            </w:r>
          </w:p>
        </w:tc>
        <w:tc>
          <w:tcPr>
            <w:tcW w:w="5940" w:type="dxa"/>
            <w:vAlign w:val="bottom"/>
            <w:gridSpan w:val="3"/>
          </w:tcPr>
          <w:p>
            <w:pPr>
              <w:ind w:left="1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22"/>
        </w:trPr>
        <w:tc>
          <w:tcPr>
            <w:tcW w:w="5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1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Anthony J. Park</w:t>
            </w:r>
          </w:p>
        </w:tc>
      </w:tr>
      <w:tr>
        <w:trPr>
          <w:trHeight w:val="230"/>
        </w:trPr>
        <w:tc>
          <w:tcPr>
            <w:tcW w:w="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3180" w:type="dxa"/>
            <w:vAlign w:val="bottom"/>
          </w:tcPr>
          <w:p>
            <w:pPr>
              <w:ind w:left="2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0480"/>
          </w:cols>
          <w:pgMar w:left="580" w:top="891" w:right="8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551815</wp:posOffset>
            </wp:positionV>
            <wp:extent cx="5863590" cy="883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86359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FNF Reports Second Quarter 2022 Financial Results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Jacksonville, Fla. – (August 2, 2022) - Fidelity National Financial, Inc. (NYSE:FNF) (the Company), a leading provider of title insurance and transaction services to the real estate and mortgage industries and a leading provider of insurance solutions serving retail annuity and life customers and institutional clients through FNF’s wholly-owned subsidiary, F&amp;G, today reported financial results for the second quarter ended June 30, 2022.</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color w:val="auto"/>
        </w:rPr>
        <w:t xml:space="preserve">Net earnings attributable to common shareholders </w:t>
      </w:r>
      <w:r>
        <w:rPr>
          <w:rFonts w:ascii="Arial" w:cs="Arial" w:eastAsia="Arial" w:hAnsi="Arial"/>
          <w:sz w:val="18"/>
          <w:szCs w:val="18"/>
          <w:color w:val="auto"/>
        </w:rPr>
        <w:t>for the second quarter of $382 million, or $1.37 per diluted share (per share), compared to $552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$1.92 per share, for the second quarter of 2021. Net earnings attributable to common shareholders for the second quarter of 2022 includes $80 million of net unfavorable mark-to-market effects and $68 million of other unfavorable items; all of which are excluded from adjusted net earnings attributable to common shareholders.</w:t>
      </w:r>
    </w:p>
    <w:p>
      <w:pPr>
        <w:spacing w:after="0" w:line="19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color w:val="auto"/>
        </w:rPr>
        <w:t xml:space="preserve">Adjusted net earnings attributable to common shareholders (adjusted net earnings) </w:t>
      </w:r>
      <w:r>
        <w:rPr>
          <w:rFonts w:ascii="Arial" w:cs="Arial" w:eastAsia="Arial" w:hAnsi="Arial"/>
          <w:sz w:val="18"/>
          <w:szCs w:val="18"/>
          <w:color w:val="auto"/>
        </w:rPr>
        <w:t>for the second quarter of $530 million, or $1.90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$593 million, or $2.06 per share, for the second quarter of 2021. The decrease from the prior year quarter was primarily a result of Title’s decline in refinance volume, representing trough level activity versus the record levels set in the prior year period; partially offset by higher average fee per file, steady volume of commercial orders closed and higher earnings from F&amp;G. F&amp;G’s adjusted net earnings for the second quarter of 2022 were $128 million, including $36 million of net favorable items primarily as a result of actuarial assumption updates, compared to $92 million, including $22 million of net favorable items, for the second quarter of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Company Highlights</w:t>
      </w:r>
    </w:p>
    <w:p>
      <w:pPr>
        <w:spacing w:after="0" w:line="262" w:lineRule="exact"/>
        <w:rPr>
          <w:sz w:val="20"/>
          <w:szCs w:val="20"/>
          <w:color w:val="auto"/>
        </w:rPr>
      </w:pPr>
    </w:p>
    <w:p>
      <w:pPr>
        <w:ind w:left="660" w:hanging="328"/>
        <w:spacing w:after="0" w:line="232" w:lineRule="auto"/>
        <w:tabs>
          <w:tab w:leader="none" w:pos="655" w:val="left"/>
        </w:tabs>
        <w:numPr>
          <w:ilvl w:val="0"/>
          <w:numId w:val="2"/>
        </w:numPr>
        <w:rPr>
          <w:rFonts w:ascii="Arial" w:cs="Arial" w:eastAsia="Arial" w:hAnsi="Arial"/>
          <w:sz w:val="21"/>
          <w:szCs w:val="21"/>
          <w:color w:val="auto"/>
        </w:rPr>
      </w:pPr>
      <w:r>
        <w:rPr>
          <w:rFonts w:ascii="Arial" w:cs="Arial" w:eastAsia="Arial" w:hAnsi="Arial"/>
          <w:sz w:val="17"/>
          <w:szCs w:val="17"/>
          <w:b w:val="1"/>
          <w:bCs w:val="1"/>
          <w:color w:val="auto"/>
        </w:rPr>
        <w:t xml:space="preserve">Solid Title Revenue: </w:t>
      </w:r>
      <w:r>
        <w:rPr>
          <w:rFonts w:ascii="Arial" w:cs="Arial" w:eastAsia="Arial" w:hAnsi="Arial"/>
          <w:sz w:val="17"/>
          <w:szCs w:val="17"/>
          <w:color w:val="auto"/>
        </w:rPr>
        <w:t>For the Title segment, total revenue of $2.6 billion, compared with $3.0 billion in total revenue in the second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2021. Total revenue, excluding recognized gains and losses, of $2.8 billion, compared with $3.0 billion in the second quarter of 2021</w:t>
      </w:r>
    </w:p>
    <w:p>
      <w:pPr>
        <w:ind w:left="660" w:right="20" w:hanging="328"/>
        <w:spacing w:after="0" w:line="249" w:lineRule="auto"/>
        <w:tabs>
          <w:tab w:leader="none" w:pos="655" w:val="left"/>
        </w:tabs>
        <w:numPr>
          <w:ilvl w:val="0"/>
          <w:numId w:val="2"/>
        </w:numPr>
        <w:rPr>
          <w:rFonts w:ascii="Arial" w:cs="Arial" w:eastAsia="Arial" w:hAnsi="Arial"/>
          <w:sz w:val="19"/>
          <w:szCs w:val="19"/>
          <w:color w:val="auto"/>
        </w:rPr>
      </w:pPr>
      <w:r>
        <w:rPr>
          <w:rFonts w:ascii="Arial" w:cs="Arial" w:eastAsia="Arial" w:hAnsi="Arial"/>
          <w:sz w:val="16"/>
          <w:szCs w:val="16"/>
          <w:b w:val="1"/>
          <w:bCs w:val="1"/>
          <w:color w:val="auto"/>
        </w:rPr>
        <w:t>Growth strategy drives strong sales for F&amp;G</w:t>
      </w:r>
      <w:r>
        <w:rPr>
          <w:rFonts w:ascii="Arial" w:cs="Arial" w:eastAsia="Arial" w:hAnsi="Arial"/>
          <w:sz w:val="16"/>
          <w:szCs w:val="16"/>
          <w:color w:val="auto"/>
        </w:rPr>
        <w:t>: Total sales of $3.1 billion for the second quarter, a 15% increase over second quarter 2021 and a</w:t>
      </w:r>
      <w:r>
        <w:rPr>
          <w:rFonts w:ascii="Arial" w:cs="Arial" w:eastAsia="Arial" w:hAnsi="Arial"/>
          <w:sz w:val="16"/>
          <w:szCs w:val="16"/>
          <w:b w:val="1"/>
          <w:bCs w:val="1"/>
          <w:color w:val="auto"/>
        </w:rPr>
        <w:t xml:space="preserve"> </w:t>
      </w:r>
      <w:r>
        <w:rPr>
          <w:rFonts w:ascii="Arial" w:cs="Arial" w:eastAsia="Arial" w:hAnsi="Arial"/>
          <w:sz w:val="16"/>
          <w:szCs w:val="16"/>
          <w:color w:val="auto"/>
        </w:rPr>
        <w:t>19% increase over first quarter 2022; reflects successful execution of F&amp;G’s diversified growth strategy and a disciplined approach to pricing</w:t>
      </w:r>
    </w:p>
    <w:p>
      <w:pPr>
        <w:jc w:val="both"/>
        <w:ind w:left="660" w:hanging="328"/>
        <w:spacing w:after="0" w:line="21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Partial spin-off of F&amp;G remains on track: </w:t>
      </w:r>
      <w:r>
        <w:rPr>
          <w:rFonts w:ascii="Arial" w:cs="Arial" w:eastAsia="Arial" w:hAnsi="Arial"/>
          <w:sz w:val="18"/>
          <w:szCs w:val="18"/>
          <w:color w:val="auto"/>
        </w:rPr>
        <w:t>Pursuant to the previously announced transaction to distribute 15% ownership of F&amp;G to FNF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on a pro rata basis, F&amp;G has filed its confidential Form 10 registration statement with the U.S. Securities and Exchange Commission for the partial spin-off. The filing represents a significant milestone in the transaction process, which remains on track to close early in the fourth quarter of 2022, subject to customary approvals. As expected, the Company executed on the conversion of the $400 million intercompany term loan into F&amp;G equity during the second quarter</w:t>
      </w:r>
    </w:p>
    <w:p>
      <w:pPr>
        <w:spacing w:after="0" w:line="3" w:lineRule="exact"/>
        <w:rPr>
          <w:rFonts w:ascii="Arial" w:cs="Arial" w:eastAsia="Arial" w:hAnsi="Arial"/>
          <w:sz w:val="22"/>
          <w:szCs w:val="22"/>
          <w:color w:val="auto"/>
        </w:rPr>
      </w:pPr>
    </w:p>
    <w:p>
      <w:pPr>
        <w:jc w:val="both"/>
        <w:ind w:left="660" w:hanging="328"/>
        <w:spacing w:after="0" w:line="21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Ample deployable capital supports shareholder value: </w:t>
      </w:r>
      <w:r>
        <w:rPr>
          <w:rFonts w:ascii="Arial" w:cs="Arial" w:eastAsia="Arial" w:hAnsi="Arial"/>
          <w:sz w:val="18"/>
          <w:szCs w:val="18"/>
          <w:color w:val="auto"/>
        </w:rPr>
        <w:t>FNF has repurchased 4.3 million shares for $172 million, at an average price of $39.76</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in the second quarter and paid common dividends at $0.44 per share for $122 million. FNF ended the second quarter with $1.6 billion in cash and short-term liquid investments at the holding company</w:t>
      </w:r>
    </w:p>
    <w:p>
      <w:pPr>
        <w:spacing w:after="0" w:line="20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William P. Foley, II, commented, “As we continue to navigate the market volatility due to rising interest rates and the ongoing economic uncertainty, we are proud of our second quarter results where we delivered total revenue of $2.6 billion, reflecting a moderation from the record setting mortgage market activity experienced in the year ago second quarter. Our Title business performed well and reflects management’s execution and flexible operating model designed to rapidly adapt to changing market conditions. F&amp;G delivered near record sales in the second quarter, as investors sought safe haven investments given the sharp increase in market volatility, which generated growth in assets under management to $40.3 billion at June 30, 2022. F&amp;G’s performance in the current market</w:t>
      </w:r>
    </w:p>
    <w:p>
      <w:pPr>
        <w:sectPr>
          <w:pgSz w:w="11900" w:h="16838" w:orient="portrait"/>
          <w:cols w:equalWidth="0" w:num="1">
            <w:col w:w="11240"/>
          </w:cols>
          <w:pgMar w:left="320" w:top="1440" w:right="339" w:bottom="1440" w:gutter="0" w:footer="0" w:header="0"/>
        </w:sectPr>
      </w:pPr>
    </w:p>
    <w:bookmarkStart w:id="4" w:name="page5"/>
    <w:bookmarkEnd w:id="4"/>
    <w:p>
      <w:pPr>
        <w:jc w:val="both"/>
        <w:ind w:right="20"/>
        <w:spacing w:after="0" w:line="246" w:lineRule="auto"/>
        <w:rPr>
          <w:sz w:val="20"/>
          <w:szCs w:val="20"/>
          <w:color w:val="auto"/>
        </w:rPr>
      </w:pPr>
      <w:r>
        <w:rPr>
          <w:rFonts w:ascii="Arial" w:cs="Arial" w:eastAsia="Arial" w:hAnsi="Arial"/>
          <w:sz w:val="18"/>
          <w:szCs w:val="18"/>
          <w:color w:val="auto"/>
        </w:rPr>
        <w:t>environment continues to support our acquisition thesis given their countercyclical business model which benefits from higher interest rates and provides a balance to our business as Title revenues begin to contract given higher mortgage rates.”</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Foley concluded, “Looking forward, we remain optimistic that the F&amp;G partial spin-off is on track for the fourth quarter of this year and, once completed, will highlight the value creation that has occurred at F&amp;G over the last two years. This planned transaction represents the Board’s and management’s commitment to delivering value to our shareholders. Our capital allocation strategy is another lever that we utilize to provide a steady stream of capital to our shareholders through our quarterly dividend while maintaining our share repurchase program as we deploy our strong free cash flow. During the quarter, we accelerated our buyback activity having repurchased $172 million of stock as compared to $134 million in the first quarter. Year to date, we have repurchased $306 million of stock while returning $245 million through our quarterly dividend.”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Summary Financial Results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100" w:type="dxa"/>
            <w:vAlign w:val="bottom"/>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240" w:type="dxa"/>
            <w:vAlign w:val="bottom"/>
            <w:tcBorders>
              <w:bottom w:val="single" w:sz="8" w:color="auto"/>
            </w:tcBorders>
            <w:shd w:val="clear" w:color="auto" w:fill="00497F"/>
          </w:tcPr>
          <w:p>
            <w:pPr>
              <w:spacing w:after="0"/>
              <w:rPr>
                <w:sz w:val="19"/>
                <w:szCs w:val="19"/>
                <w:color w:val="auto"/>
              </w:rPr>
            </w:pPr>
          </w:p>
        </w:tc>
        <w:tc>
          <w:tcPr>
            <w:tcW w:w="3060" w:type="dxa"/>
            <w:vAlign w:val="bottom"/>
            <w:tcBorders>
              <w:bottom w:val="single" w:sz="8" w:color="auto"/>
            </w:tcBorders>
            <w:gridSpan w:val="3"/>
            <w:shd w:val="clear" w:color="auto" w:fill="00497F"/>
          </w:tcPr>
          <w:p>
            <w:pPr>
              <w:jc w:val="right"/>
              <w:ind w:right="912"/>
              <w:spacing w:after="0"/>
              <w:rPr>
                <w:sz w:val="20"/>
                <w:szCs w:val="20"/>
                <w:color w:val="auto"/>
              </w:rPr>
            </w:pPr>
            <w:r>
              <w:rPr>
                <w:rFonts w:ascii="Arial" w:cs="Arial" w:eastAsia="Arial" w:hAnsi="Arial"/>
                <w:sz w:val="14"/>
                <w:szCs w:val="14"/>
                <w:b w:val="1"/>
                <w:bCs w:val="1"/>
                <w:color w:val="FFFFFF"/>
              </w:rPr>
              <w:t>Three Months Ended</w:t>
            </w:r>
          </w:p>
        </w:tc>
        <w:tc>
          <w:tcPr>
            <w:tcW w:w="320" w:type="dxa"/>
            <w:vAlign w:val="bottom"/>
            <w:tcBorders>
              <w:bottom w:val="single" w:sz="8" w:color="auto"/>
            </w:tcBorders>
            <w:shd w:val="clear" w:color="auto" w:fill="00497F"/>
          </w:tcPr>
          <w:p>
            <w:pPr>
              <w:spacing w:after="0"/>
              <w:rPr>
                <w:sz w:val="19"/>
                <w:szCs w:val="19"/>
                <w:color w:val="auto"/>
              </w:rPr>
            </w:pPr>
          </w:p>
        </w:tc>
        <w:tc>
          <w:tcPr>
            <w:tcW w:w="1580" w:type="dxa"/>
            <w:vAlign w:val="bottom"/>
            <w:tcBorders>
              <w:bottom w:val="single" w:sz="8" w:color="auto"/>
            </w:tcBorders>
            <w:gridSpan w:val="3"/>
            <w:shd w:val="clear" w:color="auto" w:fill="00497F"/>
          </w:tcPr>
          <w:p>
            <w:pPr>
              <w:jc w:val="right"/>
              <w:ind w:right="10"/>
              <w:spacing w:after="0"/>
              <w:rPr>
                <w:sz w:val="20"/>
                <w:szCs w:val="20"/>
                <w:color w:val="auto"/>
              </w:rPr>
            </w:pPr>
            <w:r>
              <w:rPr>
                <w:rFonts w:ascii="Arial" w:cs="Arial" w:eastAsia="Arial" w:hAnsi="Arial"/>
                <w:sz w:val="14"/>
                <w:szCs w:val="14"/>
                <w:b w:val="1"/>
                <w:bCs w:val="1"/>
                <w:color w:val="FFFFFF"/>
              </w:rPr>
              <w:t>Year to Date</w:t>
            </w:r>
          </w:p>
        </w:tc>
        <w:tc>
          <w:tcPr>
            <w:tcW w:w="920" w:type="dxa"/>
            <w:vAlign w:val="bottom"/>
            <w:tcBorders>
              <w:bottom w:val="single" w:sz="8" w:color="auto"/>
            </w:tcBorders>
            <w:shd w:val="clear" w:color="auto" w:fill="00497F"/>
          </w:tcPr>
          <w:p>
            <w:pPr>
              <w:spacing w:after="0"/>
              <w:rPr>
                <w:sz w:val="19"/>
                <w:szCs w:val="19"/>
                <w:color w:val="auto"/>
              </w:rPr>
            </w:pPr>
          </w:p>
        </w:tc>
      </w:tr>
      <w:tr>
        <w:trPr>
          <w:trHeight w:val="183"/>
        </w:trPr>
        <w:tc>
          <w:tcPr>
            <w:tcW w:w="5100" w:type="dxa"/>
            <w:vAlign w:val="bottom"/>
          </w:tcPr>
          <w:p>
            <w:pPr>
              <w:spacing w:after="0"/>
              <w:rPr>
                <w:sz w:val="15"/>
                <w:szCs w:val="15"/>
                <w:color w:val="auto"/>
              </w:rPr>
            </w:pPr>
          </w:p>
        </w:tc>
        <w:tc>
          <w:tcPr>
            <w:tcW w:w="240" w:type="dxa"/>
            <w:vAlign w:val="bottom"/>
            <w:shd w:val="clear" w:color="auto" w:fill="00497F"/>
          </w:tcPr>
          <w:p>
            <w:pPr>
              <w:spacing w:after="0"/>
              <w:rPr>
                <w:sz w:val="15"/>
                <w:szCs w:val="15"/>
                <w:color w:val="auto"/>
              </w:rPr>
            </w:pPr>
          </w:p>
        </w:tc>
        <w:tc>
          <w:tcPr>
            <w:tcW w:w="1400" w:type="dxa"/>
            <w:vAlign w:val="bottom"/>
            <w:shd w:val="clear" w:color="auto" w:fill="00497F"/>
          </w:tcPr>
          <w:p>
            <w:pPr>
              <w:jc w:val="right"/>
              <w:ind w:right="333"/>
              <w:spacing w:after="0"/>
              <w:rPr>
                <w:sz w:val="20"/>
                <w:szCs w:val="20"/>
                <w:color w:val="auto"/>
              </w:rPr>
            </w:pPr>
            <w:r>
              <w:rPr>
                <w:rFonts w:ascii="Arial" w:cs="Arial" w:eastAsia="Arial" w:hAnsi="Arial"/>
                <w:sz w:val="14"/>
                <w:szCs w:val="14"/>
                <w:b w:val="1"/>
                <w:bCs w:val="1"/>
                <w:color w:val="FFFFFF"/>
              </w:rPr>
              <w:t>June 30, 2022</w:t>
            </w:r>
          </w:p>
        </w:tc>
        <w:tc>
          <w:tcPr>
            <w:tcW w:w="300" w:type="dxa"/>
            <w:vAlign w:val="bottom"/>
            <w:shd w:val="clear" w:color="auto" w:fill="00497F"/>
          </w:tcPr>
          <w:p>
            <w:pPr>
              <w:spacing w:after="0"/>
              <w:rPr>
                <w:sz w:val="15"/>
                <w:szCs w:val="15"/>
                <w:color w:val="auto"/>
              </w:rPr>
            </w:pPr>
          </w:p>
        </w:tc>
        <w:tc>
          <w:tcPr>
            <w:tcW w:w="1360" w:type="dxa"/>
            <w:vAlign w:val="bottom"/>
            <w:shd w:val="clear" w:color="auto" w:fill="00497F"/>
          </w:tcPr>
          <w:p>
            <w:pPr>
              <w:jc w:val="right"/>
              <w:ind w:right="292"/>
              <w:spacing w:after="0"/>
              <w:rPr>
                <w:sz w:val="20"/>
                <w:szCs w:val="20"/>
                <w:color w:val="auto"/>
              </w:rPr>
            </w:pPr>
            <w:r>
              <w:rPr>
                <w:rFonts w:ascii="Arial" w:cs="Arial" w:eastAsia="Arial" w:hAnsi="Arial"/>
                <w:sz w:val="14"/>
                <w:szCs w:val="14"/>
                <w:b w:val="1"/>
                <w:bCs w:val="1"/>
                <w:color w:val="FFFFFF"/>
              </w:rPr>
              <w:t>June 30, 2021</w:t>
            </w:r>
          </w:p>
        </w:tc>
        <w:tc>
          <w:tcPr>
            <w:tcW w:w="320" w:type="dxa"/>
            <w:vAlign w:val="bottom"/>
            <w:tcBorders>
              <w:bottom w:val="single" w:sz="8" w:color="auto"/>
            </w:tcBorders>
            <w:shd w:val="clear" w:color="auto" w:fill="00497F"/>
          </w:tcPr>
          <w:p>
            <w:pPr>
              <w:spacing w:after="0"/>
              <w:rPr>
                <w:sz w:val="15"/>
                <w:szCs w:val="15"/>
                <w:color w:val="auto"/>
              </w:rPr>
            </w:pPr>
          </w:p>
        </w:tc>
        <w:tc>
          <w:tcPr>
            <w:tcW w:w="1020" w:type="dxa"/>
            <w:vAlign w:val="bottom"/>
            <w:tcBorders>
              <w:bottom w:val="single" w:sz="8" w:color="auto"/>
            </w:tcBorders>
            <w:shd w:val="clear" w:color="auto" w:fill="00497F"/>
          </w:tcPr>
          <w:p>
            <w:pPr>
              <w:jc w:val="right"/>
              <w:ind w:right="433"/>
              <w:spacing w:after="0"/>
              <w:rPr>
                <w:sz w:val="20"/>
                <w:szCs w:val="20"/>
                <w:color w:val="auto"/>
              </w:rPr>
            </w:pPr>
            <w:r>
              <w:rPr>
                <w:rFonts w:ascii="Arial" w:cs="Arial" w:eastAsia="Arial" w:hAnsi="Arial"/>
                <w:sz w:val="14"/>
                <w:szCs w:val="14"/>
                <w:b w:val="1"/>
                <w:bCs w:val="1"/>
                <w:color w:val="FFFFFF"/>
              </w:rPr>
              <w:t>2022</w:t>
            </w:r>
          </w:p>
        </w:tc>
        <w:tc>
          <w:tcPr>
            <w:tcW w:w="120" w:type="dxa"/>
            <w:vAlign w:val="bottom"/>
            <w:shd w:val="clear" w:color="auto" w:fill="00497F"/>
          </w:tcPr>
          <w:p>
            <w:pPr>
              <w:spacing w:after="0"/>
              <w:rPr>
                <w:sz w:val="15"/>
                <w:szCs w:val="15"/>
                <w:color w:val="auto"/>
              </w:rPr>
            </w:pPr>
          </w:p>
        </w:tc>
        <w:tc>
          <w:tcPr>
            <w:tcW w:w="440" w:type="dxa"/>
            <w:vAlign w:val="bottom"/>
            <w:tcBorders>
              <w:bottom w:val="single" w:sz="8" w:color="auto"/>
            </w:tcBorders>
            <w:shd w:val="clear" w:color="auto" w:fill="00497F"/>
          </w:tcPr>
          <w:p>
            <w:pPr>
              <w:spacing w:after="0"/>
              <w:rPr>
                <w:sz w:val="15"/>
                <w:szCs w:val="15"/>
                <w:color w:val="auto"/>
              </w:rPr>
            </w:pPr>
          </w:p>
        </w:tc>
        <w:tc>
          <w:tcPr>
            <w:tcW w:w="920" w:type="dxa"/>
            <w:vAlign w:val="bottom"/>
            <w:tcBorders>
              <w:bottom w:val="single" w:sz="8" w:color="auto"/>
            </w:tcBorders>
            <w:shd w:val="clear" w:color="auto" w:fill="00497F"/>
          </w:tcPr>
          <w:p>
            <w:pPr>
              <w:jc w:val="right"/>
              <w:ind w:right="452"/>
              <w:spacing w:after="0"/>
              <w:rPr>
                <w:sz w:val="20"/>
                <w:szCs w:val="20"/>
                <w:color w:val="auto"/>
              </w:rPr>
            </w:pPr>
            <w:r>
              <w:rPr>
                <w:rFonts w:ascii="Arial" w:cs="Arial" w:eastAsia="Arial" w:hAnsi="Arial"/>
                <w:sz w:val="14"/>
                <w:szCs w:val="14"/>
                <w:b w:val="1"/>
                <w:bCs w:val="1"/>
                <w:color w:val="FFFFFF"/>
              </w:rPr>
              <w:t>2021</w:t>
            </w:r>
          </w:p>
        </w:tc>
      </w:tr>
      <w:tr>
        <w:trPr>
          <w:trHeight w:val="217"/>
        </w:trPr>
        <w:tc>
          <w:tcPr>
            <w:tcW w:w="510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2,631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3,854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5,796</w:t>
            </w:r>
          </w:p>
        </w:tc>
        <w:tc>
          <w:tcPr>
            <w:tcW w:w="12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6,954</w:t>
            </w:r>
          </w:p>
        </w:tc>
      </w:tr>
      <w:tr>
        <w:trPr>
          <w:trHeight w:val="257"/>
        </w:trPr>
        <w:tc>
          <w:tcPr>
            <w:tcW w:w="5100" w:type="dxa"/>
            <w:vAlign w:val="bottom"/>
          </w:tcPr>
          <w:p>
            <w:pPr>
              <w:spacing w:after="0" w:line="256" w:lineRule="exact"/>
              <w:rPr>
                <w:sz w:val="20"/>
                <w:szCs w:val="20"/>
                <w:color w:val="auto"/>
              </w:rPr>
            </w:pPr>
            <w:r>
              <w:rPr>
                <w:rFonts w:ascii="Arial" w:cs="Arial" w:eastAsia="Arial" w:hAnsi="Arial"/>
                <w:sz w:val="18"/>
                <w:szCs w:val="18"/>
                <w:color w:val="auto"/>
              </w:rPr>
              <w:t>F&amp;G total sales</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3,073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2,667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5,662</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4,321</w:t>
            </w:r>
          </w:p>
        </w:tc>
      </w:tr>
      <w:tr>
        <w:trPr>
          <w:trHeight w:val="235"/>
        </w:trPr>
        <w:tc>
          <w:tcPr>
            <w:tcW w:w="5100" w:type="dxa"/>
            <w:vAlign w:val="bottom"/>
          </w:tcPr>
          <w:p>
            <w:pPr>
              <w:spacing w:after="0" w:line="235" w:lineRule="exact"/>
              <w:rPr>
                <w:sz w:val="20"/>
                <w:szCs w:val="20"/>
                <w:color w:val="auto"/>
              </w:rPr>
            </w:pPr>
            <w:r>
              <w:rPr>
                <w:rFonts w:ascii="Arial" w:cs="Arial" w:eastAsia="Arial" w:hAnsi="Arial"/>
                <w:sz w:val="18"/>
                <w:szCs w:val="18"/>
                <w:color w:val="auto"/>
              </w:rPr>
              <w:t>F&amp;G assets under management</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40,322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31,760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40,322</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31,760</w:t>
            </w: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61,230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54,520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61,230</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54,520</w:t>
            </w: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Adjusted pre-tax title margin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18.9 %</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22.7 %</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21.4 %</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Net earnings attributable to common shareholders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382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552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1,157</w:t>
            </w: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Net earnings per share attributable to common shareholders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1.37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1.92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4.00</w:t>
            </w:r>
          </w:p>
        </w:tc>
      </w:tr>
      <w:tr>
        <w:trPr>
          <w:trHeight w:val="229"/>
        </w:trPr>
        <w:tc>
          <w:tcPr>
            <w:tcW w:w="5100" w:type="dxa"/>
            <w:vAlign w:val="bottom"/>
          </w:tcPr>
          <w:p>
            <w:pPr>
              <w:spacing w:after="0" w:line="230" w:lineRule="exact"/>
              <w:rPr>
                <w:sz w:val="20"/>
                <w:szCs w:val="20"/>
                <w:color w:val="auto"/>
              </w:rPr>
            </w:pPr>
            <w:r>
              <w:rPr>
                <w:rFonts w:ascii="Arial" w:cs="Arial" w:eastAsia="Arial" w:hAnsi="Arial"/>
                <w:sz w:val="18"/>
                <w:szCs w:val="18"/>
                <w:color w:val="auto"/>
              </w:rPr>
              <w:t>Adjusted net earnings</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530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593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1,048</w:t>
            </w:r>
          </w:p>
        </w:tc>
      </w:tr>
      <w:tr>
        <w:trPr>
          <w:trHeight w:val="235"/>
        </w:trPr>
        <w:tc>
          <w:tcPr>
            <w:tcW w:w="5100" w:type="dxa"/>
            <w:vAlign w:val="bottom"/>
          </w:tcPr>
          <w:p>
            <w:pPr>
              <w:spacing w:after="0" w:line="235" w:lineRule="exact"/>
              <w:rPr>
                <w:sz w:val="20"/>
                <w:szCs w:val="20"/>
                <w:color w:val="auto"/>
              </w:rPr>
            </w:pPr>
            <w:r>
              <w:rPr>
                <w:rFonts w:ascii="Arial" w:cs="Arial" w:eastAsia="Arial" w:hAnsi="Arial"/>
                <w:sz w:val="18"/>
                <w:szCs w:val="18"/>
                <w:color w:val="auto"/>
              </w:rPr>
              <w:t>Adjusted net earnings per share</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1.90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3.63</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Total common shares outstanding</w:t>
            </w:r>
          </w:p>
        </w:tc>
        <w:tc>
          <w:tcPr>
            <w:tcW w:w="240" w:type="dxa"/>
            <w:vAlign w:val="bottom"/>
          </w:tcPr>
          <w:p>
            <w:pPr>
              <w:spacing w:after="0"/>
              <w:rPr>
                <w:sz w:val="20"/>
                <w:szCs w:val="20"/>
                <w:color w:val="auto"/>
              </w:rPr>
            </w:pP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20"/>
                <w:szCs w:val="20"/>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286</w:t>
            </w:r>
          </w:p>
        </w:tc>
        <w:tc>
          <w:tcPr>
            <w:tcW w:w="320" w:type="dxa"/>
            <w:vAlign w:val="bottom"/>
          </w:tcPr>
          <w:p>
            <w:pPr>
              <w:spacing w:after="0"/>
              <w:rPr>
                <w:sz w:val="20"/>
                <w:szCs w:val="20"/>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286</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Segment Financial Results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u w:val="single" w:color="auto"/>
          <w:color w:val="auto"/>
        </w:rPr>
        <w:t>Title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This segment consists of the operations of the Company’s title insurance underwriters and related businesses, which provide core title insurance and escrow and other title-related services including loan sub-servicing, valuations, default services, and home warranty products.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Second Quarter 2022 Highlights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Mike Nolan, Chief Executive Officer, said, “Our Title business produced a strong performance in the second quarter, despite the housing market</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experiencing headwinds from higher mortgage rates which has impacted residential refinance and purchase volumes. We are pleased with our adjusted pre-tax title earnings of $529 million and adjusted pre-tax title margin of 18.9% during the second quarter as we continue to benefit from strength in the commercial market combined with stability in the purchase market, both as compared to the first quarter of 2022, while our refinance volumes appear to be</w:t>
      </w:r>
    </w:p>
    <w:p>
      <w:pPr>
        <w:spacing w:after="0"/>
        <w:rPr>
          <w:sz w:val="20"/>
          <w:szCs w:val="20"/>
          <w:color w:val="auto"/>
        </w:rPr>
      </w:pPr>
      <w:r>
        <w:rPr>
          <w:rFonts w:ascii="Arial" w:cs="Arial" w:eastAsia="Arial" w:hAnsi="Arial"/>
          <w:sz w:val="16"/>
          <w:szCs w:val="16"/>
          <w:color w:val="auto"/>
        </w:rPr>
        <w:t>bottoming. Though the economic outlook and near-term market trends are uncertain, we will continue to manage the business the way we have through</w:t>
      </w:r>
    </w:p>
    <w:p>
      <w:pPr>
        <w:spacing w:after="0" w:line="46"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prior cycles, effectively managing margin by adjusting expenses to align with trends in opened and closed order volumes. We will also be opportunistic and use market dislocation to continue expanding our business through attractive acquisitions and recruiting of established and experienced producers.”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95"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See definition of non-GAAP measures below</w:t>
      </w:r>
    </w:p>
    <w:p>
      <w:pPr>
        <w:sectPr>
          <w:pgSz w:w="11900" w:h="16838" w:orient="portrait"/>
          <w:cols w:equalWidth="0" w:num="1">
            <w:col w:w="11240"/>
          </w:cols>
          <w:pgMar w:left="320" w:top="841" w:right="339" w:bottom="1440" w:gutter="0" w:footer="0" w:header="0"/>
        </w:sectPr>
      </w:pPr>
    </w:p>
    <w:bookmarkStart w:id="5" w:name="page6"/>
    <w:bookmarkEnd w:id="5"/>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 xml:space="preserve">Total revenue </w:t>
      </w:r>
      <w:r>
        <w:rPr>
          <w:rFonts w:ascii="Arial" w:cs="Arial" w:eastAsia="Arial" w:hAnsi="Arial"/>
          <w:sz w:val="18"/>
          <w:szCs w:val="18"/>
          <w:color w:val="auto"/>
        </w:rPr>
        <w:t>of $2.6 billion, compared with $3.0 billion in total revenue in the second quarter of 2021</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Total revenue, excluding recognized gains and losses</w:t>
      </w:r>
      <w:r>
        <w:rPr>
          <w:rFonts w:ascii="Arial" w:cs="Arial" w:eastAsia="Arial" w:hAnsi="Arial"/>
          <w:sz w:val="18"/>
          <w:szCs w:val="18"/>
          <w:color w:val="auto"/>
        </w:rPr>
        <w:t>, of $2.8 billion, a 7% decrease compared with the second quarter of 2021</w:t>
      </w:r>
    </w:p>
    <w:p>
      <w:pPr>
        <w:spacing w:after="0" w:line="10" w:lineRule="exact"/>
        <w:rPr>
          <w:rFonts w:ascii="Arial" w:cs="Arial" w:eastAsia="Arial" w:hAnsi="Arial"/>
          <w:sz w:val="22"/>
          <w:szCs w:val="22"/>
          <w:b w:val="1"/>
          <w:bCs w:val="1"/>
          <w:color w:val="auto"/>
        </w:rPr>
      </w:pPr>
    </w:p>
    <w:p>
      <w:pPr>
        <w:ind w:left="1300" w:hanging="320"/>
        <w:spacing w:after="0" w:line="184" w:lineRule="auto"/>
        <w:tabs>
          <w:tab w:leader="none" w:pos="1300" w:val="left"/>
        </w:tabs>
        <w:numPr>
          <w:ilvl w:val="1"/>
          <w:numId w:val="4"/>
        </w:numPr>
        <w:rPr>
          <w:rFonts w:ascii="Arial" w:cs="Arial" w:eastAsia="Arial" w:hAnsi="Arial"/>
          <w:sz w:val="22"/>
          <w:szCs w:val="22"/>
          <w:color w:val="auto"/>
        </w:rPr>
      </w:pPr>
      <w:r>
        <w:rPr>
          <w:rFonts w:ascii="Arial" w:cs="Arial" w:eastAsia="Arial" w:hAnsi="Arial"/>
          <w:sz w:val="18"/>
          <w:szCs w:val="18"/>
          <w:b w:val="1"/>
          <w:bCs w:val="1"/>
          <w:color w:val="auto"/>
        </w:rPr>
        <w:t xml:space="preserve">Direct title premiums </w:t>
      </w:r>
      <w:r>
        <w:rPr>
          <w:rFonts w:ascii="Arial" w:cs="Arial" w:eastAsia="Arial" w:hAnsi="Arial"/>
          <w:sz w:val="18"/>
          <w:szCs w:val="18"/>
          <w:color w:val="auto"/>
        </w:rPr>
        <w:t>of $859 million, a 5% decrease from second quarter of 2021</w:t>
      </w:r>
    </w:p>
    <w:p>
      <w:pPr>
        <w:ind w:left="1300" w:hanging="320"/>
        <w:spacing w:after="0"/>
        <w:tabs>
          <w:tab w:leader="none" w:pos="130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Agency title premiums </w:t>
      </w:r>
      <w:r>
        <w:rPr>
          <w:rFonts w:ascii="Arial" w:cs="Arial" w:eastAsia="Arial" w:hAnsi="Arial"/>
          <w:sz w:val="18"/>
          <w:szCs w:val="18"/>
          <w:color w:val="auto"/>
        </w:rPr>
        <w:t>of $1.2 billion, a 4% decrease from second quarter of 2021</w:t>
      </w:r>
    </w:p>
    <w:p>
      <w:pPr>
        <w:spacing w:after="0" w:line="7" w:lineRule="exact"/>
        <w:rPr>
          <w:rFonts w:ascii="Arial" w:cs="Arial" w:eastAsia="Arial" w:hAnsi="Arial"/>
          <w:sz w:val="18"/>
          <w:szCs w:val="18"/>
          <w:b w:val="1"/>
          <w:bCs w:val="1"/>
          <w:color w:val="auto"/>
        </w:rPr>
      </w:pPr>
    </w:p>
    <w:p>
      <w:pPr>
        <w:ind w:left="1300" w:hanging="320"/>
        <w:spacing w:after="0" w:line="217" w:lineRule="auto"/>
        <w:tabs>
          <w:tab w:leader="none" w:pos="1300" w:val="left"/>
        </w:tabs>
        <w:numPr>
          <w:ilvl w:val="1"/>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Commercial revenue </w:t>
      </w:r>
      <w:r>
        <w:rPr>
          <w:rFonts w:ascii="Arial" w:cs="Arial" w:eastAsia="Arial" w:hAnsi="Arial"/>
          <w:sz w:val="18"/>
          <w:szCs w:val="18"/>
          <w:color w:val="auto"/>
        </w:rPr>
        <w:t>of $436 million, a 26% increase from second quarter of 2021</w:t>
      </w:r>
    </w:p>
    <w:p>
      <w:pPr>
        <w:spacing w:after="0" w:line="10" w:lineRule="exact"/>
        <w:rPr>
          <w:rFonts w:ascii="Arial" w:cs="Arial" w:eastAsia="Arial" w:hAnsi="Arial"/>
          <w:sz w:val="22"/>
          <w:szCs w:val="22"/>
          <w:b w:val="1"/>
          <w:bCs w:val="1"/>
          <w:color w:val="auto"/>
        </w:rPr>
      </w:pPr>
    </w:p>
    <w:p>
      <w:pPr>
        <w:ind w:left="660" w:hanging="328"/>
        <w:spacing w:after="0" w:line="213" w:lineRule="auto"/>
        <w:tabs>
          <w:tab w:leader="none" w:pos="655"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Purchase orders </w:t>
      </w:r>
      <w:r>
        <w:rPr>
          <w:rFonts w:ascii="Arial" w:cs="Arial" w:eastAsia="Arial" w:hAnsi="Arial"/>
          <w:sz w:val="18"/>
          <w:szCs w:val="18"/>
          <w:color w:val="auto"/>
        </w:rPr>
        <w:t>opened decreased 12% on a daily basis and purchase orders closed decreased 11% on a daily basis from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2021</w:t>
      </w:r>
    </w:p>
    <w:p>
      <w:pPr>
        <w:ind w:left="660" w:hanging="328"/>
        <w:spacing w:after="0" w:line="224" w:lineRule="auto"/>
        <w:tabs>
          <w:tab w:leader="none" w:pos="660" w:val="left"/>
        </w:tabs>
        <w:numPr>
          <w:ilvl w:val="0"/>
          <w:numId w:val="4"/>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Refinance orders </w:t>
      </w:r>
      <w:r>
        <w:rPr>
          <w:rFonts w:ascii="Arial" w:cs="Arial" w:eastAsia="Arial" w:hAnsi="Arial"/>
          <w:sz w:val="16"/>
          <w:szCs w:val="16"/>
          <w:color w:val="auto"/>
        </w:rPr>
        <w:t>opened decreased 67% on a daily basis and refinance orders closed decreased 68% on a daily basis from second quarter of 2021</w:t>
      </w: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 orders </w:t>
      </w:r>
      <w:r>
        <w:rPr>
          <w:rFonts w:ascii="Arial" w:cs="Arial" w:eastAsia="Arial" w:hAnsi="Arial"/>
          <w:sz w:val="18"/>
          <w:szCs w:val="18"/>
          <w:color w:val="auto"/>
        </w:rPr>
        <w:t>opened decreased 7% and commercial orders closed decreased 6% from second quarter of 2021</w:t>
      </w:r>
    </w:p>
    <w:p>
      <w:pPr>
        <w:spacing w:after="0" w:line="7" w:lineRule="exact"/>
        <w:rPr>
          <w:rFonts w:ascii="Arial" w:cs="Arial" w:eastAsia="Arial" w:hAnsi="Arial"/>
          <w:sz w:val="18"/>
          <w:szCs w:val="18"/>
          <w:b w:val="1"/>
          <w:bCs w:val="1"/>
          <w:color w:val="auto"/>
        </w:rPr>
      </w:pPr>
    </w:p>
    <w:p>
      <w:pPr>
        <w:ind w:left="660" w:hanging="328"/>
        <w:spacing w:after="0" w:line="217" w:lineRule="auto"/>
        <w:tabs>
          <w:tab w:leader="none" w:pos="660"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Total fee per file </w:t>
      </w:r>
      <w:r>
        <w:rPr>
          <w:rFonts w:ascii="Arial" w:cs="Arial" w:eastAsia="Arial" w:hAnsi="Arial"/>
          <w:sz w:val="18"/>
          <w:szCs w:val="18"/>
          <w:color w:val="auto"/>
        </w:rPr>
        <w:t>of $3,557 for the second quarter, a 46% increase over second quarter of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Second Quarter 2022 Financial Results</w:t>
      </w:r>
    </w:p>
    <w:p>
      <w:pPr>
        <w:spacing w:after="0" w:line="262" w:lineRule="exact"/>
        <w:rPr>
          <w:sz w:val="20"/>
          <w:szCs w:val="20"/>
          <w:color w:val="auto"/>
        </w:rPr>
      </w:pPr>
    </w:p>
    <w:p>
      <w:pPr>
        <w:ind w:left="660" w:hanging="328"/>
        <w:spacing w:after="0" w:line="220" w:lineRule="auto"/>
        <w:tabs>
          <w:tab w:leader="none" w:pos="655" w:val="left"/>
        </w:tabs>
        <w:numPr>
          <w:ilvl w:val="0"/>
          <w:numId w:val="5"/>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Pre-tax title margin </w:t>
      </w:r>
      <w:r>
        <w:rPr>
          <w:rFonts w:ascii="Arial" w:cs="Arial" w:eastAsia="Arial" w:hAnsi="Arial"/>
          <w:sz w:val="18"/>
          <w:szCs w:val="18"/>
          <w:color w:val="auto"/>
        </w:rPr>
        <w:t>of 10.5% and industry leading</w:t>
      </w:r>
      <w:r>
        <w:rPr>
          <w:rFonts w:ascii="Arial" w:cs="Arial" w:eastAsia="Arial" w:hAnsi="Arial"/>
          <w:sz w:val="18"/>
          <w:szCs w:val="18"/>
          <w:b w:val="1"/>
          <w:bCs w:val="1"/>
          <w:color w:val="auto"/>
        </w:rPr>
        <w:t xml:space="preserve"> adjusted pre-tax title margin </w:t>
      </w:r>
      <w:r>
        <w:rPr>
          <w:rFonts w:ascii="Arial" w:cs="Arial" w:eastAsia="Arial" w:hAnsi="Arial"/>
          <w:sz w:val="18"/>
          <w:szCs w:val="18"/>
          <w:color w:val="auto"/>
        </w:rPr>
        <w:t>of 18.9% for the second quarter of 2022, compared to 21.5%</w:t>
      </w:r>
      <w:r>
        <w:rPr>
          <w:rFonts w:ascii="Arial" w:cs="Arial" w:eastAsia="Arial" w:hAnsi="Arial"/>
          <w:sz w:val="18"/>
          <w:szCs w:val="18"/>
          <w:b w:val="1"/>
          <w:bCs w:val="1"/>
          <w:color w:val="auto"/>
        </w:rPr>
        <w:t xml:space="preserve"> </w:t>
      </w:r>
      <w:r>
        <w:rPr>
          <w:rFonts w:ascii="Arial" w:cs="Arial" w:eastAsia="Arial" w:hAnsi="Arial"/>
          <w:sz w:val="18"/>
          <w:szCs w:val="18"/>
          <w:color w:val="auto"/>
        </w:rPr>
        <w:t>and 22.7%, respectively, in the second quarter of 2021</w:t>
      </w:r>
    </w:p>
    <w:p>
      <w:pPr>
        <w:spacing w:after="0" w:line="1" w:lineRule="exact"/>
        <w:rPr>
          <w:rFonts w:ascii="Arial" w:cs="Arial" w:eastAsia="Arial" w:hAnsi="Arial"/>
          <w:sz w:val="22"/>
          <w:szCs w:val="22"/>
          <w:b w:val="1"/>
          <w:bCs w:val="1"/>
          <w:color w:val="auto"/>
        </w:rPr>
      </w:pPr>
    </w:p>
    <w:p>
      <w:pPr>
        <w:ind w:left="660" w:hanging="328"/>
        <w:spacing w:after="0" w:line="205" w:lineRule="auto"/>
        <w:tabs>
          <w:tab w:leader="none" w:pos="655" w:val="left"/>
        </w:tabs>
        <w:numPr>
          <w:ilvl w:val="0"/>
          <w:numId w:val="5"/>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Pre-tax earnings from continuing operations in Title </w:t>
      </w:r>
      <w:r>
        <w:rPr>
          <w:rFonts w:ascii="Arial" w:cs="Arial" w:eastAsia="Arial" w:hAnsi="Arial"/>
          <w:sz w:val="18"/>
          <w:szCs w:val="18"/>
          <w:color w:val="auto"/>
        </w:rPr>
        <w:t>for the second quarter of $267 million, compared with $644 million for the second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2021</w:t>
      </w:r>
    </w:p>
    <w:p>
      <w:pPr>
        <w:jc w:val="both"/>
        <w:ind w:left="660" w:hanging="328"/>
        <w:spacing w:after="0" w:line="266"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Adjusted pre-tax earnings in Title </w:t>
      </w:r>
      <w:r>
        <w:rPr>
          <w:rFonts w:ascii="Arial" w:cs="Arial" w:eastAsia="Arial" w:hAnsi="Arial"/>
          <w:sz w:val="16"/>
          <w:szCs w:val="16"/>
          <w:color w:val="auto"/>
        </w:rPr>
        <w:t>for the second quarter of $529 million compared with $688 million for the second quarter of 2021. The</w:t>
      </w:r>
      <w:r>
        <w:rPr>
          <w:rFonts w:ascii="Arial" w:cs="Arial" w:eastAsia="Arial" w:hAnsi="Arial"/>
          <w:sz w:val="16"/>
          <w:szCs w:val="16"/>
          <w:b w:val="1"/>
          <w:bCs w:val="1"/>
          <w:color w:val="auto"/>
        </w:rPr>
        <w:t xml:space="preserve"> </w:t>
      </w:r>
      <w:r>
        <w:rPr>
          <w:rFonts w:ascii="Arial" w:cs="Arial" w:eastAsia="Arial" w:hAnsi="Arial"/>
          <w:sz w:val="16"/>
          <w:szCs w:val="16"/>
          <w:color w:val="auto"/>
        </w:rPr>
        <w:t>decrease from the prior year quarter was primarily a result of the considerable decline in refinance volume representing trough level activity versus the record levels set in the prior year period; partially offset by higher average fee per file and steady volume of commercial orders closed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u w:val="single" w:color="auto"/>
          <w:color w:val="auto"/>
        </w:rPr>
        <w:t>F&amp;G</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This segment consists of operations of FNF’s wholly-owned subsidiary F&amp;G, a leading provider of insurance solutions serving retail annuity and life customers and funding agreement and pension risk transfer institutional clients.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Second Quarter 2022</w:t>
      </w:r>
    </w:p>
    <w:p>
      <w:pPr>
        <w:spacing w:after="0" w:line="22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Chris Blunt, President and Chief Executive Officer of F&amp;G, commented, “F&amp;G had a terrific quarter, demonstrated by our top line and bottom line results. We generated total gross sales of $3.1 billion which, in turn, drove our assets under management to $40.3 billion. In the retail channels, we generated a record $2.2 billion of sales, up 34% from the prior year quarter. Our retail sales volumes reflect expanding relationships with new and existing distribution partners, traction from a comprehensive product portfolio that meets a broad range of consumer needs and increased demand given higher interest rates. Momentum continues in our institutional channels as we issued nearly $0.9 billion in funding agreements, even amidst a challenging rate environment for that space. On the bottom line, we delivered adjusted net earnings of $128 million, including $36 million of favorable notable items, which comprised 24% of FNF’s consolidated adjusted net earnings.”</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Regarding the recently announced transaction to distribute 15% ownership of F&amp;G to FNF shareholders, Mr. Blunt said, “We are making progress toward a targeted closing early in the fourth quarter of 2022. Overall, we are well positioned for future growth opportunities and view the transition to being a publicly traded company as a vote of confidence for our business.”</w:t>
      </w:r>
    </w:p>
    <w:p>
      <w:pPr>
        <w:spacing w:after="0" w:line="238" w:lineRule="exact"/>
        <w:rPr>
          <w:sz w:val="20"/>
          <w:szCs w:val="20"/>
          <w:color w:val="auto"/>
        </w:rPr>
      </w:pPr>
    </w:p>
    <w:p>
      <w:pPr>
        <w:ind w:left="660" w:right="20" w:hanging="328"/>
        <w:spacing w:after="0" w:line="220"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b w:val="1"/>
          <w:bCs w:val="1"/>
          <w:color w:val="auto"/>
        </w:rPr>
        <w:t xml:space="preserve">Total gross sales </w:t>
      </w:r>
      <w:r>
        <w:rPr>
          <w:rFonts w:ascii="Arial" w:cs="Arial" w:eastAsia="Arial" w:hAnsi="Arial"/>
          <w:sz w:val="18"/>
          <w:szCs w:val="18"/>
          <w:color w:val="auto"/>
        </w:rPr>
        <w:t>of $3.1 billion for the second quarter, an increase of 15% over the second quarter 2021 and an increase of 19% over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2022; reflects successful execution of F&amp;G’s diversified growth strategy and a disciplined approach to pricing</w:t>
      </w:r>
    </w:p>
    <w:p>
      <w:pPr>
        <w:spacing w:after="0" w:line="1" w:lineRule="exact"/>
        <w:rPr>
          <w:rFonts w:ascii="Arial" w:cs="Arial" w:eastAsia="Arial" w:hAnsi="Arial"/>
          <w:sz w:val="22"/>
          <w:szCs w:val="22"/>
          <w:color w:val="auto"/>
        </w:rPr>
      </w:pPr>
    </w:p>
    <w:p>
      <w:pPr>
        <w:jc w:val="both"/>
        <w:ind w:left="660" w:hanging="328"/>
        <w:spacing w:after="0" w:line="21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b w:val="1"/>
          <w:bCs w:val="1"/>
          <w:color w:val="auto"/>
        </w:rPr>
        <w:t xml:space="preserve">Record Retail sales </w:t>
      </w:r>
      <w:r>
        <w:rPr>
          <w:rFonts w:ascii="Arial" w:cs="Arial" w:eastAsia="Arial" w:hAnsi="Arial"/>
          <w:sz w:val="18"/>
          <w:szCs w:val="18"/>
          <w:color w:val="auto"/>
        </w:rPr>
        <w:t>of $2.2 billion for the second quarter, a 34% increase over second quarter of 2021 and 53% increase over first quarter 2022 as</w:t>
      </w:r>
      <w:r>
        <w:rPr>
          <w:rFonts w:ascii="Arial" w:cs="Arial" w:eastAsia="Arial" w:hAnsi="Arial"/>
          <w:sz w:val="18"/>
          <w:szCs w:val="18"/>
          <w:b w:val="1"/>
          <w:bCs w:val="1"/>
          <w:color w:val="auto"/>
        </w:rPr>
        <w:t xml:space="preserve"> </w:t>
      </w:r>
      <w:r>
        <w:rPr>
          <w:rFonts w:ascii="Arial" w:cs="Arial" w:eastAsia="Arial" w:hAnsi="Arial"/>
          <w:sz w:val="18"/>
          <w:szCs w:val="18"/>
          <w:color w:val="auto"/>
        </w:rPr>
        <w:t>sales resumed our planned growth trajectory, following moderated volume in first quarter from an inflection point in pricing actions taken in response to the macro environment</w:t>
      </w:r>
    </w:p>
    <w:p>
      <w:pPr>
        <w:sectPr>
          <w:pgSz w:w="11900" w:h="16838" w:orient="portrait"/>
          <w:cols w:equalWidth="0" w:num="1">
            <w:col w:w="11240"/>
          </w:cols>
          <w:pgMar w:left="320" w:top="859" w:right="339" w:bottom="1440" w:gutter="0" w:footer="0" w:header="0"/>
        </w:sectPr>
      </w:pPr>
    </w:p>
    <w:bookmarkStart w:id="6" w:name="page7"/>
    <w:bookmarkEnd w:id="6"/>
    <w:p>
      <w:pPr>
        <w:ind w:left="660" w:hanging="328"/>
        <w:spacing w:after="0" w:line="220"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b w:val="1"/>
          <w:bCs w:val="1"/>
          <w:color w:val="auto"/>
        </w:rPr>
        <w:t xml:space="preserve">Institutional sales </w:t>
      </w:r>
      <w:r>
        <w:rPr>
          <w:rFonts w:ascii="Arial" w:cs="Arial" w:eastAsia="Arial" w:hAnsi="Arial"/>
          <w:sz w:val="18"/>
          <w:szCs w:val="18"/>
          <w:color w:val="auto"/>
        </w:rPr>
        <w:t>of approximately $0.9 billion funding agreement issuances, compared to $1.0 billion funding agreement issuances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2021</w:t>
      </w:r>
    </w:p>
    <w:p>
      <w:pPr>
        <w:spacing w:after="0" w:line="1" w:lineRule="exact"/>
        <w:rPr>
          <w:rFonts w:ascii="Arial" w:cs="Arial" w:eastAsia="Arial" w:hAnsi="Arial"/>
          <w:sz w:val="22"/>
          <w:szCs w:val="22"/>
          <w:color w:val="auto"/>
        </w:rPr>
      </w:pPr>
    </w:p>
    <w:p>
      <w:pPr>
        <w:ind w:left="660" w:hanging="328"/>
        <w:spacing w:after="0" w:line="252" w:lineRule="auto"/>
        <w:tabs>
          <w:tab w:leader="none" w:pos="655" w:val="left"/>
        </w:tabs>
        <w:numPr>
          <w:ilvl w:val="0"/>
          <w:numId w:val="7"/>
        </w:numPr>
        <w:rPr>
          <w:rFonts w:ascii="Arial" w:cs="Arial" w:eastAsia="Arial" w:hAnsi="Arial"/>
          <w:sz w:val="21"/>
          <w:szCs w:val="21"/>
          <w:color w:val="auto"/>
        </w:rPr>
      </w:pPr>
      <w:r>
        <w:rPr>
          <w:rFonts w:ascii="Arial" w:cs="Arial" w:eastAsia="Arial" w:hAnsi="Arial"/>
          <w:sz w:val="17"/>
          <w:szCs w:val="17"/>
          <w:b w:val="1"/>
          <w:bCs w:val="1"/>
          <w:color w:val="auto"/>
        </w:rPr>
        <w:t xml:space="preserve">Average assets under management (AAUM) </w:t>
      </w:r>
      <w:r>
        <w:rPr>
          <w:rFonts w:ascii="Arial" w:cs="Arial" w:eastAsia="Arial" w:hAnsi="Arial"/>
          <w:sz w:val="17"/>
          <w:szCs w:val="17"/>
          <w:color w:val="auto"/>
        </w:rPr>
        <w:t>of $39.3 billion for the second quarter, an increase of 29% from $30.4 billion in the second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2021, driven by net new business asset flows. Ending assets under management were $40.3 billion as of June 30, 2022</w:t>
      </w:r>
    </w:p>
    <w:p>
      <w:pPr>
        <w:ind w:left="660" w:right="20" w:hanging="328"/>
        <w:spacing w:after="0" w:line="21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b w:val="1"/>
          <w:bCs w:val="1"/>
          <w:color w:val="auto"/>
        </w:rPr>
        <w:t xml:space="preserve">Net earnings attributable to common shareholders for F&amp;G </w:t>
      </w:r>
      <w:r>
        <w:rPr>
          <w:rFonts w:ascii="Arial" w:cs="Arial" w:eastAsia="Arial" w:hAnsi="Arial"/>
          <w:sz w:val="18"/>
          <w:szCs w:val="18"/>
          <w:color w:val="auto"/>
        </w:rPr>
        <w:t>of $230 million for the second quarter, compared to $82 million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2021</w:t>
      </w:r>
    </w:p>
    <w:p>
      <w:pPr>
        <w:jc w:val="both"/>
        <w:ind w:left="660" w:hanging="328"/>
        <w:spacing w:after="0" w:line="21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b w:val="1"/>
          <w:bCs w:val="1"/>
          <w:color w:val="auto"/>
        </w:rPr>
        <w:t xml:space="preserve">Adjusted net earnings for F&amp;G </w:t>
      </w:r>
      <w:r>
        <w:rPr>
          <w:rFonts w:ascii="Arial" w:cs="Arial" w:eastAsia="Arial" w:hAnsi="Arial"/>
          <w:sz w:val="18"/>
          <w:szCs w:val="18"/>
          <w:color w:val="auto"/>
        </w:rPr>
        <w:t>of $128 million for the second quarter, compared to $92 million for the second quarter of 2021. Adjusted net</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excluding notable items were $92 million in the second quarter, an increase of $22 million or 31% compared to $70 million in the prior year quarter, primarily driven by growth in assets under management</w:t>
      </w:r>
    </w:p>
    <w:p>
      <w:pPr>
        <w:spacing w:after="0" w:line="1" w:lineRule="exact"/>
        <w:rPr>
          <w:rFonts w:ascii="Arial" w:cs="Arial" w:eastAsia="Arial" w:hAnsi="Arial"/>
          <w:sz w:val="22"/>
          <w:szCs w:val="22"/>
          <w:color w:val="auto"/>
        </w:rPr>
      </w:pPr>
    </w:p>
    <w:p>
      <w:pPr>
        <w:jc w:val="both"/>
        <w:ind w:left="1300" w:hanging="320"/>
        <w:spacing w:after="0" w:line="218" w:lineRule="auto"/>
        <w:tabs>
          <w:tab w:leader="none" w:pos="1296" w:val="left"/>
        </w:tabs>
        <w:numPr>
          <w:ilvl w:val="1"/>
          <w:numId w:val="7"/>
        </w:numPr>
        <w:rPr>
          <w:rFonts w:ascii="Arial" w:cs="Arial" w:eastAsia="Arial" w:hAnsi="Arial"/>
          <w:sz w:val="22"/>
          <w:szCs w:val="22"/>
          <w:color w:val="auto"/>
        </w:rPr>
      </w:pPr>
      <w:r>
        <w:rPr>
          <w:rFonts w:ascii="Arial" w:cs="Arial" w:eastAsia="Arial" w:hAnsi="Arial"/>
          <w:sz w:val="18"/>
          <w:szCs w:val="18"/>
          <w:color w:val="auto"/>
        </w:rPr>
        <w:t>Net favorable items in second quarter of 2022 were $36 million, primarily as a result of actuarial assumption updates; we have updated assumptions for our fixed indexed annuity guaranteed minimum withdrawal benefits, based on utilization experience relative to our more conservative assumptions, as well as our net earned rate assumptions which we will continue to monitor in response to significant changes in the macro environment</w:t>
      </w:r>
    </w:p>
    <w:p>
      <w:pPr>
        <w:spacing w:after="0" w:line="2" w:lineRule="exact"/>
        <w:rPr>
          <w:rFonts w:ascii="Arial" w:cs="Arial" w:eastAsia="Arial" w:hAnsi="Arial"/>
          <w:sz w:val="22"/>
          <w:szCs w:val="22"/>
          <w:color w:val="auto"/>
        </w:rPr>
      </w:pPr>
    </w:p>
    <w:p>
      <w:pPr>
        <w:ind w:left="1300" w:hanging="320"/>
        <w:spacing w:after="0" w:line="217" w:lineRule="auto"/>
        <w:tabs>
          <w:tab w:leader="none" w:pos="1300" w:val="left"/>
        </w:tabs>
        <w:numPr>
          <w:ilvl w:val="1"/>
          <w:numId w:val="7"/>
        </w:numPr>
        <w:rPr>
          <w:rFonts w:ascii="Arial" w:cs="Arial" w:eastAsia="Arial" w:hAnsi="Arial"/>
          <w:sz w:val="22"/>
          <w:szCs w:val="22"/>
          <w:color w:val="auto"/>
        </w:rPr>
      </w:pPr>
      <w:r>
        <w:rPr>
          <w:rFonts w:ascii="Arial" w:cs="Arial" w:eastAsia="Arial" w:hAnsi="Arial"/>
          <w:sz w:val="18"/>
          <w:szCs w:val="18"/>
          <w:color w:val="auto"/>
        </w:rPr>
        <w:t>Net favorable items in second quarter of 2021 were $22 million, primarily as a result of favorable CLO redemptions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We will host a call with investors and analysts to discuss FNF’s second quarter 2022 results on Wednesday, August 3, 2022, beginning at 11:00 a.m.</w:t>
      </w:r>
    </w:p>
    <w:p>
      <w:pPr>
        <w:spacing w:after="0" w:line="1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Eastern Time. A live webcast of the conference call will be available on the Events and Multimedia page of the FNF Investor Relations website at fnf.com. The conference call replay will be available via webcast through the FNF Investor Relations website at fnf.com. The telephone replay will be available from 2:00 p.m. Eastern Time on August 3, 2022, through August 10, 2022, by dialing 1-844-512-2921 (USA) or 1-412-317-6671 (International). The access code will be 13730096. An expanded quarterly financial supplement providing F&amp;G segment results is available on the FNF Investor Relations website.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Fidelity National Financial, Inc.</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Fidelity National Financial, Inc. (NYSE: FNF) is a leading provider of title insurance and transaction services to the real estate and mortgage industries. FNF is the nation’s largest title insurance company through its title insurance underwriters - Fidelity National Title, Chicago Title, Commonwealth Land Title, Alamo Title and National Title of New York - that collectively issue more title insurance policies than any other title company in the United States. More information about FNF can be found at fnf.com.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F&amp;G</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F&amp;G is part of the FNF family of companies. F&amp;G is committed to helping Americans turn their aspirations into reality. F&amp;G is a leading provider of insurance solutions serving retail annuity and life customers and institutional clients and is headquartered in Des Moines, Iowa. For more information, please visit fglife.com.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Non-GAAP Financial Information</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Generally Accepted Accounting Principles (GAAP) is the term used to refer to the standard framework of guidelines for financial accounting. GAAP includes the standards, conventions, and rules accountants follow in recording and summarizing transactions and in the preparation of financial statements. In addition to reporting financial results in accordance with GAAP, this earnings release includes non-GAAP financial measures, which the Company believes are useful to help investors better understand its financial performance, competitive position and prospects for the future. These non-GAAP measures include adjusted net earnings per share, adjusted pre-tax title earnings, adjusted pre-tax title earnings as a percentage of adjusted title revenue (adjusted pre-tax title margin), adjusted net earnings attributable to common shareholders (adjusted net earnings), net investment spread, assets under management (AUM), average assets under management (AAUM) and sales.</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Management believes these non-GAAP financial measures may be useful in certain instances to provide additional meaningful comparisons between current results and results in prior operating periods. Our non-GAAP measures may not be comparable to similarly titled measures of other organizations because other organizations may not calculate such non-GAAP measures in the same manner as we do.</w:t>
      </w:r>
    </w:p>
    <w:p>
      <w:pPr>
        <w:sectPr>
          <w:pgSz w:w="11900" w:h="16838" w:orient="portrait"/>
          <w:cols w:equalWidth="0" w:num="1">
            <w:col w:w="11240"/>
          </w:cols>
          <w:pgMar w:left="320" w:top="877" w:right="339" w:bottom="1440" w:gutter="0" w:footer="0" w:header="0"/>
        </w:sectPr>
      </w:pPr>
    </w:p>
    <w:bookmarkStart w:id="7" w:name="page8"/>
    <w:bookmarkEnd w:id="7"/>
    <w:p>
      <w:pPr>
        <w:jc w:val="both"/>
        <w:spacing w:after="0" w:line="253" w:lineRule="auto"/>
        <w:rPr>
          <w:sz w:val="20"/>
          <w:szCs w:val="20"/>
          <w:color w:val="auto"/>
        </w:rPr>
      </w:pPr>
      <w:r>
        <w:rPr>
          <w:rFonts w:ascii="Arial" w:cs="Arial" w:eastAsia="Arial" w:hAnsi="Arial"/>
          <w:sz w:val="17"/>
          <w:szCs w:val="17"/>
          <w:color w:val="auto"/>
        </w:rPr>
        <w:t>The presentation of this financial information is not intended to be considered in isolation of or as a substitute for, or superior to, the financial information prepared and presented in accordance with GAAP. By disclosing these non-GAAP financial measures, FNF believes it offers investors a greater understanding of, and an enhanced level of transparency into, the means by which the Company’s management operates the Company.</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Any non-GAAP measures should be considered in context with the GAAP financial presentation and should not be considered in isolation or as a substitute for GAAP net earnings, net earnings attributable to common shareholders, net earnings per share, or any other measures derived in accordance with GAAP as measures of operating performance or liquidity. Further, FNF's non-GAAP measures may be calculated differently from similarly titled measures of other companies. Reconciliations of these non-GAAP financial measures to the most directly comparable GAAP measures are provided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 and Risk Factors</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This press release contains forward-looking statements that involve a number of risks and uncertainties. Statements that are not historical facts, including statements regarding our expectations, hopes, intentions or strategies regarding the future are forward-looking statements. Forward-looking statements are based on management's beliefs, as well as assumptions made by, and information currently available to, management. Because such statements are based on expectations as to future financial and operating results and are not statements of fact, actual results may differ materially from those projected. We undertake no obligation to update any forward-looking statements, whether as a result of new information, future events or otherwise. The risks and uncertainties which forward-looking statements are subject to include, but are not limited to: the potential impact of the consummation of the F&amp;G transaction on relationships, including with employees, suppliers, customers and competitors; changes in general economic, business, political and COVID-19 conditions, including changes in the financial markets; weakness or adverse changes in the level of real estate activity, which may be caused by, among other things, high or increasing interest rates, a limited supply of mortgage funding or a weak U. S. economy; our potential inability to find suitable acquisition candidates; our dependence on distributions from our title insurance underwriters as a main source of cash flow; significant competition that F&amp;G and our operating subsidiaries face; compliance with extensive government regulation of our operating subsidiaries; and other risks detailed in the “Statement Regarding Forward-Looking Information,” “Risk Factors” and other sections of FNF's Form 10-K and other filings with the Securities and Exchange Commission (SEC).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FNF-E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SOURCE: Fidelity National Financial, Inc.; FGL Holdings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CONTACT:</w:t>
      </w:r>
    </w:p>
    <w:p>
      <w:pPr>
        <w:spacing w:after="0" w:line="219" w:lineRule="auto"/>
        <w:rPr>
          <w:sz w:val="20"/>
          <w:szCs w:val="20"/>
          <w:color w:val="auto"/>
        </w:rPr>
      </w:pPr>
      <w:r>
        <w:rPr>
          <w:rFonts w:ascii="Arial" w:cs="Arial" w:eastAsia="Arial" w:hAnsi="Arial"/>
          <w:sz w:val="18"/>
          <w:szCs w:val="18"/>
          <w:color w:val="auto"/>
        </w:rPr>
        <w:t>Lisa Foxworthy-Parker</w:t>
      </w:r>
    </w:p>
    <w:p>
      <w:pPr>
        <w:spacing w:after="0" w:line="219" w:lineRule="auto"/>
        <w:rPr>
          <w:sz w:val="20"/>
          <w:szCs w:val="20"/>
          <w:color w:val="auto"/>
        </w:rPr>
      </w:pPr>
      <w:r>
        <w:rPr>
          <w:rFonts w:ascii="Arial" w:cs="Arial" w:eastAsia="Arial" w:hAnsi="Arial"/>
          <w:sz w:val="18"/>
          <w:szCs w:val="18"/>
          <w:color w:val="auto"/>
        </w:rPr>
        <w:t>SVP of Investor &amp; External Relations</w:t>
      </w:r>
    </w:p>
    <w:p>
      <w:pPr>
        <w:spacing w:after="0" w:line="219" w:lineRule="auto"/>
        <w:rPr>
          <w:sz w:val="20"/>
          <w:szCs w:val="20"/>
          <w:color w:val="auto"/>
        </w:rPr>
      </w:pPr>
      <w:r>
        <w:rPr>
          <w:rFonts w:ascii="Arial" w:cs="Arial" w:eastAsia="Arial" w:hAnsi="Arial"/>
          <w:sz w:val="18"/>
          <w:szCs w:val="18"/>
          <w:color w:val="0000FF"/>
        </w:rPr>
        <w:t>Investors@fnf.com</w:t>
      </w:r>
    </w:p>
    <w:p>
      <w:pPr>
        <w:spacing w:after="0"/>
        <w:rPr>
          <w:sz w:val="20"/>
          <w:szCs w:val="20"/>
          <w:color w:val="auto"/>
        </w:rPr>
      </w:pPr>
      <w:r>
        <w:rPr>
          <w:rFonts w:ascii="Arial" w:cs="Arial" w:eastAsia="Arial" w:hAnsi="Arial"/>
          <w:sz w:val="18"/>
          <w:szCs w:val="18"/>
          <w:color w:val="auto"/>
        </w:rPr>
        <w:t>515.330.3307</w:t>
      </w:r>
    </w:p>
    <w:p>
      <w:pPr>
        <w:sectPr>
          <w:pgSz w:w="11900" w:h="16838" w:orient="portrait"/>
          <w:cols w:equalWidth="0" w:num="1">
            <w:col w:w="11240"/>
          </w:cols>
          <w:pgMar w:left="320" w:top="108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SEGMENT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millions, except order information 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Three Months Ended</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w w:val="88"/>
              </w:rPr>
              <w:t>Corporate and</w:t>
            </w:r>
          </w:p>
        </w:tc>
        <w:tc>
          <w:tcPr>
            <w:tcW w:w="0" w:type="dxa"/>
            <w:vAlign w:val="bottom"/>
          </w:tcPr>
          <w:p>
            <w:pPr>
              <w:spacing w:after="0"/>
              <w:rPr>
                <w:sz w:val="1"/>
                <w:szCs w:val="1"/>
                <w:color w:val="auto"/>
              </w:rPr>
            </w:pPr>
          </w:p>
        </w:tc>
      </w:tr>
      <w:tr>
        <w:trPr>
          <w:trHeight w:val="27"/>
        </w:trPr>
        <w:tc>
          <w:tcPr>
            <w:tcW w:w="5980" w:type="dxa"/>
            <w:vAlign w:val="bottom"/>
            <w:gridSpan w:val="2"/>
            <w:vMerge w:val="restart"/>
          </w:tcPr>
          <w:p>
            <w:pPr>
              <w:ind w:left="20"/>
              <w:spacing w:after="0"/>
              <w:rPr>
                <w:sz w:val="20"/>
                <w:szCs w:val="20"/>
                <w:color w:val="auto"/>
              </w:rPr>
            </w:pPr>
            <w:r>
              <w:rPr>
                <w:rFonts w:ascii="Arial" w:cs="Arial" w:eastAsia="Arial" w:hAnsi="Arial"/>
                <w:sz w:val="18"/>
                <w:szCs w:val="18"/>
                <w:b w:val="1"/>
                <w:bCs w:val="1"/>
                <w:i w:val="1"/>
                <w:iCs w:val="1"/>
                <w:color w:val="auto"/>
              </w:rPr>
              <w:t>June 30, 2022</w:t>
            </w:r>
          </w:p>
        </w:tc>
        <w:tc>
          <w:tcPr>
            <w:tcW w:w="140" w:type="dxa"/>
            <w:vAlign w:val="bottom"/>
          </w:tcPr>
          <w:p>
            <w:pPr>
              <w:spacing w:after="0"/>
              <w:rPr>
                <w:sz w:val="2"/>
                <w:szCs w:val="2"/>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7"/>
              </w:rPr>
              <w:t>Consolidated</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
                <w:szCs w:val="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color w:val="auto"/>
              </w:rPr>
              <w:t>F&amp;G</w:t>
            </w:r>
          </w:p>
        </w:tc>
        <w:tc>
          <w:tcPr>
            <w:tcW w:w="12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23"/>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title premiums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Agency title premiums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Escrow, title related and other fees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Total title and escrow</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94"/>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Interest and investment income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Recognized gains and losses, net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94"/>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Personnel costs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Agent commissions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Other operating expenses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Benefits &amp; other policy reserve changes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title claim losses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95"/>
        </w:trPr>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Pre-tax earnings (loss)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95"/>
        </w:trPr>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Earnings (loss) from equity investments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Earnings (loss) from discontinued operations, net of tax</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16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earnings (loss) attributable to common shareholders</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382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175"/>
        </w:trPr>
        <w:tc>
          <w:tcPr>
            <w:tcW w:w="59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7"/>
              </w:rPr>
              <w:t>EPS from continuing operations attributable to common shareholders -</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basic</w:t>
            </w: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4"/>
              </w:rPr>
              <w:t>EPS from discontinued operations attributable to common shareholders -</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EPS attributable to common shareholders - basic</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9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7"/>
              </w:rPr>
              <w:t>EPS from continuing operations attributable to common shareholders -</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w:t>
            </w: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4"/>
              </w:rPr>
              <w:t>EPS from discontinued operations attributable to common shareholders -</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EPS attributable to common shareholders - diluted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 basic</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SEGMENT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millions, except order information 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Three Months Ended</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w w:val="88"/>
              </w:rPr>
              <w:t>Corporate and</w:t>
            </w:r>
          </w:p>
        </w:tc>
        <w:tc>
          <w:tcPr>
            <w:tcW w:w="0" w:type="dxa"/>
            <w:vAlign w:val="bottom"/>
          </w:tcPr>
          <w:p>
            <w:pPr>
              <w:spacing w:after="0"/>
              <w:rPr>
                <w:sz w:val="1"/>
                <w:szCs w:val="1"/>
                <w:color w:val="auto"/>
              </w:rPr>
            </w:pPr>
          </w:p>
        </w:tc>
      </w:tr>
      <w:tr>
        <w:trPr>
          <w:trHeight w:val="27"/>
        </w:trPr>
        <w:tc>
          <w:tcPr>
            <w:tcW w:w="5980" w:type="dxa"/>
            <w:vAlign w:val="bottom"/>
            <w:gridSpan w:val="2"/>
            <w:vMerge w:val="restart"/>
          </w:tcPr>
          <w:p>
            <w:pPr>
              <w:ind w:left="20"/>
              <w:spacing w:after="0"/>
              <w:rPr>
                <w:sz w:val="20"/>
                <w:szCs w:val="20"/>
                <w:color w:val="auto"/>
              </w:rPr>
            </w:pPr>
            <w:r>
              <w:rPr>
                <w:rFonts w:ascii="Arial" w:cs="Arial" w:eastAsia="Arial" w:hAnsi="Arial"/>
                <w:sz w:val="18"/>
                <w:szCs w:val="18"/>
                <w:b w:val="1"/>
                <w:bCs w:val="1"/>
                <w:i w:val="1"/>
                <w:iCs w:val="1"/>
                <w:color w:val="auto"/>
              </w:rPr>
              <w:t>June 30, 2022</w:t>
            </w:r>
          </w:p>
        </w:tc>
        <w:tc>
          <w:tcPr>
            <w:tcW w:w="140" w:type="dxa"/>
            <w:vAlign w:val="bottom"/>
          </w:tcPr>
          <w:p>
            <w:pPr>
              <w:spacing w:after="0"/>
              <w:rPr>
                <w:sz w:val="2"/>
                <w:szCs w:val="2"/>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w:t>
            </w:r>
          </w:p>
        </w:tc>
        <w:tc>
          <w:tcPr>
            <w:tcW w:w="280" w:type="dxa"/>
            <w:vAlign w:val="bottom"/>
          </w:tcPr>
          <w:p>
            <w:pPr>
              <w:spacing w:after="0"/>
              <w:rPr>
                <w:sz w:val="2"/>
                <w:szCs w:val="2"/>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
                <w:szCs w:val="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color w:val="auto"/>
              </w:rPr>
              <w:t>F&amp;G</w:t>
            </w:r>
          </w:p>
        </w:tc>
        <w:tc>
          <w:tcPr>
            <w:tcW w:w="12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23"/>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(loss) attributable to common shareholders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94"/>
        </w:trPr>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Earnings from discontinued operations, net of tax</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58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598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7"/>
              </w:rPr>
              <w:t>Net earnings (loss) from continuing operations attributable to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w:t>
            </w: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Pre-tax earnings (loss)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95"/>
        </w:trPr>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Non-GAAP Adjustments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Recognized (gains) and losses, net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Indexed product related derivatives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Purchase price amortization</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94"/>
        </w:trPr>
        <w:tc>
          <w:tcPr>
            <w:tcW w:w="58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pre-tax earnings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94"/>
        </w:trPr>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non-GAAP, pre-tax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Income taxes on non-GAAP adjustments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Total non-GAAP adjustments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94"/>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9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7"/>
              </w:rPr>
              <w:t>Adjusted net earnings (loss) from continuing operations attributable to</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530</w:t>
            </w:r>
          </w:p>
        </w:tc>
        <w:tc>
          <w:tcPr>
            <w:tcW w:w="12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common shareholders</w:t>
            </w: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9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Adjusted EPS from continuing operations attributable to common</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shareholders - diluted</w:t>
            </w:r>
          </w:p>
        </w:tc>
        <w:tc>
          <w:tcPr>
            <w:tcW w:w="1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SEGMENT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millions, except order information 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Three Months Ended</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w w:val="88"/>
              </w:rPr>
              <w:t>Corporate and</w:t>
            </w:r>
          </w:p>
        </w:tc>
        <w:tc>
          <w:tcPr>
            <w:tcW w:w="0" w:type="dxa"/>
            <w:vAlign w:val="bottom"/>
          </w:tcPr>
          <w:p>
            <w:pPr>
              <w:spacing w:after="0"/>
              <w:rPr>
                <w:sz w:val="1"/>
                <w:szCs w:val="1"/>
                <w:color w:val="auto"/>
              </w:rPr>
            </w:pPr>
          </w:p>
        </w:tc>
      </w:tr>
      <w:tr>
        <w:trPr>
          <w:trHeight w:val="27"/>
        </w:trPr>
        <w:tc>
          <w:tcPr>
            <w:tcW w:w="5980" w:type="dxa"/>
            <w:vAlign w:val="bottom"/>
            <w:gridSpan w:val="2"/>
            <w:vMerge w:val="restart"/>
          </w:tcPr>
          <w:p>
            <w:pPr>
              <w:ind w:left="20"/>
              <w:spacing w:after="0"/>
              <w:rPr>
                <w:sz w:val="20"/>
                <w:szCs w:val="20"/>
                <w:color w:val="auto"/>
              </w:rPr>
            </w:pPr>
            <w:r>
              <w:rPr>
                <w:rFonts w:ascii="Arial" w:cs="Arial" w:eastAsia="Arial" w:hAnsi="Arial"/>
                <w:sz w:val="18"/>
                <w:szCs w:val="18"/>
                <w:b w:val="1"/>
                <w:bCs w:val="1"/>
                <w:i w:val="1"/>
                <w:iCs w:val="1"/>
                <w:color w:val="auto"/>
              </w:rPr>
              <w:t>June 30, 2021</w:t>
            </w:r>
          </w:p>
        </w:tc>
        <w:tc>
          <w:tcPr>
            <w:tcW w:w="140" w:type="dxa"/>
            <w:vAlign w:val="bottom"/>
          </w:tcPr>
          <w:p>
            <w:pPr>
              <w:spacing w:after="0"/>
              <w:rPr>
                <w:sz w:val="2"/>
                <w:szCs w:val="2"/>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7"/>
              </w:rPr>
              <w:t>Consolidated</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
                <w:szCs w:val="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color w:val="auto"/>
              </w:rPr>
              <w:t>F&amp;G</w:t>
            </w:r>
          </w:p>
        </w:tc>
        <w:tc>
          <w:tcPr>
            <w:tcW w:w="12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23"/>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title premiums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Agency title premiums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Escrow, title related and other fees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Total title and escrow</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94"/>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Interest and investment income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Recognized gains and losses, net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3,854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94"/>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Personnel costs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Agent commissions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Other operating expenses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Benefits &amp; other policy reserve changes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title claim losses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95"/>
        </w:trPr>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Pre-tax earnings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95"/>
        </w:trPr>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Earnings from equity investments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Earnings (loss) from discontinued operations, net of tax</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16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earnings (loss) attributable to common shareholders</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552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493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175"/>
        </w:trPr>
        <w:tc>
          <w:tcPr>
            <w:tcW w:w="59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7"/>
              </w:rPr>
              <w:t>EPS from continuing operations attributable to common shareholders -</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basic</w:t>
            </w: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4"/>
              </w:rPr>
              <w:t>EPS from discontinued operations attributable to common shareholders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EPS attributable to common shareholders - basic</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9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7"/>
              </w:rPr>
              <w:t>EPS from continuing operations attributable to common shareholders -</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w:t>
            </w: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4"/>
              </w:rPr>
              <w:t>EPS from discontinued operations attributable to common shareholders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EPS attributable to common shareholders - diluted</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1.92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 basic</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SEGMENT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millions, except order information 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Three Months Ended</w:t>
            </w:r>
          </w:p>
        </w:tc>
        <w:tc>
          <w:tcPr>
            <w:tcW w:w="120" w:type="dxa"/>
            <w:vAlign w:val="bottom"/>
          </w:tcPr>
          <w:p>
            <w:pPr>
              <w:spacing w:after="0"/>
              <w:rPr>
                <w:sz w:val="20"/>
                <w:szCs w:val="20"/>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w:t>
            </w:r>
          </w:p>
        </w:tc>
        <w:tc>
          <w:tcPr>
            <w:tcW w:w="280" w:type="dxa"/>
            <w:vAlign w:val="bottom"/>
          </w:tcPr>
          <w:p>
            <w:pPr>
              <w:spacing w:after="0"/>
              <w:rPr>
                <w:sz w:val="20"/>
                <w:szCs w:val="20"/>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rPr>
                <w:sz w:val="20"/>
                <w:szCs w:val="20"/>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8"/>
                <w:szCs w:val="18"/>
                <w:color w:val="auto"/>
              </w:rPr>
              <w:t>F&amp;G</w:t>
            </w:r>
          </w:p>
        </w:tc>
        <w:tc>
          <w:tcPr>
            <w:tcW w:w="1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w w:val="88"/>
              </w:rPr>
              <w:t>Corporate and</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June 30, 2021</w:t>
            </w: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(loss) attributable to common shareholders</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94"/>
        </w:trPr>
        <w:tc>
          <w:tcPr>
            <w:tcW w:w="5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Earnings from discontinued operations, net of tax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4"/>
        </w:trPr>
        <w:tc>
          <w:tcPr>
            <w:tcW w:w="582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59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5"/>
              </w:rPr>
              <w:t>Net earnings (loss) from continuing operations, attributable to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546</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493</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w:t>
            </w:r>
          </w:p>
        </w:tc>
        <w:tc>
          <w:tcPr>
            <w:tcW w:w="1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5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Pre-tax earnings (loss) from continuing operations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94"/>
        </w:trPr>
        <w:tc>
          <w:tcPr>
            <w:tcW w:w="5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Recognized (gains) and losses, net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Indexed product related derivatives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Purchase price amortization</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95"/>
        </w:trPr>
        <w:tc>
          <w:tcPr>
            <w:tcW w:w="582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pre-tax earnings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94"/>
        </w:trPr>
        <w:tc>
          <w:tcPr>
            <w:tcW w:w="5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non-GAAP, pre-tax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Income taxes on non-GAAP adjustments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Non-controlling interest on non-GAAP adjustments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Total non-GAAP adjustments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95"/>
        </w:trPr>
        <w:tc>
          <w:tcPr>
            <w:tcW w:w="5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net earnings attributable to common shareholders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593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95"/>
        </w:trPr>
        <w:tc>
          <w:tcPr>
            <w:tcW w:w="5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EPS attributable to common shareholders - diluted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YTD SEGMENT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millions, except order information 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Six Months Ended</w:t>
            </w:r>
          </w:p>
        </w:tc>
        <w:tc>
          <w:tcPr>
            <w:tcW w:w="140" w:type="dxa"/>
            <w:vAlign w:val="bottom"/>
          </w:tcPr>
          <w:p>
            <w:pPr>
              <w:spacing w:after="0"/>
              <w:rPr>
                <w:sz w:val="20"/>
                <w:szCs w:val="20"/>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7"/>
              </w:rPr>
              <w:t>Consolidated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0"/>
                <w:szCs w:val="20"/>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color w:val="auto"/>
              </w:rPr>
              <w:t>F&amp;G</w:t>
            </w:r>
          </w:p>
        </w:tc>
        <w:tc>
          <w:tcPr>
            <w:tcW w:w="1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w w:val="88"/>
              </w:rPr>
              <w:t>Corporate and</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June 30, 2022</w:t>
            </w: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23"/>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title premiums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Agency title premiums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Escrow, title related and other fees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Total title and escrow</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94"/>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Interest and investment income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Recognized gains and losses, net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94"/>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Personnel costs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Agent commissions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Other operating expenses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Benefits &amp; other policy reserve changes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title claim losses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95"/>
        </w:trPr>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Pre-tax earnings (loss)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1,090</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95"/>
        </w:trPr>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Earnings (loss) from equity investments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Earnings from discontinued operations, net of tax</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95"/>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16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earnings (loss) attributable to common shareholders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779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466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95"/>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9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7"/>
              </w:rPr>
              <w:t>EPS from continuing operations attributable to common shareholders -</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basic</w:t>
            </w: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4"/>
              </w:rPr>
              <w:t>EPS from discontinued operations attributable to common shareholders -</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EPS attributable to common shareholders - basic</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9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7"/>
              </w:rPr>
              <w:t>EPS from continuing operations attributable to common shareholders -</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w:t>
            </w: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4"/>
              </w:rPr>
              <w:t>EPS from discontinued operations attributable to common shareholders -</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EPS attributable to common shareholders - diluted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 basic</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YTD SEGMENT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millions, except order information 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Six Months Ended</w:t>
            </w:r>
          </w:p>
        </w:tc>
        <w:tc>
          <w:tcPr>
            <w:tcW w:w="100" w:type="dxa"/>
            <w:vAlign w:val="bottom"/>
          </w:tcPr>
          <w:p>
            <w:pPr>
              <w:spacing w:after="0"/>
              <w:rPr>
                <w:sz w:val="20"/>
                <w:szCs w:val="2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w:t>
            </w:r>
          </w:p>
        </w:tc>
        <w:tc>
          <w:tcPr>
            <w:tcW w:w="280" w:type="dxa"/>
            <w:vAlign w:val="bottom"/>
          </w:tcPr>
          <w:p>
            <w:pPr>
              <w:spacing w:after="0"/>
              <w:rPr>
                <w:sz w:val="20"/>
                <w:szCs w:val="20"/>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0"/>
                <w:szCs w:val="20"/>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auto"/>
              </w:rPr>
              <w:t>F&amp;G</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6"/>
              </w:rPr>
              <w:t>Corporate and</w:t>
            </w:r>
          </w:p>
        </w:tc>
        <w:tc>
          <w:tcPr>
            <w:tcW w:w="0" w:type="dxa"/>
            <w:vAlign w:val="bottom"/>
          </w:tcPr>
          <w:p>
            <w:pPr>
              <w:spacing w:after="0"/>
              <w:rPr>
                <w:sz w:val="1"/>
                <w:szCs w:val="1"/>
                <w:color w:val="auto"/>
              </w:rPr>
            </w:pPr>
          </w:p>
        </w:tc>
      </w:tr>
      <w:tr>
        <w:trPr>
          <w:trHeight w:val="229"/>
        </w:trPr>
        <w:tc>
          <w:tcPr>
            <w:tcW w:w="6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June 30, 2022</w:t>
            </w: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23"/>
        </w:trPr>
        <w:tc>
          <w:tcPr>
            <w:tcW w:w="6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(loss) attributable to common shareholders</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94"/>
        </w:trPr>
        <w:tc>
          <w:tcPr>
            <w:tcW w:w="6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net of tax</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6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2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Net earnings (loss) from continuing operations attributable to common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779</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466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w:t>
            </w:r>
          </w:p>
        </w:tc>
        <w:tc>
          <w:tcPr>
            <w:tcW w:w="1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6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Pre-tax earnings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94"/>
        </w:trPr>
        <w:tc>
          <w:tcPr>
            <w:tcW w:w="6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Recognized (gains) and losses, net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Indexed product related derivatives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Purchase price amortization</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95"/>
        </w:trPr>
        <w:tc>
          <w:tcPr>
            <w:tcW w:w="61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pre-tax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95"/>
        </w:trPr>
        <w:tc>
          <w:tcPr>
            <w:tcW w:w="6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non-GAAP, pre-tax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Income taxes on non-GAAP adjustments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tax asset valuation allowance</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Total non-GAAP adjustments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397</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95"/>
        </w:trPr>
        <w:tc>
          <w:tcPr>
            <w:tcW w:w="6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620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Adjusted net earnings (loss) from continuing operations attributable to</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918</w:t>
            </w:r>
          </w:p>
        </w:tc>
        <w:tc>
          <w:tcPr>
            <w:tcW w:w="10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752</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common shareholders</w:t>
            </w:r>
          </w:p>
        </w:tc>
        <w:tc>
          <w:tcPr>
            <w:tcW w:w="1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6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620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Adjusted EPS from continuing operations attributable to common</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20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shareholders - diluted</w:t>
            </w:r>
          </w:p>
        </w:tc>
        <w:tc>
          <w:tcPr>
            <w:tcW w:w="10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YTD SEGMENT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millions, except order information 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Six Months Ended</w:t>
            </w:r>
          </w:p>
        </w:tc>
        <w:tc>
          <w:tcPr>
            <w:tcW w:w="120" w:type="dxa"/>
            <w:vAlign w:val="bottom"/>
          </w:tcPr>
          <w:p>
            <w:pPr>
              <w:spacing w:after="0"/>
              <w:rPr>
                <w:sz w:val="20"/>
                <w:szCs w:val="20"/>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7"/>
              </w:rPr>
              <w:t>Consolidated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rPr>
                <w:sz w:val="20"/>
                <w:szCs w:val="20"/>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8"/>
                <w:szCs w:val="18"/>
                <w:color w:val="auto"/>
              </w:rPr>
              <w:t>F&amp;G</w:t>
            </w:r>
          </w:p>
        </w:tc>
        <w:tc>
          <w:tcPr>
            <w:tcW w:w="1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w w:val="88"/>
              </w:rPr>
              <w:t>Corporate and</w:t>
            </w:r>
          </w:p>
        </w:tc>
        <w:tc>
          <w:tcPr>
            <w:tcW w:w="0" w:type="dxa"/>
            <w:vAlign w:val="bottom"/>
          </w:tcPr>
          <w:p>
            <w:pPr>
              <w:spacing w:after="0"/>
              <w:rPr>
                <w:sz w:val="1"/>
                <w:szCs w:val="1"/>
                <w:color w:val="auto"/>
              </w:rPr>
            </w:pP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June 30, 2021</w:t>
            </w: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23"/>
        </w:trPr>
        <w:tc>
          <w:tcPr>
            <w:tcW w:w="5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Direct title premiums</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1,650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Agency title premiums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Escrow, title related and other fees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title and escrow</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54"/>
        </w:trPr>
        <w:tc>
          <w:tcPr>
            <w:tcW w:w="5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investment income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Recognized gains and losses, net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54"/>
        </w:trPr>
        <w:tc>
          <w:tcPr>
            <w:tcW w:w="5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Personnel costs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Agent commissions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Benefits &amp; other policy reserve changes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Provision for title claim losses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59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5,484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63"/>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Pre-tax earnings (loss) from continuing operations</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1,470</w:t>
            </w:r>
          </w:p>
        </w:tc>
        <w:tc>
          <w:tcPr>
            <w:tcW w:w="38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1,083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453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29"/>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Earnings from equity investments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Earnings (loss) from discontinued operations, net of tax</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(loss) attributable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54"/>
        </w:trPr>
        <w:tc>
          <w:tcPr>
            <w:tcW w:w="5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6"/>
              </w:rPr>
              <w:t>EPS from continuing operations attributable to common shareholders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12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0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3"/>
              </w:rPr>
              <w:t>EPS from discontinued operations attributable to common shareholders -</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basic</w:t>
            </w:r>
          </w:p>
        </w:tc>
        <w:tc>
          <w:tcPr>
            <w:tcW w:w="1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EPS attributable to common shareholders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0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6"/>
              </w:rPr>
              <w:t>EPS from continuing operations attributable to common shareholders -</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w:t>
            </w:r>
          </w:p>
        </w:tc>
        <w:tc>
          <w:tcPr>
            <w:tcW w:w="1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3"/>
              </w:rPr>
              <w:t>EPS from discontinued operations attributable to common shareholders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EPS attributable to common shareholders - diluted</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 basic</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YTD SEGMENT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millions, except order information 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Six Months Ended</w:t>
            </w:r>
          </w:p>
        </w:tc>
        <w:tc>
          <w:tcPr>
            <w:tcW w:w="140" w:type="dxa"/>
            <w:vAlign w:val="bottom"/>
          </w:tcPr>
          <w:p>
            <w:pPr>
              <w:spacing w:after="0"/>
              <w:rPr>
                <w:sz w:val="20"/>
                <w:szCs w:val="20"/>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w:t>
            </w:r>
          </w:p>
        </w:tc>
        <w:tc>
          <w:tcPr>
            <w:tcW w:w="280" w:type="dxa"/>
            <w:vAlign w:val="bottom"/>
          </w:tcPr>
          <w:p>
            <w:pPr>
              <w:spacing w:after="0"/>
              <w:rPr>
                <w:sz w:val="20"/>
                <w:szCs w:val="20"/>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0"/>
                <w:szCs w:val="20"/>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color w:val="auto"/>
              </w:rPr>
              <w:t>F&amp;G</w:t>
            </w:r>
          </w:p>
        </w:tc>
        <w:tc>
          <w:tcPr>
            <w:tcW w:w="1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w w:val="88"/>
              </w:rPr>
              <w:t>Corporate and</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June 30, 2021</w:t>
            </w: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23"/>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(loss) attributable to common shareholders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94"/>
        </w:trPr>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net of tax</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5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7"/>
              </w:rPr>
              <w:t>Net earnings (loss) from continuing operations attributable to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1,146</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833</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w:t>
            </w: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Pre-tax earnings (loss) from continuing operations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94"/>
        </w:trPr>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Recognized (gains) and losses, net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Indexed product related derivatives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Purchase price amortization</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95"/>
        </w:trPr>
        <w:tc>
          <w:tcPr>
            <w:tcW w:w="58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pre-tax earnings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95"/>
        </w:trPr>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non-GAAP, pre-tax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Income taxes on non-GAAP adjustments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Non-controlling interest on non-GAAP adjustments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Total non-GAAP adjustments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94"/>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net earnings (loss) attributable to common shareholders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1,048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95"/>
        </w:trPr>
        <w:tc>
          <w:tcPr>
            <w:tcW w:w="5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EPS attributable to common shareholders - diluted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5" w:right="3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22"/>
          <w:szCs w:val="22"/>
          <w:b w:val="1"/>
          <w:bCs w:val="1"/>
          <w:color w:val="auto"/>
        </w:rPr>
        <w:t>FIDELITY NATIONAL FINANCIAL,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SUMMARY BALANCE SHEET INFORMATION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100" w:type="dxa"/>
            <w:vAlign w:val="bottom"/>
            <w:tcBorders>
              <w:right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jc w:val="center"/>
              <w:ind w:right="274"/>
              <w:spacing w:after="0" w:line="145"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Borders>
              <w:right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jc w:val="center"/>
              <w:ind w:right="234"/>
              <w:spacing w:after="0" w:line="145" w:lineRule="exact"/>
              <w:rPr>
                <w:sz w:val="20"/>
                <w:szCs w:val="20"/>
                <w:color w:val="auto"/>
              </w:rPr>
            </w:pPr>
            <w:r>
              <w:rPr>
                <w:rFonts w:ascii="Arial" w:cs="Arial" w:eastAsia="Arial" w:hAnsi="Arial"/>
                <w:sz w:val="14"/>
                <w:szCs w:val="14"/>
                <w:b w:val="1"/>
                <w:bCs w:val="1"/>
                <w:color w:val="auto"/>
                <w:w w:val="92"/>
              </w:rPr>
              <w:t>December 31,</w:t>
            </w:r>
          </w:p>
        </w:tc>
      </w:tr>
      <w:tr>
        <w:trPr>
          <w:trHeight w:val="188"/>
        </w:trPr>
        <w:tc>
          <w:tcPr>
            <w:tcW w:w="8100" w:type="dxa"/>
            <w:vAlign w:val="bottom"/>
            <w:tcBorders>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Borders>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2021</w:t>
            </w:r>
          </w:p>
        </w:tc>
      </w:tr>
      <w:tr>
        <w:trPr>
          <w:trHeight w:val="181"/>
        </w:trPr>
        <w:tc>
          <w:tcPr>
            <w:tcW w:w="810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Borders>
              <w:right w:val="single" w:sz="8" w:color="auto"/>
            </w:tcBorders>
          </w:tcPr>
          <w:p>
            <w:pPr>
              <w:jc w:val="center"/>
              <w:ind w:right="254"/>
              <w:spacing w:after="0"/>
              <w:rPr>
                <w:sz w:val="20"/>
                <w:szCs w:val="20"/>
                <w:color w:val="auto"/>
              </w:rPr>
            </w:pPr>
            <w:r>
              <w:rPr>
                <w:rFonts w:ascii="Arial" w:cs="Arial" w:eastAsia="Arial" w:hAnsi="Arial"/>
                <w:sz w:val="14"/>
                <w:szCs w:val="14"/>
                <w:color w:val="auto"/>
                <w:w w:val="95"/>
              </w:rPr>
              <w:t>(Unaudited)</w:t>
            </w:r>
          </w:p>
        </w:tc>
        <w:tc>
          <w:tcPr>
            <w:tcW w:w="2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Borders>
              <w:right w:val="single" w:sz="8" w:color="auto"/>
            </w:tcBorders>
          </w:tcPr>
          <w:p>
            <w:pPr>
              <w:jc w:val="center"/>
              <w:ind w:right="214"/>
              <w:spacing w:after="0"/>
              <w:rPr>
                <w:sz w:val="20"/>
                <w:szCs w:val="20"/>
                <w:color w:val="auto"/>
              </w:rPr>
            </w:pPr>
            <w:r>
              <w:rPr>
                <w:rFonts w:ascii="Arial" w:cs="Arial" w:eastAsia="Arial" w:hAnsi="Arial"/>
                <w:sz w:val="14"/>
                <w:szCs w:val="14"/>
                <w:color w:val="auto"/>
                <w:w w:val="95"/>
              </w:rPr>
              <w:t>(Unaudited)</w:t>
            </w:r>
          </w:p>
        </w:tc>
      </w:tr>
      <w:tr>
        <w:trPr>
          <w:trHeight w:val="233"/>
        </w:trPr>
        <w:tc>
          <w:tcPr>
            <w:tcW w:w="8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investment portfolio</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45,399</w:t>
            </w:r>
          </w:p>
        </w:tc>
        <w:tc>
          <w:tcPr>
            <w:tcW w:w="200" w:type="dxa"/>
            <w:vAlign w:val="bottom"/>
            <w:tcBorders>
              <w:right w:val="single" w:sz="8" w:color="auto"/>
            </w:tcBorders>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47,135</w:t>
            </w:r>
          </w:p>
        </w:tc>
      </w:tr>
      <w:tr>
        <w:trPr>
          <w:trHeight w:val="230"/>
        </w:trPr>
        <w:tc>
          <w:tcPr>
            <w:tcW w:w="8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16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4,538</w:t>
            </w:r>
          </w:p>
        </w:tc>
        <w:tc>
          <w:tcPr>
            <w:tcW w:w="2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4,539</w:t>
            </w:r>
          </w:p>
        </w:tc>
      </w:tr>
      <w:tr>
        <w:trPr>
          <w:trHeight w:val="229"/>
        </w:trPr>
        <w:tc>
          <w:tcPr>
            <w:tcW w:w="8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Title plant</w:t>
            </w: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400</w:t>
            </w:r>
          </w:p>
        </w:tc>
        <w:tc>
          <w:tcPr>
            <w:tcW w:w="20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400</w:t>
            </w:r>
          </w:p>
        </w:tc>
      </w:tr>
      <w:tr>
        <w:trPr>
          <w:trHeight w:val="229"/>
        </w:trPr>
        <w:tc>
          <w:tcPr>
            <w:tcW w:w="8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9"/>
                <w:szCs w:val="19"/>
                <w:color w:val="auto"/>
              </w:rPr>
            </w:pPr>
          </w:p>
        </w:tc>
        <w:tc>
          <w:tcPr>
            <w:tcW w:w="116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61,230</w:t>
            </w:r>
          </w:p>
        </w:tc>
        <w:tc>
          <w:tcPr>
            <w:tcW w:w="2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60,690</w:t>
            </w:r>
          </w:p>
        </w:tc>
      </w:tr>
      <w:tr>
        <w:trPr>
          <w:trHeight w:val="230"/>
        </w:trPr>
        <w:tc>
          <w:tcPr>
            <w:tcW w:w="8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3,094</w:t>
            </w:r>
          </w:p>
        </w:tc>
        <w:tc>
          <w:tcPr>
            <w:tcW w:w="20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3,096</w:t>
            </w:r>
          </w:p>
        </w:tc>
      </w:tr>
      <w:tr>
        <w:trPr>
          <w:trHeight w:val="229"/>
        </w:trPr>
        <w:tc>
          <w:tcPr>
            <w:tcW w:w="8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Reserve for title claim losses</w:t>
            </w:r>
          </w:p>
        </w:tc>
        <w:tc>
          <w:tcPr>
            <w:tcW w:w="320" w:type="dxa"/>
            <w:vAlign w:val="bottom"/>
          </w:tcPr>
          <w:p>
            <w:pPr>
              <w:spacing w:after="0"/>
              <w:rPr>
                <w:sz w:val="19"/>
                <w:szCs w:val="19"/>
                <w:color w:val="auto"/>
              </w:rPr>
            </w:pPr>
          </w:p>
        </w:tc>
        <w:tc>
          <w:tcPr>
            <w:tcW w:w="116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1,843</w:t>
            </w:r>
          </w:p>
        </w:tc>
        <w:tc>
          <w:tcPr>
            <w:tcW w:w="2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1,883</w:t>
            </w:r>
          </w:p>
        </w:tc>
      </w:tr>
      <w:tr>
        <w:trPr>
          <w:trHeight w:val="230"/>
        </w:trPr>
        <w:tc>
          <w:tcPr>
            <w:tcW w:w="8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Secured trust deposits</w:t>
            </w: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1,173</w:t>
            </w:r>
          </w:p>
        </w:tc>
        <w:tc>
          <w:tcPr>
            <w:tcW w:w="20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934</w:t>
            </w:r>
          </w:p>
        </w:tc>
      </w:tr>
      <w:tr>
        <w:trPr>
          <w:trHeight w:val="229"/>
        </w:trPr>
        <w:tc>
          <w:tcPr>
            <w:tcW w:w="8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9"/>
                <w:szCs w:val="19"/>
                <w:color w:val="auto"/>
              </w:rPr>
            </w:pPr>
          </w:p>
        </w:tc>
        <w:tc>
          <w:tcPr>
            <w:tcW w:w="116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43</w:t>
            </w:r>
          </w:p>
        </w:tc>
        <w:tc>
          <w:tcPr>
            <w:tcW w:w="2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43</w:t>
            </w:r>
          </w:p>
        </w:tc>
      </w:tr>
      <w:tr>
        <w:trPr>
          <w:trHeight w:val="229"/>
        </w:trPr>
        <w:tc>
          <w:tcPr>
            <w:tcW w:w="8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equity and non-controlling interests</w:t>
            </w: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6,746</w:t>
            </w:r>
          </w:p>
        </w:tc>
        <w:tc>
          <w:tcPr>
            <w:tcW w:w="200" w:type="dxa"/>
            <w:vAlign w:val="bottom"/>
            <w:tcBorders>
              <w:right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9,457</w:t>
            </w:r>
          </w:p>
        </w:tc>
      </w:tr>
      <w:tr>
        <w:trPr>
          <w:trHeight w:val="230"/>
        </w:trPr>
        <w:tc>
          <w:tcPr>
            <w:tcW w:w="8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Total equity attributable to common shareholders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6,703</w:t>
            </w:r>
          </w:p>
        </w:tc>
        <w:tc>
          <w:tcPr>
            <w:tcW w:w="20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9,414</w:t>
            </w:r>
          </w:p>
        </w:tc>
      </w:tr>
    </w:tbl>
    <w:p>
      <w:pPr>
        <w:sectPr>
          <w:pgSz w:w="11900" w:h="16838" w:orient="portrait"/>
          <w:cols w:equalWidth="0" w:num="1">
            <w:col w:w="11260"/>
          </w:cols>
          <w:pgMar w:left="320" w:top="855" w:right="31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auto"/>
        </w:rPr>
        <w:t>Non-GAAP Measures and 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Title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reconciles pre-tax title earnings to adjusted pre-tax title earnings.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tcBorders>
              <w:right w:val="single" w:sz="8" w:color="auto"/>
            </w:tcBorders>
            <w:gridSpan w:val="4"/>
          </w:tcPr>
          <w:p>
            <w:pPr>
              <w:ind w:left="80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60" w:type="dxa"/>
            <w:vAlign w:val="bottom"/>
            <w:gridSpan w:val="3"/>
          </w:tcPr>
          <w:p>
            <w:pPr>
              <w:jc w:val="right"/>
              <w:ind w:right="10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60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60" w:type="dxa"/>
            <w:vAlign w:val="bottom"/>
          </w:tcPr>
          <w:p>
            <w:pPr>
              <w:spacing w:after="0"/>
              <w:rPr>
                <w:sz w:val="20"/>
                <w:szCs w:val="20"/>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June 30, 2022</w:t>
            </w:r>
          </w:p>
        </w:tc>
        <w:tc>
          <w:tcPr>
            <w:tcW w:w="260" w:type="dxa"/>
            <w:vAlign w:val="bottom"/>
          </w:tcPr>
          <w:p>
            <w:pPr>
              <w:spacing w:after="0"/>
              <w:rPr>
                <w:sz w:val="20"/>
                <w:szCs w:val="20"/>
                <w:color w:val="auto"/>
              </w:rPr>
            </w:pPr>
          </w:p>
        </w:tc>
        <w:tc>
          <w:tcPr>
            <w:tcW w:w="176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June 30, 2021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 2022</w:t>
            </w:r>
          </w:p>
        </w:tc>
        <w:tc>
          <w:tcPr>
            <w:tcW w:w="260" w:type="dxa"/>
            <w:vAlign w:val="bottom"/>
          </w:tcPr>
          <w:p>
            <w:pPr>
              <w:spacing w:after="0"/>
              <w:rPr>
                <w:sz w:val="20"/>
                <w:szCs w:val="20"/>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 2021</w:t>
            </w: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Pre-tax earnings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267</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644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516</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1,083</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Non-GAAP adjustments before taxes</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Recognized (gains) and losses, net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424</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w:t>
            </w:r>
          </w:p>
        </w:tc>
      </w:tr>
      <w:tr>
        <w:trPr>
          <w:trHeight w:val="229"/>
        </w:trPr>
        <w:tc>
          <w:tcPr>
            <w:tcW w:w="3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Purchase price amortization</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w:t>
            </w: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non-GAAP adjustments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117</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Adjusted pre-tax earnings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529</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rPr>
              <w:t>688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ind w:right="170"/>
              <w:spacing w:after="0"/>
              <w:rPr>
                <w:sz w:val="20"/>
                <w:szCs w:val="20"/>
                <w:color w:val="auto"/>
              </w:rPr>
            </w:pPr>
            <w:r>
              <w:rPr>
                <w:rFonts w:ascii="Arial" w:cs="Arial" w:eastAsia="Arial" w:hAnsi="Arial"/>
                <w:sz w:val="18"/>
                <w:szCs w:val="18"/>
                <w:b w:val="1"/>
                <w:bCs w:val="1"/>
                <w:color w:val="auto"/>
              </w:rPr>
              <w:t>966</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1,200</w:t>
            </w: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pre-tax margin</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18.9 %</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18.0 %</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-1036320</wp:posOffset>
            </wp:positionV>
            <wp:extent cx="228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0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-1190625</wp:posOffset>
            </wp:positionV>
            <wp:extent cx="4723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OPERATING STATISTICS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Q2 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Q1 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Q4 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Q3 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Q2 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Q1 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Q4 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Q3 2020</w:t>
            </w: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3020" w:type="dxa"/>
            <w:vAlign w:val="bottom"/>
            <w:tcBorders>
              <w:bottom w:val="single" w:sz="8" w:color="auto"/>
            </w:tcBorders>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94"/>
              </w:rPr>
              <w:t>Quarterly Opened Orders ('000's except % data)</w:t>
            </w: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2580" w:type="dxa"/>
            <w:vAlign w:val="bottom"/>
            <w:gridSpan w:val="4"/>
          </w:tcPr>
          <w:p>
            <w:pPr>
              <w:spacing w:after="0"/>
              <w:rPr>
                <w:sz w:val="20"/>
                <w:szCs w:val="20"/>
                <w:color w:val="auto"/>
              </w:rPr>
            </w:pPr>
            <w:r>
              <w:rPr>
                <w:rFonts w:ascii="Arial" w:cs="Arial" w:eastAsia="Arial" w:hAnsi="Arial"/>
                <w:sz w:val="14"/>
                <w:szCs w:val="14"/>
                <w:color w:val="auto"/>
              </w:rPr>
              <w:t>Total opened orders*</w:t>
            </w:r>
          </w:p>
        </w:tc>
        <w:tc>
          <w:tcPr>
            <w:tcW w:w="160" w:type="dxa"/>
            <w:vAlign w:val="bottom"/>
          </w:tcPr>
          <w:p>
            <w:pPr>
              <w:spacing w:after="0"/>
              <w:rPr>
                <w:sz w:val="16"/>
                <w:szCs w:val="16"/>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847</w:t>
            </w:r>
          </w:p>
        </w:tc>
      </w:tr>
      <w:tr>
        <w:trPr>
          <w:trHeight w:val="192"/>
        </w:trPr>
        <w:tc>
          <w:tcPr>
            <w:tcW w:w="20" w:type="dxa"/>
            <w:vAlign w:val="bottom"/>
            <w:shd w:val="clear" w:color="auto" w:fill="CCEEFF"/>
          </w:tcPr>
          <w:p>
            <w:pPr>
              <w:spacing w:after="0"/>
              <w:rPr>
                <w:sz w:val="16"/>
                <w:szCs w:val="16"/>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 opened orders per day*</w:t>
            </w: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13.2</w:t>
            </w:r>
          </w:p>
        </w:tc>
      </w:tr>
      <w:tr>
        <w:trPr>
          <w:trHeight w:val="186"/>
        </w:trPr>
        <w:tc>
          <w:tcPr>
            <w:tcW w:w="20" w:type="dxa"/>
            <w:vAlign w:val="bottom"/>
          </w:tcPr>
          <w:p>
            <w:pPr>
              <w:spacing w:after="0"/>
              <w:rPr>
                <w:sz w:val="16"/>
                <w:szCs w:val="16"/>
                <w:color w:val="auto"/>
              </w:rPr>
            </w:pPr>
          </w:p>
        </w:tc>
        <w:tc>
          <w:tcPr>
            <w:tcW w:w="2580" w:type="dxa"/>
            <w:vAlign w:val="bottom"/>
            <w:gridSpan w:val="4"/>
          </w:tcPr>
          <w:p>
            <w:pPr>
              <w:spacing w:after="0"/>
              <w:rPr>
                <w:sz w:val="20"/>
                <w:szCs w:val="20"/>
                <w:color w:val="auto"/>
              </w:rPr>
            </w:pPr>
            <w:r>
              <w:rPr>
                <w:rFonts w:ascii="Arial" w:cs="Arial" w:eastAsia="Arial" w:hAnsi="Arial"/>
                <w:sz w:val="14"/>
                <w:szCs w:val="14"/>
                <w:color w:val="auto"/>
              </w:rPr>
              <w:t>Purchase % of opened orders</w:t>
            </w:r>
          </w:p>
        </w:tc>
        <w:tc>
          <w:tcPr>
            <w:tcW w:w="16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192"/>
        </w:trPr>
        <w:tc>
          <w:tcPr>
            <w:tcW w:w="20" w:type="dxa"/>
            <w:vAlign w:val="bottom"/>
            <w:shd w:val="clear" w:color="auto" w:fill="CCEEFF"/>
          </w:tcPr>
          <w:p>
            <w:pPr>
              <w:spacing w:after="0"/>
              <w:rPr>
                <w:sz w:val="16"/>
                <w:szCs w:val="16"/>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Refinance % of opened orders</w:t>
            </w: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w:t>
            </w:r>
          </w:p>
        </w:tc>
      </w:tr>
      <w:tr>
        <w:trPr>
          <w:trHeight w:val="186"/>
        </w:trPr>
        <w:tc>
          <w:tcPr>
            <w:tcW w:w="20" w:type="dxa"/>
            <w:vAlign w:val="bottom"/>
          </w:tcPr>
          <w:p>
            <w:pPr>
              <w:spacing w:after="0"/>
              <w:rPr>
                <w:sz w:val="16"/>
                <w:szCs w:val="16"/>
                <w:color w:val="auto"/>
              </w:rPr>
            </w:pPr>
          </w:p>
        </w:tc>
        <w:tc>
          <w:tcPr>
            <w:tcW w:w="2580" w:type="dxa"/>
            <w:vAlign w:val="bottom"/>
            <w:gridSpan w:val="4"/>
          </w:tcPr>
          <w:p>
            <w:pPr>
              <w:spacing w:after="0"/>
              <w:rPr>
                <w:sz w:val="20"/>
                <w:szCs w:val="20"/>
                <w:color w:val="auto"/>
              </w:rPr>
            </w:pPr>
            <w:r>
              <w:rPr>
                <w:rFonts w:ascii="Arial" w:cs="Arial" w:eastAsia="Arial" w:hAnsi="Arial"/>
                <w:sz w:val="14"/>
                <w:szCs w:val="14"/>
                <w:color w:val="auto"/>
              </w:rPr>
              <w:t>Total closed orders*</w:t>
            </w:r>
          </w:p>
        </w:tc>
        <w:tc>
          <w:tcPr>
            <w:tcW w:w="160" w:type="dxa"/>
            <w:vAlign w:val="bottom"/>
          </w:tcPr>
          <w:p>
            <w:pPr>
              <w:spacing w:after="0"/>
              <w:rPr>
                <w:sz w:val="16"/>
                <w:szCs w:val="16"/>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571</w:t>
            </w:r>
          </w:p>
        </w:tc>
      </w:tr>
      <w:tr>
        <w:trPr>
          <w:trHeight w:val="192"/>
        </w:trPr>
        <w:tc>
          <w:tcPr>
            <w:tcW w:w="20" w:type="dxa"/>
            <w:vAlign w:val="bottom"/>
            <w:shd w:val="clear" w:color="auto" w:fill="CCEEFF"/>
          </w:tcPr>
          <w:p>
            <w:pPr>
              <w:spacing w:after="0"/>
              <w:rPr>
                <w:sz w:val="16"/>
                <w:szCs w:val="16"/>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 closed orders per day*</w:t>
            </w: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w:t>
            </w:r>
          </w:p>
        </w:tc>
      </w:tr>
      <w:tr>
        <w:trPr>
          <w:trHeight w:val="186"/>
        </w:trPr>
        <w:tc>
          <w:tcPr>
            <w:tcW w:w="20" w:type="dxa"/>
            <w:vAlign w:val="bottom"/>
          </w:tcPr>
          <w:p>
            <w:pPr>
              <w:spacing w:after="0"/>
              <w:rPr>
                <w:sz w:val="16"/>
                <w:szCs w:val="16"/>
                <w:color w:val="auto"/>
              </w:rPr>
            </w:pPr>
          </w:p>
        </w:tc>
        <w:tc>
          <w:tcPr>
            <w:tcW w:w="2580" w:type="dxa"/>
            <w:vAlign w:val="bottom"/>
            <w:gridSpan w:val="4"/>
          </w:tcPr>
          <w:p>
            <w:pPr>
              <w:spacing w:after="0"/>
              <w:rPr>
                <w:sz w:val="20"/>
                <w:szCs w:val="20"/>
                <w:color w:val="auto"/>
              </w:rPr>
            </w:pPr>
            <w:r>
              <w:rPr>
                <w:rFonts w:ascii="Arial" w:cs="Arial" w:eastAsia="Arial" w:hAnsi="Arial"/>
                <w:sz w:val="14"/>
                <w:szCs w:val="14"/>
                <w:color w:val="auto"/>
              </w:rPr>
              <w:t>Purchase % of closed orders</w:t>
            </w:r>
          </w:p>
        </w:tc>
        <w:tc>
          <w:tcPr>
            <w:tcW w:w="16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71 %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42 %</w:t>
            </w:r>
          </w:p>
        </w:tc>
      </w:tr>
      <w:tr>
        <w:trPr>
          <w:trHeight w:val="192"/>
        </w:trPr>
        <w:tc>
          <w:tcPr>
            <w:tcW w:w="20" w:type="dxa"/>
            <w:vAlign w:val="bottom"/>
            <w:shd w:val="clear" w:color="auto" w:fill="CCEEFF"/>
          </w:tcPr>
          <w:p>
            <w:pPr>
              <w:spacing w:after="0"/>
              <w:rPr>
                <w:sz w:val="16"/>
                <w:szCs w:val="16"/>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Refinance % of closed orders</w:t>
            </w: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29 %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58 %</w:t>
            </w:r>
          </w:p>
        </w:tc>
      </w:tr>
      <w:tr>
        <w:trPr>
          <w:trHeight w:val="54"/>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gridSpan w:val="3"/>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169"/>
        </w:trPr>
        <w:tc>
          <w:tcPr>
            <w:tcW w:w="20" w:type="dxa"/>
            <w:vAlign w:val="bottom"/>
            <w:shd w:val="clear" w:color="auto" w:fill="CCEEFF"/>
          </w:tcPr>
          <w:p>
            <w:pPr>
              <w:spacing w:after="0"/>
              <w:rPr>
                <w:sz w:val="14"/>
                <w:szCs w:val="14"/>
                <w:color w:val="auto"/>
              </w:rPr>
            </w:pPr>
          </w:p>
        </w:tc>
        <w:tc>
          <w:tcPr>
            <w:tcW w:w="366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Commercial (millions, except orders in '000's)</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58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Total commercial revenue</w:t>
            </w: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436</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tcPr>
          <w:p>
            <w:pPr>
              <w:jc w:val="right"/>
              <w:ind w:right="108"/>
              <w:spacing w:after="0"/>
              <w:rPr>
                <w:sz w:val="20"/>
                <w:szCs w:val="20"/>
                <w:color w:val="auto"/>
              </w:rPr>
            </w:pPr>
            <w:r>
              <w:rPr>
                <w:rFonts w:ascii="Arial" w:cs="Arial" w:eastAsia="Arial" w:hAnsi="Arial"/>
                <w:sz w:val="14"/>
                <w:szCs w:val="14"/>
                <w:color w:val="auto"/>
              </w:rPr>
              <w:t>374</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tcPr>
          <w:p>
            <w:pPr>
              <w:jc w:val="right"/>
              <w:ind w:right="108"/>
              <w:spacing w:after="0"/>
              <w:rPr>
                <w:sz w:val="20"/>
                <w:szCs w:val="20"/>
                <w:color w:val="auto"/>
              </w:rPr>
            </w:pPr>
            <w:r>
              <w:rPr>
                <w:rFonts w:ascii="Arial" w:cs="Arial" w:eastAsia="Arial" w:hAnsi="Arial"/>
                <w:sz w:val="14"/>
                <w:szCs w:val="14"/>
                <w:color w:val="auto"/>
              </w:rPr>
              <w:t>546</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tcPr>
          <w:p>
            <w:pPr>
              <w:jc w:val="right"/>
              <w:ind w:right="128"/>
              <w:spacing w:after="0"/>
              <w:rPr>
                <w:sz w:val="20"/>
                <w:szCs w:val="20"/>
                <w:color w:val="auto"/>
              </w:rPr>
            </w:pPr>
            <w:r>
              <w:rPr>
                <w:rFonts w:ascii="Arial" w:cs="Arial" w:eastAsia="Arial" w:hAnsi="Arial"/>
                <w:sz w:val="14"/>
                <w:szCs w:val="14"/>
                <w:color w:val="auto"/>
              </w:rPr>
              <w:t>366</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tcPr>
          <w:p>
            <w:pPr>
              <w:jc w:val="right"/>
              <w:ind w:right="108"/>
              <w:spacing w:after="0"/>
              <w:rPr>
                <w:sz w:val="20"/>
                <w:szCs w:val="20"/>
                <w:color w:val="auto"/>
              </w:rPr>
            </w:pPr>
            <w:r>
              <w:rPr>
                <w:rFonts w:ascii="Arial" w:cs="Arial" w:eastAsia="Arial" w:hAnsi="Arial"/>
                <w:sz w:val="14"/>
                <w:szCs w:val="14"/>
                <w:color w:val="auto"/>
              </w:rPr>
              <w:t>347</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tcPr>
          <w:p>
            <w:pPr>
              <w:jc w:val="right"/>
              <w:ind w:right="108"/>
              <w:spacing w:after="0"/>
              <w:rPr>
                <w:sz w:val="20"/>
                <w:szCs w:val="20"/>
                <w:color w:val="auto"/>
              </w:rPr>
            </w:pPr>
            <w:r>
              <w:rPr>
                <w:rFonts w:ascii="Arial" w:cs="Arial" w:eastAsia="Arial" w:hAnsi="Arial"/>
                <w:sz w:val="14"/>
                <w:szCs w:val="14"/>
                <w:color w:val="auto"/>
              </w:rPr>
              <w:t>257</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tcPr>
          <w:p>
            <w:pPr>
              <w:jc w:val="right"/>
              <w:ind w:right="128"/>
              <w:spacing w:after="0"/>
              <w:rPr>
                <w:sz w:val="20"/>
                <w:szCs w:val="20"/>
                <w:color w:val="auto"/>
              </w:rPr>
            </w:pPr>
            <w:r>
              <w:rPr>
                <w:rFonts w:ascii="Arial" w:cs="Arial" w:eastAsia="Arial" w:hAnsi="Arial"/>
                <w:sz w:val="14"/>
                <w:szCs w:val="14"/>
                <w:color w:val="auto"/>
              </w:rPr>
              <w:t>322</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108"/>
              <w:spacing w:after="0"/>
              <w:rPr>
                <w:sz w:val="20"/>
                <w:szCs w:val="20"/>
                <w:color w:val="auto"/>
              </w:rPr>
            </w:pPr>
            <w:r>
              <w:rPr>
                <w:rFonts w:ascii="Arial" w:cs="Arial" w:eastAsia="Arial" w:hAnsi="Arial"/>
                <w:sz w:val="14"/>
                <w:szCs w:val="14"/>
                <w:color w:val="auto"/>
              </w:rPr>
              <w:t>216</w:t>
            </w:r>
          </w:p>
        </w:tc>
      </w:tr>
      <w:tr>
        <w:trPr>
          <w:trHeight w:val="192"/>
        </w:trPr>
        <w:tc>
          <w:tcPr>
            <w:tcW w:w="20" w:type="dxa"/>
            <w:vAlign w:val="bottom"/>
            <w:shd w:val="clear" w:color="auto" w:fill="CCEEFF"/>
          </w:tcPr>
          <w:p>
            <w:pPr>
              <w:spacing w:after="0"/>
              <w:rPr>
                <w:sz w:val="16"/>
                <w:szCs w:val="16"/>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 commercial opened orders</w:t>
            </w: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58.1</w:t>
            </w:r>
          </w:p>
        </w:tc>
      </w:tr>
      <w:tr>
        <w:trPr>
          <w:trHeight w:val="223"/>
        </w:trPr>
        <w:tc>
          <w:tcPr>
            <w:tcW w:w="20" w:type="dxa"/>
            <w:vAlign w:val="bottom"/>
            <w:tcBorders>
              <w:bottom w:val="single" w:sz="8" w:color="CCEEFF"/>
            </w:tcBorders>
          </w:tcPr>
          <w:p>
            <w:pPr>
              <w:spacing w:after="0"/>
              <w:rPr>
                <w:sz w:val="19"/>
                <w:szCs w:val="19"/>
                <w:color w:val="auto"/>
              </w:rPr>
            </w:pPr>
          </w:p>
        </w:tc>
        <w:tc>
          <w:tcPr>
            <w:tcW w:w="258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Total commercial closed orders</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gridSpan w:val="3"/>
          </w:tcPr>
          <w:p>
            <w:pPr>
              <w:jc w:val="right"/>
              <w:ind w:right="200"/>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37.4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46.1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128"/>
              <w:spacing w:after="0"/>
              <w:rPr>
                <w:sz w:val="20"/>
                <w:szCs w:val="20"/>
                <w:color w:val="auto"/>
              </w:rPr>
            </w:pPr>
            <w:r>
              <w:rPr>
                <w:rFonts w:ascii="Arial" w:cs="Arial" w:eastAsia="Arial" w:hAnsi="Arial"/>
                <w:sz w:val="14"/>
                <w:szCs w:val="14"/>
                <w:color w:val="auto"/>
              </w:rPr>
              <w:t>40.1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42.3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128"/>
              <w:spacing w:after="0"/>
              <w:rPr>
                <w:sz w:val="20"/>
                <w:szCs w:val="20"/>
                <w:color w:val="auto"/>
              </w:rPr>
            </w:pPr>
            <w:r>
              <w:rPr>
                <w:rFonts w:ascii="Arial" w:cs="Arial" w:eastAsia="Arial" w:hAnsi="Arial"/>
                <w:sz w:val="14"/>
                <w:szCs w:val="14"/>
                <w:color w:val="auto"/>
              </w:rPr>
              <w:t>39.5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30.6</w:t>
            </w:r>
          </w:p>
        </w:tc>
      </w:tr>
      <w:tr>
        <w:trPr>
          <w:trHeight w:val="186"/>
        </w:trPr>
        <w:tc>
          <w:tcPr>
            <w:tcW w:w="20" w:type="dxa"/>
            <w:vAlign w:val="bottom"/>
          </w:tcPr>
          <w:p>
            <w:pPr>
              <w:spacing w:after="0"/>
              <w:rPr>
                <w:sz w:val="16"/>
                <w:szCs w:val="16"/>
                <w:color w:val="auto"/>
              </w:rPr>
            </w:pPr>
          </w:p>
        </w:tc>
        <w:tc>
          <w:tcPr>
            <w:tcW w:w="2580" w:type="dxa"/>
            <w:vAlign w:val="bottom"/>
            <w:gridSpan w:val="4"/>
          </w:tcPr>
          <w:p>
            <w:pPr>
              <w:spacing w:after="0"/>
              <w:rPr>
                <w:sz w:val="20"/>
                <w:szCs w:val="20"/>
                <w:color w:val="auto"/>
              </w:rPr>
            </w:pPr>
            <w:r>
              <w:rPr>
                <w:rFonts w:ascii="Arial" w:cs="Arial" w:eastAsia="Arial" w:hAnsi="Arial"/>
                <w:sz w:val="14"/>
                <w:szCs w:val="14"/>
                <w:color w:val="auto"/>
              </w:rPr>
              <w:t>National commercial revenue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113</w:t>
            </w:r>
          </w:p>
        </w:tc>
      </w:tr>
      <w:tr>
        <w:trPr>
          <w:trHeight w:val="192"/>
        </w:trPr>
        <w:tc>
          <w:tcPr>
            <w:tcW w:w="20" w:type="dxa"/>
            <w:vAlign w:val="bottom"/>
            <w:shd w:val="clear" w:color="auto" w:fill="CCEEFF"/>
          </w:tcPr>
          <w:p>
            <w:pPr>
              <w:spacing w:after="0"/>
              <w:rPr>
                <w:sz w:val="16"/>
                <w:szCs w:val="16"/>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National commercial opened orders</w:t>
            </w: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21.7</w:t>
            </w:r>
          </w:p>
        </w:tc>
      </w:tr>
      <w:tr>
        <w:trPr>
          <w:trHeight w:val="223"/>
        </w:trPr>
        <w:tc>
          <w:tcPr>
            <w:tcW w:w="20" w:type="dxa"/>
            <w:vAlign w:val="bottom"/>
            <w:tcBorders>
              <w:bottom w:val="single" w:sz="8" w:color="CCEEFF"/>
            </w:tcBorders>
          </w:tcPr>
          <w:p>
            <w:pPr>
              <w:spacing w:after="0"/>
              <w:rPr>
                <w:sz w:val="19"/>
                <w:szCs w:val="19"/>
                <w:color w:val="auto"/>
              </w:rPr>
            </w:pPr>
          </w:p>
        </w:tc>
        <w:tc>
          <w:tcPr>
            <w:tcW w:w="258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National commercial closed orders</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gridSpan w:val="3"/>
          </w:tcPr>
          <w:p>
            <w:pPr>
              <w:jc w:val="right"/>
              <w:ind w:right="200"/>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128"/>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128"/>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9.8</w:t>
            </w:r>
          </w:p>
        </w:tc>
      </w:tr>
      <w:tr>
        <w:trPr>
          <w:trHeight w:val="148"/>
        </w:trPr>
        <w:tc>
          <w:tcPr>
            <w:tcW w:w="20" w:type="dxa"/>
            <w:vAlign w:val="bottom"/>
          </w:tcPr>
          <w:p>
            <w:pPr>
              <w:spacing w:after="0"/>
              <w:rPr>
                <w:sz w:val="12"/>
                <w:szCs w:val="12"/>
                <w:color w:val="auto"/>
              </w:rPr>
            </w:pPr>
          </w:p>
        </w:tc>
        <w:tc>
          <w:tcPr>
            <w:tcW w:w="25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Total Fee Per File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Fee per file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3,557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2,891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2,581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2,444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2,063</w:t>
            </w:r>
          </w:p>
        </w:tc>
      </w:tr>
      <w:tr>
        <w:trPr>
          <w:trHeight w:val="186"/>
        </w:trPr>
        <w:tc>
          <w:tcPr>
            <w:tcW w:w="20" w:type="dxa"/>
            <w:vAlign w:val="bottom"/>
          </w:tcPr>
          <w:p>
            <w:pPr>
              <w:spacing w:after="0"/>
              <w:rPr>
                <w:sz w:val="16"/>
                <w:szCs w:val="16"/>
                <w:color w:val="auto"/>
              </w:rPr>
            </w:pPr>
          </w:p>
        </w:tc>
        <w:tc>
          <w:tcPr>
            <w:tcW w:w="2580" w:type="dxa"/>
            <w:vAlign w:val="bottom"/>
            <w:gridSpan w:val="4"/>
          </w:tcPr>
          <w:p>
            <w:pPr>
              <w:spacing w:after="0"/>
              <w:rPr>
                <w:sz w:val="20"/>
                <w:szCs w:val="20"/>
                <w:color w:val="auto"/>
              </w:rPr>
            </w:pPr>
            <w:r>
              <w:rPr>
                <w:rFonts w:ascii="Arial" w:cs="Arial" w:eastAsia="Arial" w:hAnsi="Arial"/>
                <w:sz w:val="14"/>
                <w:szCs w:val="14"/>
                <w:color w:val="auto"/>
              </w:rPr>
              <w:t>Residential fee per file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2,695</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2,188</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2,158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2,097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2,030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1,644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1,661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1,803</w:t>
            </w:r>
          </w:p>
        </w:tc>
      </w:tr>
      <w:tr>
        <w:trPr>
          <w:trHeight w:val="192"/>
        </w:trPr>
        <w:tc>
          <w:tcPr>
            <w:tcW w:w="20" w:type="dxa"/>
            <w:vAlign w:val="bottom"/>
            <w:shd w:val="clear" w:color="auto" w:fill="CCEEFF"/>
          </w:tcPr>
          <w:p>
            <w:pPr>
              <w:spacing w:after="0"/>
              <w:rPr>
                <w:sz w:val="16"/>
                <w:szCs w:val="16"/>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 commercial fee per file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11,000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11,800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9,100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7,100</w:t>
            </w:r>
          </w:p>
        </w:tc>
      </w:tr>
      <w:tr>
        <w:trPr>
          <w:trHeight w:val="223"/>
        </w:trPr>
        <w:tc>
          <w:tcPr>
            <w:tcW w:w="20" w:type="dxa"/>
            <w:vAlign w:val="bottom"/>
            <w:tcBorders>
              <w:bottom w:val="single" w:sz="8" w:color="CCEEFF"/>
            </w:tcBorders>
          </w:tcPr>
          <w:p>
            <w:pPr>
              <w:spacing w:after="0"/>
              <w:rPr>
                <w:sz w:val="19"/>
                <w:szCs w:val="19"/>
                <w:color w:val="auto"/>
              </w:rPr>
            </w:pPr>
          </w:p>
        </w:tc>
        <w:tc>
          <w:tcPr>
            <w:tcW w:w="258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National commercial fee per file</w:t>
            </w:r>
          </w:p>
        </w:tc>
        <w:tc>
          <w:tcPr>
            <w:tcW w:w="16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gridSpan w:val="3"/>
          </w:tcPr>
          <w:p>
            <w:pPr>
              <w:jc w:val="right"/>
              <w:ind w:right="200"/>
              <w:spacing w:after="0"/>
              <w:rPr>
                <w:sz w:val="20"/>
                <w:szCs w:val="20"/>
                <w:color w:val="auto"/>
              </w:rPr>
            </w:pPr>
            <w:r>
              <w:rPr>
                <w:rFonts w:ascii="Arial" w:cs="Arial" w:eastAsia="Arial" w:hAnsi="Arial"/>
                <w:sz w:val="14"/>
                <w:szCs w:val="14"/>
                <w:color w:val="auto"/>
              </w:rPr>
              <w:t>14,400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13,400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17,300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tcPr>
          <w:p>
            <w:pPr>
              <w:jc w:val="right"/>
              <w:ind w:right="128"/>
              <w:spacing w:after="0"/>
              <w:rPr>
                <w:sz w:val="20"/>
                <w:szCs w:val="20"/>
                <w:color w:val="auto"/>
              </w:rPr>
            </w:pPr>
            <w:r>
              <w:rPr>
                <w:rFonts w:ascii="Arial" w:cs="Arial" w:eastAsia="Arial" w:hAnsi="Arial"/>
                <w:sz w:val="14"/>
                <w:szCs w:val="14"/>
                <w:color w:val="auto"/>
              </w:rPr>
              <w:t>12,400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11,800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11,300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tcPr>
          <w:p>
            <w:pPr>
              <w:jc w:val="right"/>
              <w:ind w:right="128"/>
              <w:spacing w:after="0"/>
              <w:rPr>
                <w:sz w:val="20"/>
                <w:szCs w:val="20"/>
                <w:color w:val="auto"/>
              </w:rPr>
            </w:pPr>
            <w:r>
              <w:rPr>
                <w:rFonts w:ascii="Arial" w:cs="Arial" w:eastAsia="Arial" w:hAnsi="Arial"/>
                <w:sz w:val="14"/>
                <w:szCs w:val="14"/>
                <w:color w:val="auto"/>
              </w:rPr>
              <w:t>13,200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11,500</w:t>
            </w:r>
          </w:p>
        </w:tc>
      </w:tr>
      <w:tr>
        <w:trPr>
          <w:trHeight w:val="149"/>
        </w:trPr>
        <w:tc>
          <w:tcPr>
            <w:tcW w:w="20" w:type="dxa"/>
            <w:vAlign w:val="bottom"/>
          </w:tcPr>
          <w:p>
            <w:pPr>
              <w:spacing w:after="0"/>
              <w:rPr>
                <w:sz w:val="12"/>
                <w:szCs w:val="12"/>
                <w:color w:val="auto"/>
              </w:rPr>
            </w:pPr>
          </w:p>
        </w:tc>
        <w:tc>
          <w:tcPr>
            <w:tcW w:w="25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Total Staffing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5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 field operations employees</w:t>
            </w:r>
          </w:p>
        </w:tc>
        <w:tc>
          <w:tcPr>
            <w:tcW w:w="1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12,700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13,400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13,600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13,700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13,500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13,200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12,800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12,300</w:t>
            </w:r>
          </w:p>
        </w:tc>
      </w:tr>
      <w:tr>
        <w:trPr>
          <w:trHeight w:val="54"/>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148"/>
        </w:trPr>
        <w:tc>
          <w:tcPr>
            <w:tcW w:w="20" w:type="dxa"/>
            <w:vAlign w:val="bottom"/>
            <w:shd w:val="clear" w:color="auto" w:fill="CCEEFF"/>
          </w:tcPr>
          <w:p>
            <w:pPr>
              <w:spacing w:after="0"/>
              <w:rPr>
                <w:sz w:val="12"/>
                <w:szCs w:val="12"/>
                <w:color w:val="auto"/>
              </w:rPr>
            </w:pPr>
          </w:p>
        </w:tc>
        <w:tc>
          <w:tcPr>
            <w:tcW w:w="25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Actual title claims paid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millions)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832"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u w:val="single" w:color="auto"/>
          <w:color w:val="auto"/>
        </w:rPr>
        <w:t>Title (continued)</w:t>
      </w:r>
    </w:p>
    <w:p>
      <w:pPr>
        <w:spacing w:after="0" w:line="247"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FIDELITY NATIONAL FINANCIAL, INC.</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MONTHLY TITLE ORDER STATISTICS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Month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 Orders Opened *</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 (% 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 Orders Closed *</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 Purchase)</w:t>
      </w:r>
    </w:p>
    <w:p>
      <w:pPr>
        <w:spacing w:after="0" w:line="25" w:lineRule="exact"/>
        <w:rPr>
          <w:sz w:val="20"/>
          <w:szCs w:val="20"/>
          <w:color w:val="auto"/>
        </w:rPr>
      </w:pPr>
    </w:p>
    <w:p>
      <w:pPr>
        <w:sectPr>
          <w:pgSz w:w="11900" w:h="16838" w:orient="portrait"/>
          <w:cols w:equalWidth="0" w:num="3">
            <w:col w:w="4500" w:space="720"/>
            <w:col w:w="3400" w:space="720"/>
            <w:col w:w="1900"/>
          </w:cols>
          <w:pgMar w:left="320" w:top="855"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April 2022</w:t>
            </w:r>
          </w:p>
        </w:tc>
        <w:tc>
          <w:tcPr>
            <w:tcW w:w="1560" w:type="dxa"/>
            <w:vAlign w:val="bottom"/>
          </w:tcPr>
          <w:p>
            <w:pPr>
              <w:spacing w:after="0"/>
              <w:rPr>
                <w:sz w:val="20"/>
                <w:szCs w:val="20"/>
                <w:color w:val="auto"/>
              </w:rPr>
            </w:pPr>
          </w:p>
        </w:tc>
        <w:tc>
          <w:tcPr>
            <w:tcW w:w="400" w:type="dxa"/>
            <w:vAlign w:val="bottom"/>
            <w:tcBorders>
              <w:top w:val="single" w:sz="8" w:color="auto"/>
            </w:tcBorders>
            <w:gridSpan w:val="2"/>
          </w:tcPr>
          <w:p>
            <w:pPr>
              <w:spacing w:after="0"/>
              <w:rPr>
                <w:sz w:val="20"/>
                <w:szCs w:val="20"/>
                <w:color w:val="auto"/>
              </w:rPr>
            </w:pPr>
          </w:p>
        </w:tc>
        <w:tc>
          <w:tcPr>
            <w:tcW w:w="142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color w:val="auto"/>
              </w:rPr>
              <w:t>154,000</w:t>
            </w:r>
          </w:p>
        </w:tc>
        <w:tc>
          <w:tcPr>
            <w:tcW w:w="6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88"/>
              </w:rPr>
              <w:t>73%</w:t>
            </w:r>
          </w:p>
        </w:tc>
        <w:tc>
          <w:tcPr>
            <w:tcW w:w="1580" w:type="dxa"/>
            <w:vAlign w:val="bottom"/>
          </w:tcPr>
          <w:p>
            <w:pPr>
              <w:spacing w:after="0"/>
              <w:rPr>
                <w:sz w:val="20"/>
                <w:szCs w:val="20"/>
                <w:color w:val="auto"/>
              </w:rPr>
            </w:pPr>
          </w:p>
        </w:tc>
        <w:tc>
          <w:tcPr>
            <w:tcW w:w="1880" w:type="dxa"/>
            <w:vAlign w:val="bottom"/>
            <w:tcBorders>
              <w:top w:val="single" w:sz="8" w:color="auto"/>
            </w:tcBorders>
            <w:gridSpan w:val="2"/>
          </w:tcPr>
          <w:p>
            <w:pPr>
              <w:jc w:val="right"/>
              <w:ind w:right="582"/>
              <w:spacing w:after="0"/>
              <w:rPr>
                <w:sz w:val="20"/>
                <w:szCs w:val="20"/>
                <w:color w:val="auto"/>
              </w:rPr>
            </w:pPr>
            <w:r>
              <w:rPr>
                <w:rFonts w:ascii="Arial" w:cs="Arial" w:eastAsia="Arial" w:hAnsi="Arial"/>
                <w:sz w:val="18"/>
                <w:szCs w:val="18"/>
                <w:color w:val="auto"/>
              </w:rPr>
              <w:t>123,000</w:t>
            </w:r>
          </w:p>
        </w:tc>
        <w:tc>
          <w:tcPr>
            <w:tcW w:w="6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4"/>
              </w:rPr>
              <w:t>66%</w:t>
            </w:r>
          </w:p>
        </w:tc>
      </w:tr>
      <w:tr>
        <w:trPr>
          <w:trHeight w:val="229"/>
        </w:trPr>
        <w:tc>
          <w:tcPr>
            <w:tcW w:w="5060" w:type="dxa"/>
            <w:vAlign w:val="bottom"/>
            <w:gridSpan w:val="4"/>
          </w:tcPr>
          <w:p>
            <w:pPr>
              <w:ind w:left="20"/>
              <w:spacing w:after="0"/>
              <w:rPr>
                <w:sz w:val="20"/>
                <w:szCs w:val="20"/>
                <w:color w:val="auto"/>
              </w:rPr>
            </w:pPr>
            <w:r>
              <w:rPr>
                <w:rFonts w:ascii="Arial" w:cs="Arial" w:eastAsia="Arial" w:hAnsi="Arial"/>
                <w:sz w:val="18"/>
                <w:szCs w:val="18"/>
                <w:color w:val="auto"/>
              </w:rPr>
              <w:t>May 2022</w:t>
            </w:r>
          </w:p>
        </w:tc>
        <w:tc>
          <w:tcPr>
            <w:tcW w:w="1420" w:type="dxa"/>
            <w:vAlign w:val="bottom"/>
          </w:tcPr>
          <w:p>
            <w:pPr>
              <w:jc w:val="right"/>
              <w:ind w:right="534"/>
              <w:spacing w:after="0"/>
              <w:rPr>
                <w:sz w:val="20"/>
                <w:szCs w:val="20"/>
                <w:color w:val="auto"/>
              </w:rPr>
            </w:pPr>
            <w:r>
              <w:rPr>
                <w:rFonts w:ascii="Arial" w:cs="Arial" w:eastAsia="Arial" w:hAnsi="Arial"/>
                <w:sz w:val="18"/>
                <w:szCs w:val="18"/>
                <w:color w:val="auto"/>
              </w:rPr>
              <w:t>148,000</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88"/>
              </w:rPr>
              <w:t>75%</w:t>
            </w:r>
          </w:p>
        </w:tc>
        <w:tc>
          <w:tcPr>
            <w:tcW w:w="1580" w:type="dxa"/>
            <w:vAlign w:val="bottom"/>
          </w:tcPr>
          <w:p>
            <w:pPr>
              <w:spacing w:after="0"/>
              <w:rPr>
                <w:sz w:val="19"/>
                <w:szCs w:val="19"/>
                <w:color w:val="auto"/>
              </w:rPr>
            </w:pPr>
          </w:p>
        </w:tc>
        <w:tc>
          <w:tcPr>
            <w:tcW w:w="1880" w:type="dxa"/>
            <w:vAlign w:val="bottom"/>
            <w:gridSpan w:val="2"/>
          </w:tcPr>
          <w:p>
            <w:pPr>
              <w:jc w:val="right"/>
              <w:ind w:right="582"/>
              <w:spacing w:after="0"/>
              <w:rPr>
                <w:sz w:val="20"/>
                <w:szCs w:val="20"/>
                <w:color w:val="auto"/>
              </w:rPr>
            </w:pPr>
            <w:r>
              <w:rPr>
                <w:rFonts w:ascii="Arial" w:cs="Arial" w:eastAsia="Arial" w:hAnsi="Arial"/>
                <w:sz w:val="18"/>
                <w:szCs w:val="18"/>
                <w:color w:val="auto"/>
              </w:rPr>
              <w:t>114,000</w:t>
            </w:r>
          </w:p>
        </w:tc>
        <w:tc>
          <w:tcPr>
            <w:tcW w:w="640" w:type="dxa"/>
            <w:vAlign w:val="bottom"/>
          </w:tcPr>
          <w:p>
            <w:pPr>
              <w:jc w:val="center"/>
              <w:ind w:right="50"/>
              <w:spacing w:after="0"/>
              <w:rPr>
                <w:sz w:val="20"/>
                <w:szCs w:val="20"/>
                <w:color w:val="auto"/>
              </w:rPr>
            </w:pPr>
            <w:r>
              <w:rPr>
                <w:rFonts w:ascii="Arial" w:cs="Arial" w:eastAsia="Arial" w:hAnsi="Arial"/>
                <w:sz w:val="18"/>
                <w:szCs w:val="18"/>
                <w:color w:val="auto"/>
                <w:w w:val="94"/>
              </w:rPr>
              <w:t>72%</w:t>
            </w: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June 2022</w:t>
            </w:r>
          </w:p>
        </w:tc>
        <w:tc>
          <w:tcPr>
            <w:tcW w:w="400" w:type="dxa"/>
            <w:vAlign w:val="bottom"/>
            <w:tcBorders>
              <w:bottom w:val="single" w:sz="8" w:color="auto"/>
            </w:tcBorders>
            <w:gridSpan w:val="2"/>
          </w:tcPr>
          <w:p>
            <w:pPr>
              <w:spacing w:after="0"/>
              <w:rPr>
                <w:sz w:val="20"/>
                <w:szCs w:val="20"/>
                <w:color w:val="auto"/>
              </w:rPr>
            </w:pP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rPr>
              <w:t>141,000</w:t>
            </w:r>
          </w:p>
        </w:tc>
        <w:tc>
          <w:tcPr>
            <w:tcW w:w="6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76%</w:t>
            </w:r>
          </w:p>
        </w:tc>
        <w:tc>
          <w:tcPr>
            <w:tcW w:w="1580" w:type="dxa"/>
            <w:vAlign w:val="bottom"/>
          </w:tcPr>
          <w:p>
            <w:pPr>
              <w:spacing w:after="0"/>
              <w:rPr>
                <w:sz w:val="20"/>
                <w:szCs w:val="20"/>
                <w:color w:val="auto"/>
              </w:rPr>
            </w:pPr>
          </w:p>
        </w:tc>
        <w:tc>
          <w:tcPr>
            <w:tcW w:w="188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8"/>
                <w:szCs w:val="18"/>
                <w:color w:val="auto"/>
              </w:rPr>
              <w:t>111,000</w:t>
            </w: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75%</w:t>
            </w:r>
          </w:p>
        </w:tc>
      </w:tr>
      <w:tr>
        <w:trPr>
          <w:trHeight w:val="290"/>
        </w:trPr>
        <w:tc>
          <w:tcPr>
            <w:tcW w:w="5060" w:type="dxa"/>
            <w:vAlign w:val="bottom"/>
            <w:gridSpan w:val="4"/>
          </w:tcPr>
          <w:p>
            <w:pPr>
              <w:ind w:left="20"/>
              <w:spacing w:after="0"/>
              <w:rPr>
                <w:sz w:val="20"/>
                <w:szCs w:val="20"/>
                <w:color w:val="auto"/>
              </w:rPr>
            </w:pPr>
            <w:r>
              <w:rPr>
                <w:rFonts w:ascii="Arial" w:cs="Arial" w:eastAsia="Arial" w:hAnsi="Arial"/>
                <w:sz w:val="18"/>
                <w:szCs w:val="18"/>
                <w:b w:val="1"/>
                <w:bCs w:val="1"/>
                <w:color w:val="auto"/>
              </w:rPr>
              <w:t>Second Quarter 2022</w:t>
            </w:r>
          </w:p>
        </w:tc>
        <w:tc>
          <w:tcPr>
            <w:tcW w:w="1420" w:type="dxa"/>
            <w:vAlign w:val="bottom"/>
          </w:tcPr>
          <w:p>
            <w:pPr>
              <w:jc w:val="right"/>
              <w:ind w:right="534"/>
              <w:spacing w:after="0"/>
              <w:rPr>
                <w:sz w:val="20"/>
                <w:szCs w:val="20"/>
                <w:color w:val="auto"/>
              </w:rPr>
            </w:pPr>
            <w:r>
              <w:rPr>
                <w:rFonts w:ascii="Arial" w:cs="Arial" w:eastAsia="Arial" w:hAnsi="Arial"/>
                <w:sz w:val="18"/>
                <w:szCs w:val="18"/>
                <w:b w:val="1"/>
                <w:bCs w:val="1"/>
                <w:color w:val="auto"/>
              </w:rPr>
              <w:t>443,000</w:t>
            </w:r>
          </w:p>
        </w:tc>
        <w:tc>
          <w:tcPr>
            <w:tcW w:w="6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75%</w:t>
            </w:r>
          </w:p>
        </w:tc>
        <w:tc>
          <w:tcPr>
            <w:tcW w:w="1580" w:type="dxa"/>
            <w:vAlign w:val="bottom"/>
          </w:tcPr>
          <w:p>
            <w:pPr>
              <w:spacing w:after="0"/>
              <w:rPr>
                <w:sz w:val="24"/>
                <w:szCs w:val="24"/>
                <w:color w:val="auto"/>
              </w:rPr>
            </w:pPr>
          </w:p>
        </w:tc>
        <w:tc>
          <w:tcPr>
            <w:tcW w:w="1880" w:type="dxa"/>
            <w:vAlign w:val="bottom"/>
            <w:gridSpan w:val="2"/>
          </w:tcPr>
          <w:p>
            <w:pPr>
              <w:jc w:val="right"/>
              <w:ind w:right="582"/>
              <w:spacing w:after="0"/>
              <w:rPr>
                <w:sz w:val="20"/>
                <w:szCs w:val="20"/>
                <w:color w:val="auto"/>
              </w:rPr>
            </w:pPr>
            <w:r>
              <w:rPr>
                <w:rFonts w:ascii="Arial" w:cs="Arial" w:eastAsia="Arial" w:hAnsi="Arial"/>
                <w:sz w:val="18"/>
                <w:szCs w:val="18"/>
                <w:b w:val="1"/>
                <w:bCs w:val="1"/>
                <w:color w:val="auto"/>
              </w:rPr>
              <w:t>348,000</w:t>
            </w:r>
          </w:p>
        </w:tc>
        <w:tc>
          <w:tcPr>
            <w:tcW w:w="6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71%</w:t>
            </w:r>
          </w:p>
        </w:tc>
      </w:tr>
      <w:tr>
        <w:trPr>
          <w:trHeight w:val="21"/>
        </w:trPr>
        <w:tc>
          <w:tcPr>
            <w:tcW w:w="3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gridSpan w:val="2"/>
          </w:tcPr>
          <w:p>
            <w:pPr>
              <w:spacing w:after="0" w:line="20" w:lineRule="exact"/>
              <w:rPr>
                <w:sz w:val="1"/>
                <w:szCs w:val="1"/>
                <w:color w:val="auto"/>
              </w:rPr>
            </w:pPr>
          </w:p>
        </w:tc>
      </w:tr>
      <w:tr>
        <w:trPr>
          <w:trHeight w:val="535"/>
        </w:trPr>
        <w:tc>
          <w:tcPr>
            <w:tcW w:w="3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60" w:type="dxa"/>
            <w:vAlign w:val="bottom"/>
            <w:gridSpan w:val="3"/>
          </w:tcPr>
          <w:p>
            <w:pPr>
              <w:ind w:left="160"/>
              <w:spacing w:after="0"/>
              <w:rPr>
                <w:sz w:val="20"/>
                <w:szCs w:val="20"/>
                <w:color w:val="auto"/>
              </w:rPr>
            </w:pPr>
            <w:r>
              <w:rPr>
                <w:rFonts w:ascii="Arial" w:cs="Arial" w:eastAsia="Arial" w:hAnsi="Arial"/>
                <w:sz w:val="14"/>
                <w:szCs w:val="14"/>
                <w:b w:val="1"/>
                <w:bCs w:val="1"/>
                <w:color w:val="auto"/>
              </w:rPr>
              <w:t>Direct Orders Opened *</w:t>
            </w:r>
          </w:p>
        </w:tc>
        <w:tc>
          <w:tcPr>
            <w:tcW w:w="140" w:type="dxa"/>
            <w:vAlign w:val="bottom"/>
          </w:tcPr>
          <w:p>
            <w:pPr>
              <w:spacing w:after="0"/>
              <w:rPr>
                <w:sz w:val="24"/>
                <w:szCs w:val="24"/>
                <w:color w:val="auto"/>
              </w:rPr>
            </w:pPr>
          </w:p>
        </w:tc>
        <w:tc>
          <w:tcPr>
            <w:tcW w:w="2380" w:type="dxa"/>
            <w:vAlign w:val="bottom"/>
            <w:gridSpan w:val="2"/>
          </w:tcPr>
          <w:p>
            <w:pPr>
              <w:ind w:left="480"/>
              <w:spacing w:after="0"/>
              <w:rPr>
                <w:sz w:val="20"/>
                <w:szCs w:val="20"/>
                <w:color w:val="auto"/>
              </w:rPr>
            </w:pPr>
            <w:r>
              <w:rPr>
                <w:rFonts w:ascii="Arial" w:cs="Arial" w:eastAsia="Arial" w:hAnsi="Arial"/>
                <w:sz w:val="14"/>
                <w:szCs w:val="14"/>
                <w:b w:val="1"/>
                <w:bCs w:val="1"/>
                <w:color w:val="auto"/>
              </w:rPr>
              <w:t>Direct Orders Closed *</w:t>
            </w:r>
          </w:p>
        </w:tc>
      </w:tr>
      <w:tr>
        <w:trPr>
          <w:trHeight w:val="195"/>
        </w:trPr>
        <w:tc>
          <w:tcPr>
            <w:tcW w:w="5060" w:type="dxa"/>
            <w:vAlign w:val="bottom"/>
            <w:gridSpan w:val="4"/>
          </w:tcPr>
          <w:p>
            <w:pPr>
              <w:ind w:left="1340"/>
              <w:spacing w:after="0"/>
              <w:rPr>
                <w:sz w:val="20"/>
                <w:szCs w:val="20"/>
                <w:color w:val="auto"/>
              </w:rPr>
            </w:pPr>
            <w:r>
              <w:rPr>
                <w:rFonts w:ascii="Arial" w:cs="Arial" w:eastAsia="Arial" w:hAnsi="Arial"/>
                <w:sz w:val="14"/>
                <w:szCs w:val="14"/>
                <w:b w:val="1"/>
                <w:bCs w:val="1"/>
                <w:color w:val="auto"/>
              </w:rPr>
              <w:t>Month</w:t>
            </w:r>
          </w:p>
        </w:tc>
        <w:tc>
          <w:tcPr>
            <w:tcW w:w="1420" w:type="dxa"/>
            <w:vAlign w:val="bottom"/>
          </w:tcPr>
          <w:p>
            <w:pPr>
              <w:jc w:val="right"/>
              <w:ind w:right="14"/>
              <w:spacing w:after="0"/>
              <w:rPr>
                <w:sz w:val="20"/>
                <w:szCs w:val="20"/>
                <w:color w:val="auto"/>
              </w:rPr>
            </w:pPr>
            <w:r>
              <w:rPr>
                <w:rFonts w:ascii="Arial" w:cs="Arial" w:eastAsia="Arial" w:hAnsi="Arial"/>
                <w:sz w:val="14"/>
                <w:szCs w:val="14"/>
                <w:b w:val="1"/>
                <w:bCs w:val="1"/>
                <w:color w:val="auto"/>
              </w:rPr>
              <w:t>/ (% Purchase)</w:t>
            </w:r>
          </w:p>
        </w:tc>
        <w:tc>
          <w:tcPr>
            <w:tcW w:w="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jc w:val="right"/>
              <w:ind w:right="2"/>
              <w:spacing w:after="0"/>
              <w:rPr>
                <w:sz w:val="20"/>
                <w:szCs w:val="20"/>
                <w:color w:val="auto"/>
              </w:rPr>
            </w:pPr>
            <w:r>
              <w:rPr>
                <w:rFonts w:ascii="Arial" w:cs="Arial" w:eastAsia="Arial" w:hAnsi="Arial"/>
                <w:sz w:val="14"/>
                <w:szCs w:val="14"/>
                <w:b w:val="1"/>
                <w:bCs w:val="1"/>
                <w:color w:val="auto"/>
              </w:rPr>
              <w:t>/ (% Purchase)</w:t>
            </w:r>
          </w:p>
        </w:tc>
        <w:tc>
          <w:tcPr>
            <w:tcW w:w="640" w:type="dxa"/>
            <w:vAlign w:val="bottom"/>
          </w:tcPr>
          <w:p>
            <w:pPr>
              <w:spacing w:after="0"/>
              <w:rPr>
                <w:sz w:val="16"/>
                <w:szCs w:val="16"/>
                <w:color w:val="auto"/>
              </w:rPr>
            </w:pPr>
          </w:p>
        </w:tc>
      </w:tr>
      <w:tr>
        <w:trPr>
          <w:trHeight w:val="228"/>
        </w:trPr>
        <w:tc>
          <w:tcPr>
            <w:tcW w:w="3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April 2021</w:t>
            </w:r>
          </w:p>
        </w:tc>
        <w:tc>
          <w:tcPr>
            <w:tcW w:w="1560" w:type="dxa"/>
            <w:vAlign w:val="bottom"/>
          </w:tcPr>
          <w:p>
            <w:pPr>
              <w:spacing w:after="0"/>
              <w:rPr>
                <w:sz w:val="19"/>
                <w:szCs w:val="19"/>
                <w:color w:val="auto"/>
              </w:rPr>
            </w:pPr>
          </w:p>
        </w:tc>
        <w:tc>
          <w:tcPr>
            <w:tcW w:w="400" w:type="dxa"/>
            <w:vAlign w:val="bottom"/>
            <w:tcBorders>
              <w:top w:val="single" w:sz="8" w:color="auto"/>
            </w:tcBorders>
            <w:gridSpan w:val="2"/>
          </w:tcPr>
          <w:p>
            <w:pPr>
              <w:spacing w:after="0"/>
              <w:rPr>
                <w:sz w:val="19"/>
                <w:szCs w:val="19"/>
                <w:color w:val="auto"/>
              </w:rPr>
            </w:pPr>
          </w:p>
        </w:tc>
        <w:tc>
          <w:tcPr>
            <w:tcW w:w="142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color w:val="auto"/>
              </w:rPr>
              <w:t>236,000</w:t>
            </w:r>
          </w:p>
        </w:tc>
        <w:tc>
          <w:tcPr>
            <w:tcW w:w="6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88"/>
              </w:rPr>
              <w:t>52%</w:t>
            </w:r>
          </w:p>
        </w:tc>
        <w:tc>
          <w:tcPr>
            <w:tcW w:w="1580" w:type="dxa"/>
            <w:vAlign w:val="bottom"/>
          </w:tcPr>
          <w:p>
            <w:pPr>
              <w:spacing w:after="0"/>
              <w:rPr>
                <w:sz w:val="19"/>
                <w:szCs w:val="19"/>
                <w:color w:val="auto"/>
              </w:rPr>
            </w:pPr>
          </w:p>
        </w:tc>
        <w:tc>
          <w:tcPr>
            <w:tcW w:w="1880" w:type="dxa"/>
            <w:vAlign w:val="bottom"/>
            <w:tcBorders>
              <w:top w:val="single" w:sz="8" w:color="auto"/>
            </w:tcBorders>
            <w:gridSpan w:val="2"/>
          </w:tcPr>
          <w:p>
            <w:pPr>
              <w:jc w:val="right"/>
              <w:ind w:right="582"/>
              <w:spacing w:after="0"/>
              <w:rPr>
                <w:sz w:val="20"/>
                <w:szCs w:val="20"/>
                <w:color w:val="auto"/>
              </w:rPr>
            </w:pPr>
            <w:r>
              <w:rPr>
                <w:rFonts w:ascii="Arial" w:cs="Arial" w:eastAsia="Arial" w:hAnsi="Arial"/>
                <w:sz w:val="18"/>
                <w:szCs w:val="18"/>
                <w:color w:val="auto"/>
              </w:rPr>
              <w:t>200,000</w:t>
            </w:r>
          </w:p>
        </w:tc>
        <w:tc>
          <w:tcPr>
            <w:tcW w:w="6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4"/>
              </w:rPr>
              <w:t>43%</w:t>
            </w:r>
          </w:p>
        </w:tc>
      </w:tr>
      <w:tr>
        <w:trPr>
          <w:trHeight w:val="229"/>
        </w:trPr>
        <w:tc>
          <w:tcPr>
            <w:tcW w:w="5060" w:type="dxa"/>
            <w:vAlign w:val="bottom"/>
            <w:gridSpan w:val="4"/>
          </w:tcPr>
          <w:p>
            <w:pPr>
              <w:ind w:left="20"/>
              <w:spacing w:after="0"/>
              <w:rPr>
                <w:sz w:val="20"/>
                <w:szCs w:val="20"/>
                <w:color w:val="auto"/>
              </w:rPr>
            </w:pPr>
            <w:r>
              <w:rPr>
                <w:rFonts w:ascii="Arial" w:cs="Arial" w:eastAsia="Arial" w:hAnsi="Arial"/>
                <w:sz w:val="18"/>
                <w:szCs w:val="18"/>
                <w:color w:val="auto"/>
              </w:rPr>
              <w:t>May 2021</w:t>
            </w:r>
          </w:p>
        </w:tc>
        <w:tc>
          <w:tcPr>
            <w:tcW w:w="1420" w:type="dxa"/>
            <w:vAlign w:val="bottom"/>
          </w:tcPr>
          <w:p>
            <w:pPr>
              <w:jc w:val="right"/>
              <w:ind w:right="534"/>
              <w:spacing w:after="0"/>
              <w:rPr>
                <w:sz w:val="20"/>
                <w:szCs w:val="20"/>
                <w:color w:val="auto"/>
              </w:rPr>
            </w:pPr>
            <w:r>
              <w:rPr>
                <w:rFonts w:ascii="Arial" w:cs="Arial" w:eastAsia="Arial" w:hAnsi="Arial"/>
                <w:sz w:val="18"/>
                <w:szCs w:val="18"/>
                <w:color w:val="auto"/>
              </w:rPr>
              <w:t>223,000</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88"/>
              </w:rPr>
              <w:t>52%</w:t>
            </w:r>
          </w:p>
        </w:tc>
        <w:tc>
          <w:tcPr>
            <w:tcW w:w="1580" w:type="dxa"/>
            <w:vAlign w:val="bottom"/>
          </w:tcPr>
          <w:p>
            <w:pPr>
              <w:spacing w:after="0"/>
              <w:rPr>
                <w:sz w:val="19"/>
                <w:szCs w:val="19"/>
                <w:color w:val="auto"/>
              </w:rPr>
            </w:pPr>
          </w:p>
        </w:tc>
        <w:tc>
          <w:tcPr>
            <w:tcW w:w="1880" w:type="dxa"/>
            <w:vAlign w:val="bottom"/>
            <w:gridSpan w:val="2"/>
          </w:tcPr>
          <w:p>
            <w:pPr>
              <w:jc w:val="right"/>
              <w:ind w:right="582"/>
              <w:spacing w:after="0"/>
              <w:rPr>
                <w:sz w:val="20"/>
                <w:szCs w:val="20"/>
                <w:color w:val="auto"/>
              </w:rPr>
            </w:pPr>
            <w:r>
              <w:rPr>
                <w:rFonts w:ascii="Arial" w:cs="Arial" w:eastAsia="Arial" w:hAnsi="Arial"/>
                <w:sz w:val="18"/>
                <w:szCs w:val="18"/>
                <w:color w:val="auto"/>
              </w:rPr>
              <w:t>176,000</w:t>
            </w:r>
          </w:p>
        </w:tc>
        <w:tc>
          <w:tcPr>
            <w:tcW w:w="640" w:type="dxa"/>
            <w:vAlign w:val="bottom"/>
          </w:tcPr>
          <w:p>
            <w:pPr>
              <w:jc w:val="center"/>
              <w:ind w:right="50"/>
              <w:spacing w:after="0"/>
              <w:rPr>
                <w:sz w:val="20"/>
                <w:szCs w:val="20"/>
                <w:color w:val="auto"/>
              </w:rPr>
            </w:pPr>
            <w:r>
              <w:rPr>
                <w:rFonts w:ascii="Arial" w:cs="Arial" w:eastAsia="Arial" w:hAnsi="Arial"/>
                <w:sz w:val="18"/>
                <w:szCs w:val="18"/>
                <w:color w:val="auto"/>
                <w:w w:val="94"/>
              </w:rPr>
              <w:t>48%</w:t>
            </w: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June 2021</w:t>
            </w:r>
          </w:p>
        </w:tc>
        <w:tc>
          <w:tcPr>
            <w:tcW w:w="400" w:type="dxa"/>
            <w:vAlign w:val="bottom"/>
            <w:tcBorders>
              <w:bottom w:val="single" w:sz="8" w:color="auto"/>
            </w:tcBorders>
            <w:gridSpan w:val="2"/>
          </w:tcPr>
          <w:p>
            <w:pPr>
              <w:spacing w:after="0"/>
              <w:rPr>
                <w:sz w:val="20"/>
                <w:szCs w:val="20"/>
                <w:color w:val="auto"/>
              </w:rPr>
            </w:pP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rPr>
              <w:t>236,000</w:t>
            </w:r>
          </w:p>
        </w:tc>
        <w:tc>
          <w:tcPr>
            <w:tcW w:w="6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54%</w:t>
            </w:r>
          </w:p>
        </w:tc>
        <w:tc>
          <w:tcPr>
            <w:tcW w:w="1580" w:type="dxa"/>
            <w:vAlign w:val="bottom"/>
          </w:tcPr>
          <w:p>
            <w:pPr>
              <w:spacing w:after="0"/>
              <w:rPr>
                <w:sz w:val="20"/>
                <w:szCs w:val="20"/>
                <w:color w:val="auto"/>
              </w:rPr>
            </w:pPr>
          </w:p>
        </w:tc>
        <w:tc>
          <w:tcPr>
            <w:tcW w:w="188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8"/>
                <w:szCs w:val="18"/>
                <w:color w:val="auto"/>
              </w:rPr>
              <w:t>192,000</w:t>
            </w: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50%</w:t>
            </w:r>
          </w:p>
        </w:tc>
      </w:tr>
      <w:tr>
        <w:trPr>
          <w:trHeight w:val="291"/>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Second Quarter 2021</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b w:val="1"/>
                <w:bCs w:val="1"/>
                <w:color w:val="auto"/>
              </w:rPr>
              <w:t>695,000</w:t>
            </w:r>
          </w:p>
        </w:tc>
        <w:tc>
          <w:tcPr>
            <w:tcW w:w="6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53%</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Borders>
              <w:bottom w:val="single" w:sz="8" w:color="auto"/>
            </w:tcBorders>
          </w:tcPr>
          <w:p>
            <w:pPr>
              <w:jc w:val="right"/>
              <w:ind w:right="582"/>
              <w:spacing w:after="0"/>
              <w:rPr>
                <w:sz w:val="20"/>
                <w:szCs w:val="20"/>
                <w:color w:val="auto"/>
              </w:rPr>
            </w:pPr>
            <w:r>
              <w:rPr>
                <w:rFonts w:ascii="Arial" w:cs="Arial" w:eastAsia="Arial" w:hAnsi="Arial"/>
                <w:sz w:val="18"/>
                <w:szCs w:val="18"/>
                <w:b w:val="1"/>
                <w:bCs w:val="1"/>
                <w:color w:val="auto"/>
              </w:rPr>
              <w:t>568,000</w:t>
            </w:r>
          </w:p>
        </w:tc>
        <w:tc>
          <w:tcPr>
            <w:tcW w:w="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47%</w:t>
            </w:r>
          </w:p>
        </w:tc>
      </w:tr>
      <w:tr>
        <w:trPr>
          <w:trHeight w:val="21"/>
        </w:trPr>
        <w:tc>
          <w:tcPr>
            <w:tcW w:w="478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0"/>
        </w:trPr>
        <w:tc>
          <w:tcPr>
            <w:tcW w:w="5060" w:type="dxa"/>
            <w:vAlign w:val="bottom"/>
            <w:gridSpan w:val="4"/>
          </w:tcPr>
          <w:p>
            <w:pPr>
              <w:ind w:left="20"/>
              <w:spacing w:after="0"/>
              <w:rPr>
                <w:sz w:val="20"/>
                <w:szCs w:val="20"/>
                <w:color w:val="auto"/>
              </w:rPr>
            </w:pPr>
            <w:r>
              <w:rPr>
                <w:rFonts w:ascii="Arial" w:cs="Arial" w:eastAsia="Arial" w:hAnsi="Arial"/>
                <w:sz w:val="16"/>
                <w:szCs w:val="16"/>
                <w:color w:val="auto"/>
                <w:w w:val="94"/>
              </w:rPr>
              <w:t>* Includes an immaterial number of non-purchase and non-refinance orders</w:t>
            </w:r>
          </w:p>
        </w:tc>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F&amp;G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earnings attributable to common shareholders to adjusted net earnings attributable to common shareholders.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Borders>
              <w:right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180" w:type="dxa"/>
            <w:vAlign w:val="bottom"/>
          </w:tcPr>
          <w:p>
            <w:pPr>
              <w:spacing w:after="0"/>
              <w:rPr>
                <w:sz w:val="18"/>
                <w:szCs w:val="18"/>
                <w:color w:val="auto"/>
              </w:rPr>
            </w:pPr>
          </w:p>
        </w:tc>
        <w:tc>
          <w:tcPr>
            <w:tcW w:w="142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June 30, 2021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June 30, 2022</w:t>
            </w:r>
          </w:p>
        </w:tc>
        <w:tc>
          <w:tcPr>
            <w:tcW w:w="24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96"/>
              </w:rPr>
              <w:t>June 30, 2021</w:t>
            </w:r>
          </w:p>
        </w:tc>
      </w:tr>
      <w:tr>
        <w:trPr>
          <w:trHeight w:val="169"/>
        </w:trPr>
        <w:tc>
          <w:tcPr>
            <w:tcW w:w="502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22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 attributable to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371</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Less: Earnings (loss) from discontinued operations, net of tax</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58"/>
        </w:trPr>
        <w:tc>
          <w:tcPr>
            <w:tcW w:w="502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Net earnings (loss) from continuing operations attributable to common</w:t>
            </w:r>
          </w:p>
        </w:tc>
        <w:tc>
          <w:tcPr>
            <w:tcW w:w="18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6"/>
                <w:szCs w:val="16"/>
                <w:color w:val="auto"/>
              </w:rPr>
              <w:t>230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6"/>
                <w:szCs w:val="16"/>
                <w:color w:val="auto"/>
              </w:rPr>
              <w:t>76</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19"/>
              <w:spacing w:after="0" w:line="158" w:lineRule="exact"/>
              <w:rPr>
                <w:sz w:val="20"/>
                <w:szCs w:val="20"/>
                <w:color w:val="auto"/>
              </w:rPr>
            </w:pPr>
            <w:r>
              <w:rPr>
                <w:rFonts w:ascii="Arial" w:cs="Arial" w:eastAsia="Arial" w:hAnsi="Arial"/>
                <w:sz w:val="16"/>
                <w:szCs w:val="16"/>
                <w:color w:val="auto"/>
              </w:rPr>
              <w:t>466</w:t>
            </w:r>
          </w:p>
        </w:tc>
        <w:tc>
          <w:tcPr>
            <w:tcW w:w="24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6"/>
                <w:szCs w:val="16"/>
                <w:color w:val="auto"/>
              </w:rPr>
              <w:t>360</w:t>
            </w:r>
          </w:p>
        </w:tc>
      </w:tr>
      <w:tr>
        <w:trPr>
          <w:trHeight w:val="20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5020" w:type="dxa"/>
            <w:vAlign w:val="bottom"/>
          </w:tcPr>
          <w:p>
            <w:pPr>
              <w:ind w:left="20"/>
              <w:spacing w:after="0" w:line="216" w:lineRule="exact"/>
              <w:rPr>
                <w:sz w:val="20"/>
                <w:szCs w:val="20"/>
                <w:color w:val="auto"/>
              </w:rPr>
            </w:pPr>
            <w:r>
              <w:rPr>
                <w:rFonts w:ascii="Arial" w:cs="Arial" w:eastAsia="Arial" w:hAnsi="Arial"/>
                <w:sz w:val="16"/>
                <w:szCs w:val="16"/>
                <w:color w:val="auto"/>
              </w:rPr>
              <w:t>Non-GAAP adjustments</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Recognized (gains) and losses, net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13"/>
        </w:trPr>
        <w:tc>
          <w:tcPr>
            <w:tcW w:w="5020" w:type="dxa"/>
            <w:vAlign w:val="bottom"/>
          </w:tcPr>
          <w:p>
            <w:pPr>
              <w:ind w:left="100"/>
              <w:spacing w:after="0"/>
              <w:rPr>
                <w:sz w:val="20"/>
                <w:szCs w:val="20"/>
                <w:color w:val="auto"/>
              </w:rPr>
            </w:pPr>
            <w:r>
              <w:rPr>
                <w:rFonts w:ascii="Arial" w:cs="Arial" w:eastAsia="Arial" w:hAnsi="Arial"/>
                <w:sz w:val="16"/>
                <w:szCs w:val="16"/>
                <w:color w:val="auto"/>
              </w:rPr>
              <w:t>Indexed product related derivatives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(327)</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9"/>
        </w:trPr>
        <w:tc>
          <w:tcPr>
            <w:tcW w:w="5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 price amortization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5020" w:type="dxa"/>
            <w:vAlign w:val="bottom"/>
          </w:tcPr>
          <w:p>
            <w:pPr>
              <w:ind w:left="100"/>
              <w:spacing w:after="0"/>
              <w:rPr>
                <w:sz w:val="20"/>
                <w:szCs w:val="20"/>
                <w:color w:val="auto"/>
              </w:rPr>
            </w:pPr>
            <w:r>
              <w:rPr>
                <w:rFonts w:ascii="Arial" w:cs="Arial" w:eastAsia="Arial" w:hAnsi="Arial"/>
                <w:sz w:val="16"/>
                <w:szCs w:val="16"/>
                <w:color w:val="auto"/>
              </w:rPr>
              <w:t>Transaction costs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5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taxes on non-GAAP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0"/>
        </w:trPr>
        <w:tc>
          <w:tcPr>
            <w:tcW w:w="502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Adjusted net earnings attributable to common shareholders</w:t>
            </w:r>
            <w:r>
              <w:rPr>
                <w:rFonts w:ascii="Arial" w:cs="Arial" w:eastAsia="Arial" w:hAnsi="Arial"/>
                <w:sz w:val="21"/>
                <w:szCs w:val="21"/>
                <w:b w:val="1"/>
                <w:bCs w:val="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210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170</w:t>
            </w:r>
          </w:p>
        </w:tc>
      </w:tr>
    </w:tbl>
    <w:p>
      <w:pPr>
        <w:spacing w:after="0" w:line="3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Adjusted net earnings include $36 million and $20 million of net favorable items in the three and six months ended June 30, 2022, respectively, and $22 million and $34 million of net favorable items in the three and six months ended June 30, 2021, respectively.</w:t>
      </w:r>
    </w:p>
    <w:p>
      <w:pPr>
        <w:sectPr>
          <w:pgSz w:w="11900" w:h="16838" w:orient="portrait"/>
          <w:cols w:equalWidth="0" w:num="1">
            <w:col w:w="11240"/>
          </w:cols>
          <w:pgMar w:left="320" w:top="855" w:right="339" w:bottom="1440" w:gutter="0" w:footer="0" w:header="0"/>
          <w:type w:val="continuous"/>
        </w:sectPr>
      </w:pPr>
    </w:p>
    <w:bookmarkStart w:id="19" w:name="page20"/>
    <w:bookmarkEnd w:id="19"/>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financial highlights.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140" w:type="dxa"/>
            <w:vAlign w:val="bottom"/>
            <w:tcBorders>
              <w:right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42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46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Pr>
          <w:p>
            <w:pPr>
              <w:spacing w:after="0"/>
              <w:rPr>
                <w:sz w:val="18"/>
                <w:szCs w:val="18"/>
                <w:color w:val="auto"/>
              </w:rPr>
            </w:pPr>
          </w:p>
        </w:tc>
        <w:tc>
          <w:tcPr>
            <w:tcW w:w="1520" w:type="dxa"/>
            <w:vAlign w:val="bottom"/>
            <w:tcBorders>
              <w:right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June 30, 2021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19"/>
              <w:spacing w:after="0"/>
              <w:rPr>
                <w:sz w:val="20"/>
                <w:szCs w:val="20"/>
                <w:color w:val="auto"/>
              </w:rPr>
            </w:pPr>
            <w:r>
              <w:rPr>
                <w:rFonts w:ascii="Arial" w:cs="Arial" w:eastAsia="Arial" w:hAnsi="Arial"/>
                <w:sz w:val="16"/>
                <w:szCs w:val="16"/>
                <w:b w:val="1"/>
                <w:bCs w:val="1"/>
                <w:color w:val="auto"/>
                <w:w w:val="99"/>
              </w:rPr>
              <w:t>June 30, 2022</w:t>
            </w:r>
          </w:p>
        </w:tc>
        <w:tc>
          <w:tcPr>
            <w:tcW w:w="24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June 30, 2021</w:t>
            </w:r>
          </w:p>
        </w:tc>
      </w:tr>
      <w:tr>
        <w:trPr>
          <w:trHeight w:val="226"/>
        </w:trPr>
        <w:tc>
          <w:tcPr>
            <w:tcW w:w="4280" w:type="dxa"/>
            <w:vAlign w:val="bottom"/>
            <w:tcBorders>
              <w:top w:val="single" w:sz="8" w:color="auto"/>
            </w:tcBorders>
            <w:shd w:val="clear" w:color="auto" w:fill="CCEEFF"/>
          </w:tcPr>
          <w:p>
            <w:pPr>
              <w:ind w:left="20"/>
              <w:spacing w:after="0" w:line="226" w:lineRule="exact"/>
              <w:rPr>
                <w:sz w:val="20"/>
                <w:szCs w:val="20"/>
                <w:color w:val="auto"/>
              </w:rPr>
            </w:pPr>
            <w:r>
              <w:rPr>
                <w:rFonts w:ascii="Arial" w:cs="Arial" w:eastAsia="Arial" w:hAnsi="Arial"/>
                <w:sz w:val="16"/>
                <w:szCs w:val="16"/>
                <w:color w:val="auto"/>
              </w:rPr>
              <w:t>Average assets under management (AAUM)</w:t>
            </w:r>
            <w:r>
              <w:rPr>
                <w:rFonts w:ascii="Arial" w:cs="Arial" w:eastAsia="Arial" w:hAnsi="Arial"/>
                <w:sz w:val="21"/>
                <w:szCs w:val="21"/>
                <w:color w:val="auto"/>
                <w:vertAlign w:val="superscript"/>
              </w:rPr>
              <w:t>(1)</w:t>
            </w:r>
          </w:p>
        </w:tc>
        <w:tc>
          <w:tcPr>
            <w:tcW w:w="4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39,306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30,423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38,351</w:t>
            </w:r>
          </w:p>
        </w:tc>
        <w:tc>
          <w:tcPr>
            <w:tcW w:w="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29,722</w:t>
            </w:r>
          </w:p>
        </w:tc>
      </w:tr>
      <w:tr>
        <w:trPr>
          <w:trHeight w:val="229"/>
        </w:trPr>
        <w:tc>
          <w:tcPr>
            <w:tcW w:w="4280" w:type="dxa"/>
            <w:vAlign w:val="bottom"/>
          </w:tcPr>
          <w:p>
            <w:pPr>
              <w:ind w:left="20"/>
              <w:spacing w:after="0" w:line="230" w:lineRule="exact"/>
              <w:rPr>
                <w:sz w:val="20"/>
                <w:szCs w:val="20"/>
                <w:color w:val="auto"/>
              </w:rPr>
            </w:pPr>
            <w:r>
              <w:rPr>
                <w:rFonts w:ascii="Arial" w:cs="Arial" w:eastAsia="Arial" w:hAnsi="Arial"/>
                <w:sz w:val="16"/>
                <w:szCs w:val="16"/>
                <w:color w:val="auto"/>
              </w:rPr>
              <w:t>Net investment spread - All products</w:t>
            </w:r>
            <w:r>
              <w:rPr>
                <w:rFonts w:ascii="Arial" w:cs="Arial" w:eastAsia="Arial" w:hAnsi="Arial"/>
                <w:sz w:val="21"/>
                <w:szCs w:val="21"/>
                <w:color w:val="auto"/>
                <w:vertAlign w:val="superscript"/>
              </w:rPr>
              <w:t>(1)</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2.70 %</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2.65 %</w:t>
            </w:r>
          </w:p>
        </w:tc>
      </w:tr>
      <w:tr>
        <w:trPr>
          <w:trHeight w:val="179"/>
        </w:trPr>
        <w:tc>
          <w:tcPr>
            <w:tcW w:w="428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w w:val="98"/>
              </w:rPr>
              <w:t>Net earnings (loss) from continuing operations attributable to</w:t>
            </w:r>
          </w:p>
        </w:tc>
        <w:tc>
          <w:tcPr>
            <w:tcW w:w="4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shareholders</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466</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360</w:t>
            </w:r>
          </w:p>
        </w:tc>
      </w:tr>
      <w:tr>
        <w:trPr>
          <w:trHeight w:val="229"/>
        </w:trPr>
        <w:tc>
          <w:tcPr>
            <w:tcW w:w="4280" w:type="dxa"/>
            <w:vAlign w:val="bottom"/>
          </w:tcPr>
          <w:p>
            <w:pPr>
              <w:ind w:left="20"/>
              <w:spacing w:after="0" w:line="230" w:lineRule="exact"/>
              <w:rPr>
                <w:sz w:val="20"/>
                <w:szCs w:val="20"/>
                <w:color w:val="auto"/>
              </w:rPr>
            </w:pPr>
            <w:r>
              <w:rPr>
                <w:rFonts w:ascii="Arial" w:cs="Arial" w:eastAsia="Arial" w:hAnsi="Arial"/>
                <w:sz w:val="16"/>
                <w:szCs w:val="16"/>
                <w:color w:val="auto"/>
                <w:w w:val="97"/>
              </w:rPr>
              <w:t>Adjusted net earnings attributable to common shareholders</w:t>
            </w:r>
            <w:r>
              <w:rPr>
                <w:rFonts w:ascii="Arial" w:cs="Arial" w:eastAsia="Arial" w:hAnsi="Arial"/>
                <w:sz w:val="21"/>
                <w:szCs w:val="21"/>
                <w:color w:val="auto"/>
                <w:w w:val="97"/>
                <w:vertAlign w:val="superscript"/>
              </w:rPr>
              <w:t>(1)</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92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210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170</w:t>
            </w:r>
          </w:p>
        </w:tc>
      </w:tr>
      <w:tr>
        <w:trPr>
          <w:trHeight w:val="230"/>
        </w:trPr>
        <w:tc>
          <w:tcPr>
            <w:tcW w:w="428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Adjusted return on assets</w:t>
            </w:r>
            <w:r>
              <w:rPr>
                <w:rFonts w:ascii="Arial" w:cs="Arial" w:eastAsia="Arial" w:hAnsi="Arial"/>
                <w:sz w:val="21"/>
                <w:szCs w:val="21"/>
                <w:color w:val="auto"/>
                <w:vertAlign w:val="superscript"/>
              </w:rPr>
              <w:t>(1)(3)</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sales highlights.</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Borders>
              <w:right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4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2022</w:t>
            </w:r>
          </w:p>
        </w:tc>
        <w:tc>
          <w:tcPr>
            <w:tcW w:w="180" w:type="dxa"/>
            <w:vAlign w:val="bottom"/>
          </w:tcPr>
          <w:p>
            <w:pPr>
              <w:spacing w:after="0"/>
              <w:rPr>
                <w:sz w:val="18"/>
                <w:szCs w:val="18"/>
                <w:color w:val="auto"/>
              </w:rPr>
            </w:pPr>
          </w:p>
        </w:tc>
        <w:tc>
          <w:tcPr>
            <w:tcW w:w="13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June 30, 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June 30, 2022</w:t>
            </w:r>
          </w:p>
        </w:tc>
        <w:tc>
          <w:tcPr>
            <w:tcW w:w="260" w:type="dxa"/>
            <w:vAlign w:val="bottom"/>
          </w:tcPr>
          <w:p>
            <w:pPr>
              <w:spacing w:after="0"/>
              <w:rPr>
                <w:sz w:val="18"/>
                <w:szCs w:val="18"/>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June 30, 2021</w:t>
            </w:r>
          </w:p>
        </w:tc>
      </w:tr>
      <w:tr>
        <w:trPr>
          <w:trHeight w:val="213"/>
        </w:trPr>
        <w:tc>
          <w:tcPr>
            <w:tcW w:w="470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Total annuity sales</w:t>
            </w:r>
            <w:r>
              <w:rPr>
                <w:rFonts w:ascii="Arial" w:cs="Arial" w:eastAsia="Arial" w:hAnsi="Arial"/>
                <w:sz w:val="21"/>
                <w:szCs w:val="21"/>
                <w:color w:val="auto"/>
                <w:vertAlign w:val="superscript"/>
              </w:rPr>
              <w:t>(1)</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3,636</w:t>
            </w:r>
          </w:p>
        </w:tc>
        <w:tc>
          <w:tcPr>
            <w:tcW w:w="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3,161</w:t>
            </w:r>
          </w:p>
        </w:tc>
      </w:tr>
      <w:tr>
        <w:trPr>
          <w:trHeight w:val="216"/>
        </w:trPr>
        <w:tc>
          <w:tcPr>
            <w:tcW w:w="4700" w:type="dxa"/>
            <w:vAlign w:val="bottom"/>
          </w:tcPr>
          <w:p>
            <w:pPr>
              <w:ind w:left="20"/>
              <w:spacing w:after="0" w:line="216" w:lineRule="exact"/>
              <w:rPr>
                <w:sz w:val="20"/>
                <w:szCs w:val="20"/>
                <w:color w:val="auto"/>
              </w:rPr>
            </w:pPr>
            <w:r>
              <w:rPr>
                <w:rFonts w:ascii="Arial" w:cs="Arial" w:eastAsia="Arial" w:hAnsi="Arial"/>
                <w:sz w:val="16"/>
                <w:szCs w:val="16"/>
                <w:color w:val="auto"/>
              </w:rPr>
              <w:t>Indexed universal life sales</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4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Institutional sales</w:t>
            </w:r>
            <w:r>
              <w:rPr>
                <w:rFonts w:ascii="Arial" w:cs="Arial" w:eastAsia="Arial" w:hAnsi="Arial"/>
                <w:sz w:val="21"/>
                <w:szCs w:val="21"/>
                <w:color w:val="auto"/>
                <w:vertAlign w:val="superscript"/>
              </w:rPr>
              <w:t>(1)(4)</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1,970</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r>
      <w:tr>
        <w:trPr>
          <w:trHeight w:val="210"/>
        </w:trPr>
        <w:tc>
          <w:tcPr>
            <w:tcW w:w="4700" w:type="dxa"/>
            <w:vAlign w:val="bottom"/>
          </w:tcPr>
          <w:p>
            <w:pPr>
              <w:ind w:left="20"/>
              <w:spacing w:after="0" w:line="210" w:lineRule="exact"/>
              <w:rPr>
                <w:sz w:val="20"/>
                <w:szCs w:val="20"/>
                <w:color w:val="auto"/>
              </w:rPr>
            </w:pPr>
            <w:r>
              <w:rPr>
                <w:rFonts w:ascii="Arial" w:cs="Arial" w:eastAsia="Arial" w:hAnsi="Arial"/>
                <w:sz w:val="16"/>
                <w:szCs w:val="16"/>
                <w:color w:val="auto"/>
              </w:rPr>
              <w:t>Total gross sales</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3,073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2,667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5,662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4,321</w:t>
            </w: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Footnotes:</w:t>
      </w:r>
    </w:p>
    <w:p>
      <w:pPr>
        <w:ind w:left="660" w:hanging="328"/>
        <w:spacing w:after="0" w:line="20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Non-GAAP financial measure. See the Non-GAAP Measures section below for additional information.</w:t>
      </w:r>
    </w:p>
    <w:p>
      <w:pPr>
        <w:ind w:left="660" w:right="480" w:hanging="328"/>
        <w:spacing w:after="0" w:line="20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are net of offsets related to value of business acquired (VOBA), deferred acquisition cost (DAC), deferred sale inducement (DSI) amortization, and unearned revenue (UREV) amortization, as applicable.</w:t>
      </w:r>
    </w:p>
    <w:p>
      <w:pPr>
        <w:ind w:left="660" w:hanging="328"/>
        <w:spacing w:after="0" w:line="20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return on assets is calculated on a year to date ("YTD") basis.</w:t>
      </w: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Institutional sales include funding agreements (FABN/FHLB) and pension risk transfer.</w:t>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DEFINITIONS</w:t>
      </w:r>
    </w:p>
    <w:p>
      <w:pPr>
        <w:spacing w:after="0"/>
        <w:rPr>
          <w:sz w:val="20"/>
          <w:szCs w:val="20"/>
          <w:color w:val="auto"/>
        </w:rPr>
      </w:pPr>
      <w:r>
        <w:rPr>
          <w:rFonts w:ascii="Arial" w:cs="Arial" w:eastAsia="Arial" w:hAnsi="Arial"/>
          <w:sz w:val="18"/>
          <w:szCs w:val="18"/>
          <w:color w:val="auto"/>
        </w:rPr>
        <w:t>The following represents the definitions of non-GAAP measures used by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Earnings Attributable to Common Shareholders (Adjusted Net Earnings)</w:t>
      </w:r>
    </w:p>
    <w:p>
      <w:pPr>
        <w:spacing w:after="0" w:line="225"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Adjusted net earnings is a non-GAAP economic measure we use to evaluate financial performance each period. Adjusted net earnings is calculated by adjusting net earnings (loss) from continuing operations attributable to common shareholders to eliminate:</w:t>
      </w:r>
    </w:p>
    <w:p>
      <w:pPr>
        <w:spacing w:after="0" w:line="1" w:lineRule="exact"/>
        <w:rPr>
          <w:sz w:val="20"/>
          <w:szCs w:val="20"/>
          <w:color w:val="auto"/>
        </w:rPr>
      </w:pPr>
    </w:p>
    <w:p>
      <w:pPr>
        <w:jc w:val="both"/>
        <w:ind w:left="660" w:hanging="328"/>
        <w:spacing w:after="0" w:line="219" w:lineRule="auto"/>
        <w:tabs>
          <w:tab w:leader="none" w:pos="647"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Recognized (gains) and losses, net: the impact of net investment gains/losses, including changes in allowance for expected credit losses and other than temporary impairment ("OTTI") losses, recognized in operations; the impact of market volatility on the alternative asset portfolio that differ from management's expectation of returns over the life of these assets; and the effect of changes in fair value of the reinsurance related embedded derivative;</w:t>
      </w:r>
    </w:p>
    <w:p>
      <w:pPr>
        <w:ind w:left="660" w:hanging="328"/>
        <w:spacing w:after="0" w:line="219"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Indexed product related derivatives: the impacts related to changes in the fair value, including both realized and unrealized gains and losses, of index product related derivatives and embedded derivatives, net of hedging cost;</w:t>
      </w:r>
    </w:p>
    <w:p>
      <w:pPr>
        <w:ind w:left="660" w:hanging="328"/>
        <w:spacing w:after="0" w:line="219" w:lineRule="auto"/>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 price amortization: the impacts related to the amortization of certain intangibles (internally developed software, trademarks and value of distribution asset (VODA)) recognized as a result of acquisition activities;</w:t>
      </w:r>
    </w:p>
    <w:p>
      <w:pPr>
        <w:ind w:left="640" w:hanging="308"/>
        <w:spacing w:after="0" w:line="21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 costs: the impacts related to acquisition, integration and merger related items;</w:t>
      </w:r>
    </w:p>
    <w:p>
      <w:pPr>
        <w:ind w:left="660" w:hanging="328"/>
        <w:spacing w:after="0" w:line="232" w:lineRule="auto"/>
        <w:tabs>
          <w:tab w:leader="none" w:pos="648"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income tax adjustments: the impacts related to unusual tax items that do not reflect our core operating performance such as the establishment or reversal of significant deferred tax asset valuation allowances in our Title and Corporate and Other segments; and</w:t>
      </w:r>
    </w:p>
    <w:p>
      <w:pPr>
        <w:jc w:val="both"/>
        <w:ind w:left="660" w:hanging="328"/>
        <w:spacing w:after="0" w:line="266" w:lineRule="auto"/>
        <w:tabs>
          <w:tab w:leader="none" w:pos="656"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"non-recurring", "infrequent" or "unusual items": Management excludes certain items determined to be “non-recurring”, “infrequent” or “unusual” from adjusted net earnings when incurred if it is determined these expenses are not a reflection of the core business and when the nature of the item is such that it is not reasonably likely to recur within two years and/or there was not a similar item in the preceding two years.</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7"/>
          <w:szCs w:val="17"/>
          <w:color w:val="auto"/>
        </w:rPr>
        <w:t>Adjustments to adjusted net earnings are net of the corresponding impact on amortization of intangibles, as appropriate. The income tax impact related to these adjustments is measured using an effective tax rate, as appropriate by tax jurisdiction. While these adjustments are an integral part of the overall performance of F&amp;G, market conditions and/or the non-operating nature of these items can overshadow the underlying performance of the core business. Accordingly, management considers this to be a useful measure internally and to investors and analysts in analyzing the trends of our operations. Adjusted net earnings should not be used as a substitute for net earnings (loss). However, we believe the adjustments made to net earnings (loss) in order to derive adjusted net earnings provide an understanding of our overall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Spread</w:t>
      </w:r>
    </w:p>
    <w:p>
      <w:pPr>
        <w:spacing w:after="0" w:line="22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Net investment spread is the excess of net investment income, adjusted for market volatility on the alternative asset investment portfolio, earned over the sum of interest credited to policyholders and the cost of hedging our risk on indexed product policies. Management considers this non-GAAP financial measure to be useful internally and to investors and analysts when assessing the performance of the Company’s invested assets against the level of investment return provided to policyholders, inclusive of hedging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Under Management (AUM)</w:t>
      </w:r>
    </w:p>
    <w:p>
      <w:pPr>
        <w:spacing w:after="0"/>
        <w:rPr>
          <w:sz w:val="20"/>
          <w:szCs w:val="20"/>
          <w:color w:val="auto"/>
        </w:rPr>
      </w:pPr>
      <w:r>
        <w:rPr>
          <w:rFonts w:ascii="Arial" w:cs="Arial" w:eastAsia="Arial" w:hAnsi="Arial"/>
          <w:sz w:val="18"/>
          <w:szCs w:val="18"/>
          <w:color w:val="auto"/>
        </w:rPr>
        <w:t>AUM is calculated as the sum of:</w:t>
      </w:r>
    </w:p>
    <w:p>
      <w:pPr>
        <w:spacing w:after="0" w:line="207"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invested assets at amortized cost, excluding derivatives, net of reinsurance qualifying for risk transfer in accordance with GAAP;</w:t>
      </w:r>
    </w:p>
    <w:p>
      <w:pPr>
        <w:ind w:left="660" w:hanging="328"/>
        <w:spacing w:after="0" w:line="21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related party loans and investments;</w:t>
      </w:r>
    </w:p>
    <w:p>
      <w:pPr>
        <w:ind w:left="640" w:hanging="308"/>
        <w:spacing w:after="0" w:line="21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accrued investment income;</w:t>
      </w:r>
    </w:p>
    <w:p>
      <w:pPr>
        <w:ind w:left="640" w:hanging="308"/>
        <w:spacing w:after="0" w:line="21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net payable/receivable for the purchase/sale of investments, and</w:t>
      </w: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cash and cash equivalents excluding derivative collateral at the beginning of the period and the end of each month in the period, divided by the</w:t>
      </w:r>
    </w:p>
    <w:p>
      <w:pPr>
        <w:ind w:left="660"/>
        <w:spacing w:after="0" w:line="224" w:lineRule="auto"/>
        <w:rPr>
          <w:sz w:val="20"/>
          <w:szCs w:val="20"/>
          <w:color w:val="auto"/>
        </w:rPr>
      </w:pPr>
      <w:r>
        <w:rPr>
          <w:rFonts w:ascii="Arial" w:cs="Arial" w:eastAsia="Arial" w:hAnsi="Arial"/>
          <w:sz w:val="18"/>
          <w:szCs w:val="18"/>
          <w:color w:val="auto"/>
        </w:rPr>
        <w:t>total number of months in the period plus one.</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Management considers this non-GAAP financial measure to be useful internally and to investors and analysts when assessing the rate of return on assets available for reinvestment.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Assets Under Management (AAUM)</w:t>
      </w:r>
    </w:p>
    <w:p>
      <w:pPr>
        <w:sectPr>
          <w:pgSz w:w="11900" w:h="16838" w:orient="portrait"/>
          <w:cols w:equalWidth="0" w:num="1">
            <w:col w:w="11240"/>
          </w:cols>
          <w:pgMar w:left="320" w:top="825" w:right="339" w:bottom="1440" w:gutter="0" w:footer="0" w:header="0"/>
        </w:sectPr>
      </w:pPr>
    </w:p>
    <w:bookmarkStart w:id="21" w:name="page22"/>
    <w:bookmarkEnd w:id="21"/>
    <w:p>
      <w:pPr>
        <w:jc w:val="both"/>
        <w:spacing w:after="0" w:line="246" w:lineRule="auto"/>
        <w:rPr>
          <w:sz w:val="20"/>
          <w:szCs w:val="20"/>
          <w:color w:val="auto"/>
        </w:rPr>
      </w:pPr>
      <w:r>
        <w:rPr>
          <w:rFonts w:ascii="Arial" w:cs="Arial" w:eastAsia="Arial" w:hAnsi="Arial"/>
          <w:sz w:val="18"/>
          <w:szCs w:val="18"/>
          <w:color w:val="auto"/>
        </w:rPr>
        <w:t>AAUM is calculated as AUM at the beginning of the period and the end of each month in the period, divided by the total number of months in the period plus one.</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Management considers this non-GAAP financial measure to be useful internally and to investors and analysts when assessing the rate of return on assets available for reinvestment.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Return on Assets</w:t>
      </w:r>
    </w:p>
    <w:p>
      <w:pPr>
        <w:spacing w:after="0" w:line="22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Adjusted Return on Assets is calculated by dividing annualized adjusted net earnings by year-to-date AAUM. Management considers this non-GAAP financial measure to be useful internally and to investors and analysts when assessing financial performance and profitability earned on AAUM.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Annuity, IUL, funding agreement and non-life contingent PRT sales are not derived from any specific GAAP income statement accounts or line items and should not be viewed as a substitute for any financial measure determined in accordance with GAAP. Sales from these products are recorded as deposit liabilities (i.e. contractholder funds) within the Company's consolidated financial statements in accordance with GAAP. Life contingent PRT sales are recorded as premiums in revenues within the consolidated financial statements. Management believes that presentation of sales, as measured for management purposes, enhances the understanding of our business and helps depict longer term trends that may not be apparent in the results of operations due to the timing of sales and revenue recognition.</w:t>
      </w:r>
    </w:p>
    <w:p>
      <w:pPr>
        <w:sectPr>
          <w:pgSz w:w="11900" w:h="16838" w:orient="portrait"/>
          <w:cols w:equalWidth="0" w:num="1">
            <w:col w:w="11240"/>
          </w:cols>
          <w:pgMar w:left="320" w:top="8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3343275" cy="1499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F&amp;G Annuities &amp; Life, Inc. (“F&amp;G”) - An Operating Segment of Fidelity National Financial, Inc. (NYSE:FNF)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w:t>
      </w:r>
    </w:p>
    <w:p>
      <w:pPr>
        <w:spacing w:after="0" w:line="2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financial statements and financial exhibits included herein are unaudited. F&amp;G is an operating segment of FNF ("the Company") and these financial statements and exhibits should be read in conjunction with the Company's periodic reports on Form 10-K, Form 10-Q and Form 8-K. F&amp;G was acquired by FNF on June 1, 2020.</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All dollar amounts are presented in millions.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Generally Accepted Accounting Principles (GAAP) is the term used to refer to the standard framework of guidelines for financial accounting. GAAP includes the standards, conventions, and rules accountants follow in recording and summarizing transactions and in the preparation of financial statements. In addition to reporting financial results in accordance with GAAP, this document includes non-GAAP financial measures, which the Company believes are useful to help investors better understand its financial performance, competitive position and prospects for the future. Management believes these non-GAAP financial measures may be useful in certain instances to provide additional meaningful comparisons between current results and results in prior operating periods. Our non-GAAP measures may not be comparable to similarly titled measures of other organizations because other organizations may not calculate such non-GAAP measures in the same manner as we do. The presentation of this financial information is not intended to be considered in isolation of or as a substitute for, or superior to, the financial information prepared and presented in accordance with GAAP. By disclosing these non-GAAP financial measures, the Company believes it offers investors a greater understanding of, and an enhanced level of transparency into, the means by which the Company’s management operates the Company. Any non-GAAP measures should be considered in context with the GAAP financial presentation and should not be considered in isolation or as a substitute for GAAP net earnings, net earnings attributable to common shareholders, or any other measures derived in accordance with GAAP as measures of operating performance or liquidity. Reconciliations of these non-GAAP financial measures to the most directly comparable GAAP measures are provided within.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100" w:type="dxa"/>
            <w:vAlign w:val="bottom"/>
            <w:gridSpan w:val="4"/>
          </w:tcPr>
          <w:p>
            <w:pPr>
              <w:ind w:left="1800"/>
              <w:spacing w:after="0"/>
              <w:rPr>
                <w:sz w:val="20"/>
                <w:szCs w:val="20"/>
                <w:color w:val="auto"/>
              </w:rPr>
            </w:pPr>
            <w:r>
              <w:rPr>
                <w:rFonts w:ascii="Arial" w:cs="Arial" w:eastAsia="Arial" w:hAnsi="Arial"/>
                <w:sz w:val="16"/>
                <w:szCs w:val="16"/>
                <w:color w:val="auto"/>
                <w:w w:val="74"/>
              </w:rPr>
              <w:t>Page</w:t>
            </w:r>
          </w:p>
        </w:tc>
      </w:tr>
      <w:tr>
        <w:trPr>
          <w:trHeight w:val="181"/>
        </w:trPr>
        <w:tc>
          <w:tcPr>
            <w:tcW w:w="1540" w:type="dxa"/>
            <w:vAlign w:val="bottom"/>
            <w:tcBorders>
              <w:bottom w:val="single" w:sz="8" w:color="0000FF"/>
            </w:tcBorders>
            <w:gridSpan w:val="4"/>
          </w:tcPr>
          <w:p>
            <w:pPr>
              <w:spacing w:after="0" w:line="181" w:lineRule="exact"/>
              <w:rPr>
                <w:sz w:val="20"/>
                <w:szCs w:val="20"/>
                <w:color w:val="auto"/>
              </w:rPr>
            </w:pPr>
            <w:r>
              <w:rPr>
                <w:rFonts w:ascii="Arial" w:cs="Arial" w:eastAsia="Arial" w:hAnsi="Arial"/>
                <w:sz w:val="16"/>
                <w:szCs w:val="16"/>
                <w:color w:val="0000FF"/>
                <w:w w:val="94"/>
              </w:rPr>
              <w:t>A. Financial Highlights</w:t>
            </w:r>
          </w:p>
        </w:tc>
        <w:tc>
          <w:tcPr>
            <w:tcW w:w="6880" w:type="dxa"/>
            <w:vAlign w:val="bottom"/>
            <w:gridSpan w:val="14"/>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460" w:type="dxa"/>
            <w:vAlign w:val="bottom"/>
          </w:tcPr>
          <w:p>
            <w:pPr>
              <w:spacing w:after="0"/>
              <w:rPr>
                <w:sz w:val="17"/>
                <w:szCs w:val="17"/>
                <w:color w:val="auto"/>
              </w:rPr>
            </w:pPr>
          </w:p>
        </w:tc>
        <w:tc>
          <w:tcPr>
            <w:tcW w:w="2260" w:type="dxa"/>
            <w:vAlign w:val="bottom"/>
            <w:gridSpan w:val="7"/>
          </w:tcPr>
          <w:p>
            <w:pPr>
              <w:spacing w:after="0"/>
              <w:rPr>
                <w:sz w:val="20"/>
                <w:szCs w:val="20"/>
                <w:color w:val="auto"/>
              </w:rPr>
            </w:pPr>
            <w:r>
              <w:rPr>
                <w:rFonts w:ascii="Arial" w:cs="Arial" w:eastAsia="Arial" w:hAnsi="Arial"/>
                <w:sz w:val="16"/>
                <w:szCs w:val="16"/>
                <w:i w:val="1"/>
                <w:iCs w:val="1"/>
                <w:color w:val="0000FF"/>
                <w:w w:val="94"/>
              </w:rPr>
              <w:t>Consolidated Financial Highlights</w:t>
            </w:r>
          </w:p>
        </w:tc>
        <w:tc>
          <w:tcPr>
            <w:tcW w:w="5700" w:type="dxa"/>
            <w:vAlign w:val="bottom"/>
            <w:gridSpan w:val="10"/>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gridSpan w:val="2"/>
          </w:tcPr>
          <w:p>
            <w:pPr>
              <w:jc w:val="center"/>
              <w:ind w:right="20"/>
              <w:spacing w:after="0"/>
              <w:rPr>
                <w:rFonts w:ascii="Arial" w:cs="Arial" w:eastAsia="Arial" w:hAnsi="Arial"/>
                <w:sz w:val="16"/>
                <w:szCs w:val="16"/>
                <w:color w:val="0000FF"/>
              </w:rPr>
            </w:pPr>
            <w:hyperlink w:anchor="page25">
              <w:r>
                <w:rPr>
                  <w:rFonts w:ascii="Arial" w:cs="Arial" w:eastAsia="Arial" w:hAnsi="Arial"/>
                  <w:sz w:val="16"/>
                  <w:szCs w:val="16"/>
                  <w:color w:val="0000FF"/>
                </w:rPr>
                <w:t>3</w:t>
              </w:r>
            </w:hyperlink>
          </w:p>
        </w:tc>
        <w:tc>
          <w:tcPr>
            <w:tcW w:w="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600" w:type="dxa"/>
            <w:vAlign w:val="bottom"/>
            <w:gridSpan w:val="4"/>
          </w:tcPr>
          <w:p>
            <w:pPr>
              <w:spacing w:after="0"/>
              <w:rPr>
                <w:sz w:val="20"/>
                <w:szCs w:val="20"/>
                <w:color w:val="auto"/>
              </w:rPr>
            </w:pPr>
            <w:r>
              <w:rPr>
                <w:rFonts w:ascii="Arial" w:cs="Arial" w:eastAsia="Arial" w:hAnsi="Arial"/>
                <w:sz w:val="16"/>
                <w:szCs w:val="16"/>
                <w:i w:val="1"/>
                <w:iCs w:val="1"/>
                <w:color w:val="0000FF"/>
                <w:w w:val="88"/>
              </w:rPr>
              <w:t>Sales Results by Product</w:t>
            </w:r>
          </w:p>
        </w:tc>
        <w:tc>
          <w:tcPr>
            <w:tcW w:w="660" w:type="dxa"/>
            <w:vAlign w:val="bottom"/>
            <w:gridSpan w:val="3"/>
          </w:tcPr>
          <w:p>
            <w:pPr>
              <w:spacing w:after="0"/>
              <w:rPr>
                <w:sz w:val="17"/>
                <w:szCs w:val="17"/>
                <w:color w:val="auto"/>
              </w:rPr>
            </w:pPr>
          </w:p>
        </w:tc>
        <w:tc>
          <w:tcPr>
            <w:tcW w:w="5700" w:type="dxa"/>
            <w:vAlign w:val="bottom"/>
            <w:gridSpan w:val="10"/>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gridSpan w:val="2"/>
          </w:tcPr>
          <w:p>
            <w:pPr>
              <w:jc w:val="center"/>
              <w:ind w:right="20"/>
              <w:spacing w:after="0"/>
              <w:rPr>
                <w:rFonts w:ascii="Arial" w:cs="Arial" w:eastAsia="Arial" w:hAnsi="Arial"/>
                <w:sz w:val="16"/>
                <w:szCs w:val="16"/>
                <w:color w:val="0000FF"/>
              </w:rPr>
            </w:pPr>
            <w:hyperlink w:anchor="page25">
              <w:r>
                <w:rPr>
                  <w:rFonts w:ascii="Arial" w:cs="Arial" w:eastAsia="Arial" w:hAnsi="Arial"/>
                  <w:sz w:val="16"/>
                  <w:szCs w:val="16"/>
                  <w:color w:val="0000FF"/>
                </w:rPr>
                <w:t>3</w:t>
              </w:r>
            </w:hyperlink>
          </w:p>
        </w:tc>
        <w:tc>
          <w:tcPr>
            <w:tcW w:w="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960" w:type="dxa"/>
            <w:vAlign w:val="bottom"/>
            <w:gridSpan w:val="17"/>
          </w:tcPr>
          <w:p>
            <w:pPr>
              <w:spacing w:after="0"/>
              <w:rPr>
                <w:sz w:val="20"/>
                <w:szCs w:val="20"/>
                <w:color w:val="auto"/>
              </w:rPr>
            </w:pPr>
            <w:r>
              <w:rPr>
                <w:rFonts w:ascii="Arial" w:cs="Arial" w:eastAsia="Arial" w:hAnsi="Arial"/>
                <w:sz w:val="16"/>
                <w:szCs w:val="16"/>
                <w:i w:val="1"/>
                <w:iCs w:val="1"/>
                <w:color w:val="0000FF"/>
              </w:rPr>
              <w:t>Condensed Consolidated Balance Sheets</w:t>
            </w:r>
          </w:p>
        </w:tc>
        <w:tc>
          <w:tcPr>
            <w:tcW w:w="2020" w:type="dxa"/>
            <w:vAlign w:val="bottom"/>
            <w:gridSpan w:val="3"/>
          </w:tcPr>
          <w:p>
            <w:pPr>
              <w:jc w:val="center"/>
              <w:ind w:left="1799"/>
              <w:spacing w:after="0"/>
              <w:rPr>
                <w:rFonts w:ascii="Arial" w:cs="Arial" w:eastAsia="Arial" w:hAnsi="Arial"/>
                <w:sz w:val="16"/>
                <w:szCs w:val="16"/>
                <w:color w:val="0000FF"/>
              </w:rPr>
            </w:pPr>
            <w:hyperlink w:anchor="page25">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920" w:type="dxa"/>
            <w:vAlign w:val="bottom"/>
            <w:gridSpan w:val="15"/>
          </w:tcPr>
          <w:p>
            <w:pPr>
              <w:spacing w:after="0"/>
              <w:rPr>
                <w:sz w:val="20"/>
                <w:szCs w:val="20"/>
                <w:color w:val="auto"/>
              </w:rPr>
            </w:pPr>
            <w:r>
              <w:rPr>
                <w:rFonts w:ascii="Arial" w:cs="Arial" w:eastAsia="Arial" w:hAnsi="Arial"/>
                <w:sz w:val="16"/>
                <w:szCs w:val="16"/>
                <w:i w:val="1"/>
                <w:iCs w:val="1"/>
                <w:color w:val="0000FF"/>
                <w:w w:val="92"/>
              </w:rPr>
              <w:t>Reconciliation of Total Shareholders' Equity to Total Shareholders' Equity Excluding AOCI</w:t>
            </w:r>
          </w:p>
        </w:tc>
        <w:tc>
          <w:tcPr>
            <w:tcW w:w="2040" w:type="dxa"/>
            <w:vAlign w:val="bottom"/>
            <w:gridSpan w:val="2"/>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gridSpan w:val="2"/>
          </w:tcPr>
          <w:p>
            <w:pPr>
              <w:jc w:val="center"/>
              <w:ind w:right="20"/>
              <w:spacing w:after="0"/>
              <w:rPr>
                <w:rFonts w:ascii="Arial" w:cs="Arial" w:eastAsia="Arial" w:hAnsi="Arial"/>
                <w:sz w:val="16"/>
                <w:szCs w:val="16"/>
                <w:color w:val="0000FF"/>
              </w:rPr>
            </w:pPr>
            <w:hyperlink w:anchor="page27">
              <w:r>
                <w:rPr>
                  <w:rFonts w:ascii="Arial" w:cs="Arial" w:eastAsia="Arial" w:hAnsi="Arial"/>
                  <w:sz w:val="16"/>
                  <w:szCs w:val="16"/>
                  <w:color w:val="0000FF"/>
                </w:rPr>
                <w:t>5</w:t>
              </w:r>
            </w:hyperlink>
          </w:p>
        </w:tc>
        <w:tc>
          <w:tcPr>
            <w:tcW w:w="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160" w:type="dxa"/>
            <w:vAlign w:val="bottom"/>
            <w:gridSpan w:val="12"/>
          </w:tcPr>
          <w:p>
            <w:pPr>
              <w:spacing w:after="0"/>
              <w:rPr>
                <w:sz w:val="20"/>
                <w:szCs w:val="20"/>
                <w:color w:val="auto"/>
              </w:rPr>
            </w:pPr>
            <w:r>
              <w:rPr>
                <w:rFonts w:ascii="Arial" w:cs="Arial" w:eastAsia="Arial" w:hAnsi="Arial"/>
                <w:sz w:val="16"/>
                <w:szCs w:val="16"/>
                <w:i w:val="1"/>
                <w:iCs w:val="1"/>
                <w:color w:val="0000FF"/>
                <w:w w:val="89"/>
              </w:rPr>
              <w:t>Condensed Consolidated Statements of Earnings</w:t>
            </w:r>
          </w:p>
        </w:tc>
        <w:tc>
          <w:tcPr>
            <w:tcW w:w="2760" w:type="dxa"/>
            <w:vAlign w:val="bottom"/>
            <w:gridSpan w:val="3"/>
          </w:tcPr>
          <w:p>
            <w:pPr>
              <w:spacing w:after="0"/>
              <w:rPr>
                <w:sz w:val="17"/>
                <w:szCs w:val="17"/>
                <w:color w:val="auto"/>
              </w:rPr>
            </w:pPr>
          </w:p>
        </w:tc>
        <w:tc>
          <w:tcPr>
            <w:tcW w:w="2040" w:type="dxa"/>
            <w:vAlign w:val="bottom"/>
            <w:gridSpan w:val="2"/>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gridSpan w:val="2"/>
          </w:tcPr>
          <w:p>
            <w:pPr>
              <w:jc w:val="center"/>
              <w:ind w:right="20"/>
              <w:spacing w:after="0"/>
              <w:rPr>
                <w:rFonts w:ascii="Arial" w:cs="Arial" w:eastAsia="Arial" w:hAnsi="Arial"/>
                <w:sz w:val="16"/>
                <w:szCs w:val="16"/>
                <w:color w:val="0000FF"/>
              </w:rPr>
            </w:pPr>
            <w:hyperlink w:anchor="page27">
              <w:r>
                <w:rPr>
                  <w:rFonts w:ascii="Arial" w:cs="Arial" w:eastAsia="Arial" w:hAnsi="Arial"/>
                  <w:sz w:val="16"/>
                  <w:szCs w:val="16"/>
                  <w:color w:val="0000FF"/>
                </w:rPr>
                <w:t>6</w:t>
              </w:r>
            </w:hyperlink>
          </w:p>
        </w:tc>
        <w:tc>
          <w:tcPr>
            <w:tcW w:w="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60" w:type="dxa"/>
            <w:vAlign w:val="bottom"/>
            <w:gridSpan w:val="13"/>
          </w:tcPr>
          <w:p>
            <w:pPr>
              <w:spacing w:after="0"/>
              <w:rPr>
                <w:sz w:val="20"/>
                <w:szCs w:val="20"/>
                <w:color w:val="auto"/>
              </w:rPr>
            </w:pPr>
            <w:r>
              <w:rPr>
                <w:rFonts w:ascii="Arial" w:cs="Arial" w:eastAsia="Arial" w:hAnsi="Arial"/>
                <w:sz w:val="16"/>
                <w:szCs w:val="16"/>
                <w:i w:val="1"/>
                <w:iCs w:val="1"/>
                <w:color w:val="0000FF"/>
                <w:w w:val="92"/>
              </w:rPr>
              <w:t>Reconciliation from Net Earnings to Adjusted Net Earnings</w:t>
            </w:r>
          </w:p>
        </w:tc>
        <w:tc>
          <w:tcPr>
            <w:tcW w:w="4100" w:type="dxa"/>
            <w:vAlign w:val="bottom"/>
            <w:gridSpan w:val="4"/>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gridSpan w:val="2"/>
          </w:tcPr>
          <w:p>
            <w:pPr>
              <w:jc w:val="center"/>
              <w:ind w:right="20"/>
              <w:spacing w:after="0"/>
              <w:rPr>
                <w:rFonts w:ascii="Arial" w:cs="Arial" w:eastAsia="Arial" w:hAnsi="Arial"/>
                <w:sz w:val="16"/>
                <w:szCs w:val="16"/>
                <w:color w:val="0000FF"/>
              </w:rPr>
            </w:pPr>
            <w:hyperlink w:anchor="page29">
              <w:r>
                <w:rPr>
                  <w:rFonts w:ascii="Arial" w:cs="Arial" w:eastAsia="Arial" w:hAnsi="Arial"/>
                  <w:sz w:val="16"/>
                  <w:szCs w:val="16"/>
                  <w:color w:val="0000FF"/>
                </w:rPr>
                <w:t>7</w:t>
              </w:r>
            </w:hyperlink>
          </w:p>
        </w:tc>
        <w:tc>
          <w:tcPr>
            <w:tcW w:w="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Arial" w:cs="Arial" w:eastAsia="Arial" w:hAnsi="Arial"/>
                <w:sz w:val="16"/>
                <w:szCs w:val="16"/>
                <w:i w:val="1"/>
                <w:iCs w:val="1"/>
                <w:color w:val="0000FF"/>
                <w:w w:val="89"/>
              </w:rPr>
              <w:t>Notable Items</w:t>
            </w:r>
          </w:p>
        </w:tc>
        <w:tc>
          <w:tcPr>
            <w:tcW w:w="2960" w:type="dxa"/>
            <w:vAlign w:val="bottom"/>
            <w:gridSpan w:val="12"/>
          </w:tcPr>
          <w:p>
            <w:pPr>
              <w:spacing w:after="0"/>
              <w:rPr>
                <w:sz w:val="17"/>
                <w:szCs w:val="17"/>
                <w:color w:val="auto"/>
              </w:rPr>
            </w:pPr>
          </w:p>
        </w:tc>
        <w:tc>
          <w:tcPr>
            <w:tcW w:w="4100" w:type="dxa"/>
            <w:vAlign w:val="bottom"/>
            <w:gridSpan w:val="4"/>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gridSpan w:val="2"/>
          </w:tcPr>
          <w:p>
            <w:pPr>
              <w:jc w:val="center"/>
              <w:ind w:right="20"/>
              <w:spacing w:after="0"/>
              <w:rPr>
                <w:rFonts w:ascii="Arial" w:cs="Arial" w:eastAsia="Arial" w:hAnsi="Arial"/>
                <w:sz w:val="16"/>
                <w:szCs w:val="16"/>
                <w:color w:val="0000FF"/>
              </w:rPr>
            </w:pPr>
            <w:hyperlink w:anchor="page29">
              <w:r>
                <w:rPr>
                  <w:rFonts w:ascii="Arial" w:cs="Arial" w:eastAsia="Arial" w:hAnsi="Arial"/>
                  <w:sz w:val="16"/>
                  <w:szCs w:val="16"/>
                  <w:color w:val="0000FF"/>
                </w:rPr>
                <w:t>7</w:t>
              </w:r>
            </w:hyperlink>
          </w:p>
        </w:tc>
        <w:tc>
          <w:tcPr>
            <w:tcW w:w="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20" w:type="dxa"/>
            <w:vAlign w:val="bottom"/>
            <w:gridSpan w:val="6"/>
          </w:tcPr>
          <w:p>
            <w:pPr>
              <w:spacing w:after="0"/>
              <w:rPr>
                <w:sz w:val="20"/>
                <w:szCs w:val="20"/>
                <w:color w:val="auto"/>
              </w:rPr>
            </w:pPr>
            <w:r>
              <w:rPr>
                <w:rFonts w:ascii="Arial" w:cs="Arial" w:eastAsia="Arial" w:hAnsi="Arial"/>
                <w:sz w:val="16"/>
                <w:szCs w:val="16"/>
                <w:i w:val="1"/>
                <w:iCs w:val="1"/>
                <w:color w:val="0000FF"/>
                <w:w w:val="87"/>
              </w:rPr>
              <w:t>Adjusted Net Earnings Statement</w:t>
            </w:r>
          </w:p>
        </w:tc>
        <w:tc>
          <w:tcPr>
            <w:tcW w:w="5840" w:type="dxa"/>
            <w:vAlign w:val="bottom"/>
            <w:gridSpan w:val="11"/>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gridSpan w:val="2"/>
          </w:tcPr>
          <w:p>
            <w:pPr>
              <w:jc w:val="center"/>
              <w:ind w:right="20"/>
              <w:spacing w:after="0"/>
              <w:rPr>
                <w:rFonts w:ascii="Arial" w:cs="Arial" w:eastAsia="Arial" w:hAnsi="Arial"/>
                <w:sz w:val="16"/>
                <w:szCs w:val="16"/>
                <w:color w:val="0000FF"/>
              </w:rPr>
            </w:pPr>
            <w:hyperlink w:anchor="page30">
              <w:r>
                <w:rPr>
                  <w:rFonts w:ascii="Arial" w:cs="Arial" w:eastAsia="Arial" w:hAnsi="Arial"/>
                  <w:sz w:val="16"/>
                  <w:szCs w:val="16"/>
                  <w:color w:val="0000FF"/>
                </w:rPr>
                <w:t>8</w:t>
              </w:r>
            </w:hyperlink>
          </w:p>
        </w:tc>
        <w:tc>
          <w:tcPr>
            <w:tcW w:w="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20" w:type="dxa"/>
            <w:vAlign w:val="bottom"/>
            <w:gridSpan w:val="6"/>
          </w:tcPr>
          <w:p>
            <w:pPr>
              <w:spacing w:after="0"/>
              <w:rPr>
                <w:sz w:val="20"/>
                <w:szCs w:val="20"/>
                <w:color w:val="auto"/>
              </w:rPr>
            </w:pPr>
            <w:r>
              <w:rPr>
                <w:rFonts w:ascii="Arial" w:cs="Arial" w:eastAsia="Arial" w:hAnsi="Arial"/>
                <w:sz w:val="16"/>
                <w:szCs w:val="16"/>
                <w:i w:val="1"/>
                <w:iCs w:val="1"/>
                <w:color w:val="0000FF"/>
              </w:rPr>
              <w:t>Financial Strength Ratings</w:t>
            </w:r>
          </w:p>
        </w:tc>
        <w:tc>
          <w:tcPr>
            <w:tcW w:w="5840" w:type="dxa"/>
            <w:vAlign w:val="bottom"/>
            <w:gridSpan w:val="11"/>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gridSpan w:val="2"/>
          </w:tcPr>
          <w:p>
            <w:pPr>
              <w:jc w:val="center"/>
              <w:ind w:right="20"/>
              <w:spacing w:after="0"/>
              <w:rPr>
                <w:rFonts w:ascii="Arial" w:cs="Arial" w:eastAsia="Arial" w:hAnsi="Arial"/>
                <w:sz w:val="16"/>
                <w:szCs w:val="16"/>
                <w:color w:val="0000FF"/>
              </w:rPr>
            </w:pPr>
            <w:hyperlink w:anchor="page30">
              <w:r>
                <w:rPr>
                  <w:rFonts w:ascii="Arial" w:cs="Arial" w:eastAsia="Arial" w:hAnsi="Arial"/>
                  <w:sz w:val="16"/>
                  <w:szCs w:val="16"/>
                  <w:color w:val="0000FF"/>
                </w:rPr>
                <w:t>9</w:t>
              </w:r>
            </w:hyperlink>
          </w:p>
        </w:tc>
        <w:tc>
          <w:tcPr>
            <w:tcW w:w="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420" w:type="dxa"/>
            <w:vAlign w:val="bottom"/>
            <w:gridSpan w:val="18"/>
          </w:tcPr>
          <w:p>
            <w:pPr>
              <w:spacing w:after="0"/>
              <w:rPr>
                <w:sz w:val="20"/>
                <w:szCs w:val="20"/>
                <w:color w:val="auto"/>
              </w:rPr>
            </w:pPr>
            <w:r>
              <w:rPr>
                <w:rFonts w:ascii="Arial" w:cs="Arial" w:eastAsia="Arial" w:hAnsi="Arial"/>
                <w:sz w:val="16"/>
                <w:szCs w:val="16"/>
                <w:color w:val="0000FF"/>
              </w:rPr>
              <w:t>B. Product Summary</w:t>
            </w: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38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i w:val="1"/>
                <w:iCs w:val="1"/>
                <w:color w:val="0000FF"/>
                <w:w w:val="89"/>
              </w:rPr>
              <w:t>Total Product Net Investment Spread</w:t>
            </w:r>
          </w:p>
        </w:tc>
        <w:tc>
          <w:tcPr>
            <w:tcW w:w="5580" w:type="dxa"/>
            <w:vAlign w:val="bottom"/>
            <w:gridSpan w:val="9"/>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rFonts w:ascii="Arial" w:cs="Arial" w:eastAsia="Arial" w:hAnsi="Arial"/>
                <w:sz w:val="16"/>
                <w:szCs w:val="16"/>
                <w:color w:val="0000FF"/>
                <w:w w:val="78"/>
              </w:rPr>
            </w:pPr>
            <w:hyperlink w:anchor="page31">
              <w:r>
                <w:rPr>
                  <w:rFonts w:ascii="Arial" w:cs="Arial" w:eastAsia="Arial" w:hAnsi="Arial"/>
                  <w:sz w:val="16"/>
                  <w:szCs w:val="16"/>
                  <w:color w:val="0000FF"/>
                  <w:w w:val="78"/>
                </w:rPr>
                <w:t>10</w:t>
              </w:r>
            </w:hyperlink>
          </w:p>
        </w:tc>
        <w:tc>
          <w:tcPr>
            <w:tcW w:w="8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960" w:type="dxa"/>
            <w:vAlign w:val="bottom"/>
            <w:gridSpan w:val="17"/>
          </w:tcPr>
          <w:p>
            <w:pPr>
              <w:spacing w:after="0"/>
              <w:rPr>
                <w:sz w:val="20"/>
                <w:szCs w:val="20"/>
                <w:color w:val="auto"/>
              </w:rPr>
            </w:pPr>
            <w:r>
              <w:rPr>
                <w:rFonts w:ascii="Arial" w:cs="Arial" w:eastAsia="Arial" w:hAnsi="Arial"/>
                <w:sz w:val="16"/>
                <w:szCs w:val="16"/>
                <w:i w:val="1"/>
                <w:iCs w:val="1"/>
                <w:color w:val="0000FF"/>
              </w:rPr>
              <w:t>FIA Net Investment Spread</w:t>
            </w:r>
          </w:p>
        </w:tc>
        <w:tc>
          <w:tcPr>
            <w:tcW w:w="2020" w:type="dxa"/>
            <w:vAlign w:val="bottom"/>
            <w:gridSpan w:val="3"/>
          </w:tcPr>
          <w:p>
            <w:pPr>
              <w:jc w:val="center"/>
              <w:ind w:left="1799"/>
              <w:spacing w:after="0"/>
              <w:rPr>
                <w:rFonts w:ascii="Arial" w:cs="Arial" w:eastAsia="Arial" w:hAnsi="Arial"/>
                <w:sz w:val="16"/>
                <w:szCs w:val="16"/>
                <w:color w:val="0000FF"/>
                <w:w w:val="78"/>
              </w:rPr>
            </w:pPr>
            <w:hyperlink w:anchor="page33">
              <w:r>
                <w:rPr>
                  <w:rFonts w:ascii="Arial" w:cs="Arial" w:eastAsia="Arial" w:hAnsi="Arial"/>
                  <w:sz w:val="16"/>
                  <w:szCs w:val="16"/>
                  <w:color w:val="0000FF"/>
                  <w:w w:val="78"/>
                </w:rPr>
                <w:t>11</w:t>
              </w:r>
            </w:hyperlink>
          </w:p>
        </w:tc>
        <w:tc>
          <w:tcPr>
            <w:tcW w:w="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960" w:type="dxa"/>
            <w:vAlign w:val="bottom"/>
            <w:gridSpan w:val="17"/>
          </w:tcPr>
          <w:p>
            <w:pPr>
              <w:spacing w:after="0"/>
              <w:rPr>
                <w:sz w:val="20"/>
                <w:szCs w:val="20"/>
                <w:color w:val="auto"/>
              </w:rPr>
            </w:pPr>
            <w:r>
              <w:rPr>
                <w:rFonts w:ascii="Arial" w:cs="Arial" w:eastAsia="Arial" w:hAnsi="Arial"/>
                <w:sz w:val="16"/>
                <w:szCs w:val="16"/>
                <w:i w:val="1"/>
                <w:iCs w:val="1"/>
                <w:color w:val="0000FF"/>
              </w:rPr>
              <w:t>Assets Under Management Rollforward and Average Assets Under Management</w:t>
            </w:r>
          </w:p>
        </w:tc>
        <w:tc>
          <w:tcPr>
            <w:tcW w:w="2020" w:type="dxa"/>
            <w:vAlign w:val="bottom"/>
            <w:gridSpan w:val="3"/>
          </w:tcPr>
          <w:p>
            <w:pPr>
              <w:jc w:val="center"/>
              <w:ind w:left="1759"/>
              <w:spacing w:after="0"/>
              <w:rPr>
                <w:rFonts w:ascii="Arial" w:cs="Arial" w:eastAsia="Arial" w:hAnsi="Arial"/>
                <w:sz w:val="16"/>
                <w:szCs w:val="16"/>
                <w:color w:val="0000FF"/>
              </w:rPr>
            </w:pPr>
            <w:hyperlink w:anchor="page34">
              <w:r>
                <w:rPr>
                  <w:rFonts w:ascii="Arial" w:cs="Arial" w:eastAsia="Arial" w:hAnsi="Arial"/>
                  <w:sz w:val="16"/>
                  <w:szCs w:val="16"/>
                  <w:color w:val="0000FF"/>
                </w:rPr>
                <w:t>12</w:t>
              </w:r>
            </w:hyperlink>
          </w:p>
        </w:tc>
        <w:tc>
          <w:tcPr>
            <w:tcW w:w="8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200" w:type="dxa"/>
            <w:vAlign w:val="bottom"/>
            <w:tcBorders>
              <w:top w:val="single" w:sz="8" w:color="0000FF"/>
            </w:tcBorders>
            <w:gridSpan w:val="14"/>
          </w:tcPr>
          <w:p>
            <w:pPr>
              <w:spacing w:after="0"/>
              <w:rPr>
                <w:sz w:val="20"/>
                <w:szCs w:val="20"/>
                <w:color w:val="auto"/>
              </w:rPr>
            </w:pPr>
            <w:r>
              <w:rPr>
                <w:rFonts w:ascii="Arial" w:cs="Arial" w:eastAsia="Arial" w:hAnsi="Arial"/>
                <w:sz w:val="16"/>
                <w:szCs w:val="16"/>
                <w:i w:val="1"/>
                <w:iCs w:val="1"/>
                <w:color w:val="0000FF"/>
              </w:rPr>
              <w:t>Annuity Account Balance Rollforward</w:t>
            </w:r>
          </w:p>
        </w:tc>
        <w:tc>
          <w:tcPr>
            <w:tcW w:w="2760" w:type="dxa"/>
            <w:vAlign w:val="bottom"/>
            <w:gridSpan w:val="3"/>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Borders>
              <w:top w:val="single" w:sz="8" w:color="0000FF"/>
            </w:tcBorders>
            <w:gridSpan w:val="2"/>
          </w:tcPr>
          <w:p>
            <w:pPr>
              <w:jc w:val="center"/>
              <w:spacing w:after="0"/>
              <w:rPr>
                <w:rFonts w:ascii="Arial" w:cs="Arial" w:eastAsia="Arial" w:hAnsi="Arial"/>
                <w:sz w:val="16"/>
                <w:szCs w:val="16"/>
                <w:color w:val="0000FF"/>
                <w:w w:val="78"/>
              </w:rPr>
            </w:pPr>
            <w:hyperlink w:anchor="page34">
              <w:r>
                <w:rPr>
                  <w:rFonts w:ascii="Arial" w:cs="Arial" w:eastAsia="Arial" w:hAnsi="Arial"/>
                  <w:sz w:val="16"/>
                  <w:szCs w:val="16"/>
                  <w:color w:val="0000FF"/>
                  <w:w w:val="78"/>
                </w:rPr>
                <w:t>12</w:t>
              </w:r>
            </w:hyperlink>
          </w:p>
        </w:tc>
        <w:tc>
          <w:tcPr>
            <w:tcW w:w="8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460" w:type="dxa"/>
            <w:vAlign w:val="bottom"/>
            <w:tcBorders>
              <w:top w:val="single" w:sz="8" w:color="0000FF"/>
            </w:tcBorders>
            <w:gridSpan w:val="9"/>
          </w:tcPr>
          <w:p>
            <w:pPr>
              <w:spacing w:after="0"/>
              <w:rPr>
                <w:sz w:val="20"/>
                <w:szCs w:val="20"/>
                <w:color w:val="auto"/>
              </w:rPr>
            </w:pPr>
            <w:r>
              <w:rPr>
                <w:rFonts w:ascii="Arial" w:cs="Arial" w:eastAsia="Arial" w:hAnsi="Arial"/>
                <w:sz w:val="16"/>
                <w:szCs w:val="16"/>
                <w:i w:val="1"/>
                <w:iCs w:val="1"/>
                <w:color w:val="0000FF"/>
              </w:rPr>
              <w:t>Annuity Liability Characteristics</w:t>
            </w:r>
          </w:p>
        </w:tc>
        <w:tc>
          <w:tcPr>
            <w:tcW w:w="5500" w:type="dxa"/>
            <w:vAlign w:val="bottom"/>
            <w:gridSpan w:val="8"/>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Borders>
              <w:top w:val="single" w:sz="8" w:color="0000FF"/>
            </w:tcBorders>
            <w:gridSpan w:val="2"/>
          </w:tcPr>
          <w:p>
            <w:pPr>
              <w:jc w:val="center"/>
              <w:spacing w:after="0"/>
              <w:rPr>
                <w:rFonts w:ascii="Arial" w:cs="Arial" w:eastAsia="Arial" w:hAnsi="Arial"/>
                <w:sz w:val="16"/>
                <w:szCs w:val="16"/>
                <w:color w:val="0000FF"/>
                <w:w w:val="78"/>
              </w:rPr>
            </w:pPr>
            <w:hyperlink w:anchor="page34">
              <w:r>
                <w:rPr>
                  <w:rFonts w:ascii="Arial" w:cs="Arial" w:eastAsia="Arial" w:hAnsi="Arial"/>
                  <w:sz w:val="16"/>
                  <w:szCs w:val="16"/>
                  <w:color w:val="0000FF"/>
                  <w:w w:val="78"/>
                </w:rPr>
                <w:t>13</w:t>
              </w:r>
            </w:hyperlink>
          </w:p>
        </w:tc>
        <w:tc>
          <w:tcPr>
            <w:tcW w:w="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8420" w:type="dxa"/>
            <w:vAlign w:val="bottom"/>
            <w:gridSpan w:val="18"/>
          </w:tcPr>
          <w:p>
            <w:pPr>
              <w:spacing w:after="0"/>
              <w:rPr>
                <w:sz w:val="20"/>
                <w:szCs w:val="20"/>
                <w:color w:val="auto"/>
              </w:rPr>
            </w:pPr>
            <w:r>
              <w:rPr>
                <w:rFonts w:ascii="Arial" w:cs="Arial" w:eastAsia="Arial" w:hAnsi="Arial"/>
                <w:sz w:val="16"/>
                <w:szCs w:val="16"/>
                <w:color w:val="0000FF"/>
              </w:rPr>
              <w:t>C. Investment Summary</w:t>
            </w: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78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i w:val="1"/>
                <w:iCs w:val="1"/>
                <w:color w:val="0000FF"/>
                <w:w w:val="87"/>
              </w:rPr>
              <w:t>Summary of Invested Assets by Asset Class</w:t>
            </w:r>
          </w:p>
        </w:tc>
        <w:tc>
          <w:tcPr>
            <w:tcW w:w="5180" w:type="dxa"/>
            <w:vAlign w:val="bottom"/>
            <w:gridSpan w:val="6"/>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rFonts w:ascii="Arial" w:cs="Arial" w:eastAsia="Arial" w:hAnsi="Arial"/>
                <w:sz w:val="16"/>
                <w:szCs w:val="16"/>
                <w:color w:val="0000FF"/>
                <w:w w:val="78"/>
              </w:rPr>
            </w:pPr>
            <w:hyperlink w:anchor="page36">
              <w:r>
                <w:rPr>
                  <w:rFonts w:ascii="Arial" w:cs="Arial" w:eastAsia="Arial" w:hAnsi="Arial"/>
                  <w:sz w:val="16"/>
                  <w:szCs w:val="16"/>
                  <w:color w:val="0000FF"/>
                  <w:w w:val="78"/>
                </w:rPr>
                <w:t>14</w:t>
              </w:r>
            </w:hyperlink>
          </w:p>
        </w:tc>
        <w:tc>
          <w:tcPr>
            <w:tcW w:w="8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960" w:type="dxa"/>
            <w:vAlign w:val="bottom"/>
            <w:gridSpan w:val="17"/>
          </w:tcPr>
          <w:p>
            <w:pPr>
              <w:spacing w:after="0"/>
              <w:rPr>
                <w:sz w:val="20"/>
                <w:szCs w:val="20"/>
                <w:color w:val="auto"/>
              </w:rPr>
            </w:pPr>
            <w:r>
              <w:rPr>
                <w:rFonts w:ascii="Arial" w:cs="Arial" w:eastAsia="Arial" w:hAnsi="Arial"/>
                <w:sz w:val="16"/>
                <w:szCs w:val="16"/>
                <w:i w:val="1"/>
                <w:iCs w:val="1"/>
                <w:color w:val="0000FF"/>
              </w:rPr>
              <w:t>Credit Quality of Fixed Maturity Securities</w:t>
            </w:r>
          </w:p>
        </w:tc>
        <w:tc>
          <w:tcPr>
            <w:tcW w:w="2020" w:type="dxa"/>
            <w:vAlign w:val="bottom"/>
            <w:gridSpan w:val="3"/>
          </w:tcPr>
          <w:p>
            <w:pPr>
              <w:jc w:val="center"/>
              <w:ind w:left="1759"/>
              <w:spacing w:after="0"/>
              <w:rPr>
                <w:rFonts w:ascii="Arial" w:cs="Arial" w:eastAsia="Arial" w:hAnsi="Arial"/>
                <w:sz w:val="16"/>
                <w:szCs w:val="16"/>
                <w:color w:val="0000FF"/>
              </w:rPr>
            </w:pPr>
            <w:hyperlink w:anchor="page37">
              <w:r>
                <w:rPr>
                  <w:rFonts w:ascii="Arial" w:cs="Arial" w:eastAsia="Arial" w:hAnsi="Arial"/>
                  <w:sz w:val="16"/>
                  <w:szCs w:val="16"/>
                  <w:color w:val="0000FF"/>
                </w:rPr>
                <w:t>15</w:t>
              </w:r>
            </w:hyperlink>
          </w:p>
        </w:tc>
        <w:tc>
          <w:tcPr>
            <w:tcW w:w="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6"/>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960" w:type="dxa"/>
            <w:vAlign w:val="bottom"/>
            <w:gridSpan w:val="17"/>
          </w:tcPr>
          <w:p>
            <w:pPr>
              <w:spacing w:after="0"/>
              <w:rPr>
                <w:sz w:val="20"/>
                <w:szCs w:val="20"/>
                <w:color w:val="auto"/>
              </w:rPr>
            </w:pPr>
            <w:r>
              <w:rPr>
                <w:rFonts w:ascii="Arial" w:cs="Arial" w:eastAsia="Arial" w:hAnsi="Arial"/>
                <w:sz w:val="16"/>
                <w:szCs w:val="16"/>
                <w:i w:val="1"/>
                <w:iCs w:val="1"/>
                <w:color w:val="0000FF"/>
              </w:rPr>
              <w:t>Summary of Residential Mortgage Backed Securities by Collateral Type and NAIC Designation</w:t>
            </w:r>
          </w:p>
        </w:tc>
        <w:tc>
          <w:tcPr>
            <w:tcW w:w="2020" w:type="dxa"/>
            <w:vAlign w:val="bottom"/>
            <w:gridSpan w:val="3"/>
          </w:tcPr>
          <w:p>
            <w:pPr>
              <w:jc w:val="center"/>
              <w:ind w:left="1759"/>
              <w:spacing w:after="0"/>
              <w:rPr>
                <w:rFonts w:ascii="Arial" w:cs="Arial" w:eastAsia="Arial" w:hAnsi="Arial"/>
                <w:sz w:val="16"/>
                <w:szCs w:val="16"/>
                <w:color w:val="0000FF"/>
              </w:rPr>
            </w:pPr>
            <w:hyperlink w:anchor="page37">
              <w:r>
                <w:rPr>
                  <w:rFonts w:ascii="Arial" w:cs="Arial" w:eastAsia="Arial" w:hAnsi="Arial"/>
                  <w:sz w:val="16"/>
                  <w:szCs w:val="16"/>
                  <w:color w:val="0000FF"/>
                </w:rPr>
                <w:t>16</w:t>
              </w:r>
            </w:hyperlink>
          </w:p>
        </w:tc>
        <w:tc>
          <w:tcPr>
            <w:tcW w:w="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4440" w:type="dxa"/>
            <w:vAlign w:val="bottom"/>
            <w:tcBorders>
              <w:left w:val="single" w:sz="8" w:color="0000FF"/>
            </w:tcBorders>
            <w:gridSpan w:val="11"/>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4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2"/>
              </w:rPr>
              <w:t>D. Counterparty Risk</w:t>
            </w:r>
          </w:p>
        </w:tc>
        <w:tc>
          <w:tcPr>
            <w:tcW w:w="7020" w:type="dxa"/>
            <w:vAlign w:val="bottom"/>
            <w:gridSpan w:val="15"/>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960" w:type="dxa"/>
            <w:vAlign w:val="bottom"/>
            <w:gridSpan w:val="17"/>
          </w:tcPr>
          <w:p>
            <w:pPr>
              <w:spacing w:after="0"/>
              <w:rPr>
                <w:sz w:val="20"/>
                <w:szCs w:val="20"/>
                <w:color w:val="auto"/>
              </w:rPr>
            </w:pPr>
            <w:r>
              <w:rPr>
                <w:rFonts w:ascii="Arial" w:cs="Arial" w:eastAsia="Arial" w:hAnsi="Arial"/>
                <w:sz w:val="16"/>
                <w:szCs w:val="16"/>
                <w:i w:val="1"/>
                <w:iCs w:val="1"/>
                <w:color w:val="0000FF"/>
              </w:rPr>
              <w:t>Top 5 Reinsurers</w:t>
            </w:r>
          </w:p>
        </w:tc>
        <w:tc>
          <w:tcPr>
            <w:tcW w:w="2020" w:type="dxa"/>
            <w:vAlign w:val="bottom"/>
            <w:gridSpan w:val="3"/>
          </w:tcPr>
          <w:p>
            <w:pPr>
              <w:jc w:val="center"/>
              <w:ind w:left="1759"/>
              <w:spacing w:after="0"/>
              <w:rPr>
                <w:sz w:val="20"/>
                <w:szCs w:val="20"/>
                <w:color w:val="auto"/>
              </w:rPr>
            </w:pPr>
            <w:r>
              <w:rPr>
                <w:rFonts w:ascii="Arial" w:cs="Arial" w:eastAsia="Arial" w:hAnsi="Arial"/>
                <w:sz w:val="16"/>
                <w:szCs w:val="16"/>
                <w:color w:val="0000FF"/>
              </w:rPr>
              <w:t>16</w:t>
            </w:r>
          </w:p>
        </w:tc>
        <w:tc>
          <w:tcPr>
            <w:tcW w:w="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20" w:type="dxa"/>
            <w:vAlign w:val="bottom"/>
            <w:gridSpan w:val="12"/>
          </w:tcPr>
          <w:p>
            <w:pPr>
              <w:spacing w:after="0" w:line="20" w:lineRule="exact"/>
              <w:rPr>
                <w:sz w:val="1"/>
                <w:szCs w:val="1"/>
                <w:color w:val="auto"/>
              </w:rPr>
            </w:pPr>
          </w:p>
        </w:tc>
        <w:tc>
          <w:tcPr>
            <w:tcW w:w="19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8420" w:type="dxa"/>
            <w:vAlign w:val="bottom"/>
            <w:gridSpan w:val="18"/>
          </w:tcPr>
          <w:p>
            <w:pPr>
              <w:spacing w:after="0"/>
              <w:rPr>
                <w:sz w:val="20"/>
                <w:szCs w:val="20"/>
                <w:color w:val="auto"/>
              </w:rPr>
            </w:pPr>
            <w:r>
              <w:rPr>
                <w:rFonts w:ascii="Arial" w:cs="Arial" w:eastAsia="Arial" w:hAnsi="Arial"/>
                <w:sz w:val="16"/>
                <w:szCs w:val="16"/>
                <w:color w:val="0000FF"/>
              </w:rPr>
              <w:t>E. Non-GAAP Financial Measures</w:t>
            </w:r>
          </w:p>
        </w:tc>
        <w:tc>
          <w:tcPr>
            <w:tcW w:w="2020" w:type="dxa"/>
            <w:vAlign w:val="bottom"/>
            <w:gridSpan w:val="3"/>
          </w:tcPr>
          <w:p>
            <w:pPr>
              <w:jc w:val="center"/>
              <w:ind w:left="1759"/>
              <w:spacing w:after="0"/>
              <w:rPr>
                <w:rFonts w:ascii="Arial" w:cs="Arial" w:eastAsia="Arial" w:hAnsi="Arial"/>
                <w:sz w:val="16"/>
                <w:szCs w:val="16"/>
                <w:color w:val="0000FF"/>
              </w:rPr>
            </w:pPr>
            <w:hyperlink w:anchor="page38">
              <w:r>
                <w:rPr>
                  <w:rFonts w:ascii="Arial" w:cs="Arial" w:eastAsia="Arial" w:hAnsi="Arial"/>
                  <w:sz w:val="16"/>
                  <w:szCs w:val="16"/>
                  <w:color w:val="0000FF"/>
                </w:rPr>
                <w:t>17</w:t>
              </w:r>
            </w:hyperlink>
          </w:p>
        </w:tc>
        <w:tc>
          <w:tcPr>
            <w:tcW w:w="8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Financial Highlights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Three months ended</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June 30, 2022</w:t>
            </w:r>
          </w:p>
        </w:tc>
        <w:tc>
          <w:tcPr>
            <w:tcW w:w="60" w:type="dxa"/>
            <w:vAlign w:val="bottom"/>
          </w:tcPr>
          <w:p>
            <w:pPr>
              <w:spacing w:after="0"/>
              <w:rPr>
                <w:sz w:val="11"/>
                <w:szCs w:val="11"/>
                <w:color w:val="auto"/>
              </w:rPr>
            </w:pPr>
          </w:p>
        </w:tc>
        <w:tc>
          <w:tcPr>
            <w:tcW w:w="90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180" w:type="dxa"/>
            <w:vAlign w:val="bottom"/>
            <w:gridSpan w:val="3"/>
          </w:tcPr>
          <w:p>
            <w:pPr>
              <w:ind w:left="100"/>
              <w:spacing w:after="0" w:line="129" w:lineRule="exact"/>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68"/>
              <w:spacing w:after="0" w:line="129" w:lineRule="exact"/>
              <w:rPr>
                <w:sz w:val="20"/>
                <w:szCs w:val="20"/>
                <w:color w:val="auto"/>
              </w:rPr>
            </w:pPr>
            <w:r>
              <w:rPr>
                <w:rFonts w:ascii="Arial" w:cs="Arial" w:eastAsia="Arial" w:hAnsi="Arial"/>
                <w:sz w:val="14"/>
                <w:szCs w:val="14"/>
                <w:b w:val="1"/>
                <w:bCs w:val="1"/>
                <w:color w:val="auto"/>
              </w:rPr>
              <w:t>June 30,</w:t>
            </w:r>
          </w:p>
        </w:tc>
        <w:tc>
          <w:tcPr>
            <w:tcW w:w="180" w:type="dxa"/>
            <w:vAlign w:val="bottom"/>
            <w:tcBorders>
              <w:right w:val="single" w:sz="8" w:color="auto"/>
            </w:tcBorders>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June 30, 2022</w:t>
            </w:r>
          </w:p>
        </w:tc>
        <w:tc>
          <w:tcPr>
            <w:tcW w:w="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12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right w:val="single" w:sz="8" w:color="auto"/>
            </w:tcBorders>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Select Income Statement Data:</w:t>
            </w:r>
          </w:p>
        </w:tc>
        <w:tc>
          <w:tcPr>
            <w:tcW w:w="900" w:type="dxa"/>
            <w:vAlign w:val="bottom"/>
            <w:tcBorders>
              <w:top w:val="single" w:sz="8" w:color="auto"/>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920" w:type="dxa"/>
            <w:vAlign w:val="bottom"/>
            <w:tcBorders>
              <w:top w:val="single" w:sz="8" w:color="auto"/>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200" w:type="dxa"/>
            <w:vAlign w:val="bottom"/>
            <w:vMerge w:val="continue"/>
          </w:tcPr>
          <w:p>
            <w:pPr>
              <w:spacing w:after="0"/>
              <w:rPr>
                <w:sz w:val="14"/>
                <w:szCs w:val="14"/>
                <w:color w:val="auto"/>
              </w:rPr>
            </w:pPr>
          </w:p>
        </w:tc>
        <w:tc>
          <w:tcPr>
            <w:tcW w:w="90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attributable to common shareholders</w:t>
            </w:r>
          </w:p>
        </w:tc>
        <w:tc>
          <w:tcPr>
            <w:tcW w:w="900" w:type="dxa"/>
            <w:vAlign w:val="bottom"/>
            <w:tcBorders>
              <w:left w:val="single" w:sz="8" w:color="auto"/>
              <w:right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230</w:t>
            </w: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236</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w:t>
            </w:r>
          </w:p>
        </w:tc>
        <w:tc>
          <w:tcPr>
            <w:tcW w:w="180" w:type="dxa"/>
            <w:vAlign w:val="bottom"/>
            <w:tcBorders>
              <w:right w:val="single" w:sz="8" w:color="auto"/>
            </w:tcBorders>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466</w:t>
            </w: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900" w:type="dxa"/>
            <w:vAlign w:val="bottom"/>
            <w:tcBorders>
              <w:left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5"/>
              </w:rPr>
              <w:t>Adjusted net earnings attributable to common shareholders ("Adjusted</w:t>
            </w:r>
          </w:p>
        </w:tc>
        <w:tc>
          <w:tcPr>
            <w:tcW w:w="900" w:type="dxa"/>
            <w:vAlign w:val="bottom"/>
            <w:tcBorders>
              <w:left w:val="single" w:sz="8" w:color="auto"/>
              <w:right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128</w:t>
            </w:r>
          </w:p>
        </w:tc>
        <w:tc>
          <w:tcPr>
            <w:tcW w:w="96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82</w:t>
            </w:r>
          </w:p>
        </w:tc>
        <w:tc>
          <w:tcPr>
            <w:tcW w:w="112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92</w:t>
            </w:r>
          </w:p>
        </w:tc>
        <w:tc>
          <w:tcPr>
            <w:tcW w:w="180" w:type="dxa"/>
            <w:vAlign w:val="bottom"/>
            <w:tcBorders>
              <w:right w:val="single" w:sz="8" w:color="auto"/>
            </w:tcBorders>
            <w:shd w:val="clear" w:color="auto" w:fill="CCEEFF"/>
          </w:tcPr>
          <w:p>
            <w:pPr>
              <w:spacing w:after="0"/>
              <w:rPr>
                <w:sz w:val="11"/>
                <w:szCs w:val="11"/>
                <w:color w:val="auto"/>
              </w:rPr>
            </w:pPr>
          </w:p>
        </w:tc>
        <w:tc>
          <w:tcPr>
            <w:tcW w:w="920" w:type="dxa"/>
            <w:vAlign w:val="bottom"/>
            <w:tcBorders>
              <w:right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210</w:t>
            </w:r>
          </w:p>
        </w:tc>
        <w:tc>
          <w:tcPr>
            <w:tcW w:w="96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 (c)</w:t>
            </w:r>
          </w:p>
        </w:tc>
        <w:tc>
          <w:tcPr>
            <w:tcW w:w="90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920" w:type="dxa"/>
            <w:vAlign w:val="bottom"/>
            <w:tcBorders>
              <w:right w:val="single" w:sz="8" w:color="auto"/>
            </w:tcBorders>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200" w:type="dxa"/>
            <w:vAlign w:val="bottom"/>
          </w:tcPr>
          <w:p>
            <w:pPr>
              <w:spacing w:after="0"/>
              <w:rPr>
                <w:sz w:val="8"/>
                <w:szCs w:val="8"/>
                <w:color w:val="auto"/>
              </w:rPr>
            </w:pPr>
          </w:p>
        </w:tc>
        <w:tc>
          <w:tcPr>
            <w:tcW w:w="900" w:type="dxa"/>
            <w:vAlign w:val="bottom"/>
            <w:tcBorders>
              <w:left w:val="single" w:sz="8" w:color="auto"/>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Select Metrics:</w:t>
            </w:r>
          </w:p>
        </w:tc>
        <w:tc>
          <w:tcPr>
            <w:tcW w:w="900" w:type="dxa"/>
            <w:vAlign w:val="bottom"/>
            <w:tcBorders>
              <w:left w:val="single" w:sz="8" w:color="auto"/>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0" w:type="dxa"/>
            <w:vAlign w:val="bottom"/>
          </w:tcPr>
          <w:p>
            <w:pPr>
              <w:ind w:left="20"/>
              <w:spacing w:after="0"/>
              <w:rPr>
                <w:sz w:val="20"/>
                <w:szCs w:val="20"/>
                <w:color w:val="auto"/>
              </w:rPr>
            </w:pPr>
            <w:r>
              <w:rPr>
                <w:rFonts w:ascii="Arial" w:cs="Arial" w:eastAsia="Arial" w:hAnsi="Arial"/>
                <w:sz w:val="14"/>
                <w:szCs w:val="14"/>
                <w:color w:val="auto"/>
              </w:rPr>
              <w:t>Average assets under management ("AAUM") (a)</w:t>
            </w:r>
          </w:p>
        </w:tc>
        <w:tc>
          <w:tcPr>
            <w:tcW w:w="900" w:type="dxa"/>
            <w:vAlign w:val="bottom"/>
            <w:tcBorders>
              <w:left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39,306</w:t>
            </w:r>
          </w:p>
        </w:tc>
        <w:tc>
          <w:tcPr>
            <w:tcW w:w="960" w:type="dxa"/>
            <w:vAlign w:val="bottom"/>
            <w:gridSpan w:val="2"/>
          </w:tcPr>
          <w:p>
            <w:pPr>
              <w:jc w:val="right"/>
              <w:ind w:right="108"/>
              <w:spacing w:after="0"/>
              <w:rPr>
                <w:sz w:val="20"/>
                <w:szCs w:val="20"/>
                <w:color w:val="auto"/>
              </w:rPr>
            </w:pPr>
            <w:r>
              <w:rPr>
                <w:rFonts w:ascii="Arial" w:cs="Arial" w:eastAsia="Arial" w:hAnsi="Arial"/>
                <w:sz w:val="14"/>
                <w:szCs w:val="14"/>
                <w:color w:val="auto"/>
              </w:rPr>
              <w:t>37,459</w:t>
            </w: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35,699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32,692</w:t>
            </w:r>
          </w:p>
        </w:tc>
        <w:tc>
          <w:tcPr>
            <w:tcW w:w="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30,423</w:t>
            </w:r>
          </w:p>
        </w:tc>
        <w:tc>
          <w:tcPr>
            <w:tcW w:w="1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38,351</w:t>
            </w:r>
          </w:p>
        </w:tc>
        <w:tc>
          <w:tcPr>
            <w:tcW w:w="960" w:type="dxa"/>
            <w:vAlign w:val="bottom"/>
            <w:gridSpan w:val="2"/>
          </w:tcPr>
          <w:p>
            <w:pPr>
              <w:jc w:val="right"/>
              <w:ind w:right="108"/>
              <w:spacing w:after="0"/>
              <w:rPr>
                <w:sz w:val="20"/>
                <w:szCs w:val="20"/>
                <w:color w:val="auto"/>
              </w:rPr>
            </w:pPr>
            <w:r>
              <w:rPr>
                <w:rFonts w:ascii="Arial" w:cs="Arial" w:eastAsia="Arial" w:hAnsi="Arial"/>
                <w:sz w:val="14"/>
                <w:szCs w:val="14"/>
                <w:color w:val="auto"/>
              </w:rPr>
              <w:t>29,722</w:t>
            </w:r>
          </w:p>
        </w:tc>
        <w:tc>
          <w:tcPr>
            <w:tcW w:w="0" w:type="dxa"/>
            <w:vAlign w:val="bottom"/>
          </w:tcPr>
          <w:p>
            <w:pPr>
              <w:spacing w:after="0"/>
              <w:rPr>
                <w:sz w:val="1"/>
                <w:szCs w:val="1"/>
                <w:color w:val="auto"/>
              </w:rPr>
            </w:pPr>
          </w:p>
        </w:tc>
      </w:tr>
      <w:tr>
        <w:trPr>
          <w:trHeight w:val="98"/>
        </w:trPr>
        <w:tc>
          <w:tcPr>
            <w:tcW w:w="4200" w:type="dxa"/>
            <w:vAlign w:val="bottom"/>
            <w:shd w:val="clear" w:color="auto" w:fill="CCEEFF"/>
          </w:tcPr>
          <w:p>
            <w:pPr>
              <w:spacing w:after="0"/>
              <w:rPr>
                <w:sz w:val="8"/>
                <w:szCs w:val="8"/>
                <w:color w:val="auto"/>
              </w:rPr>
            </w:pPr>
          </w:p>
        </w:tc>
        <w:tc>
          <w:tcPr>
            <w:tcW w:w="900" w:type="dxa"/>
            <w:vAlign w:val="bottom"/>
            <w:tcBorders>
              <w:left w:val="single" w:sz="8" w:color="auto"/>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80" w:type="dxa"/>
            <w:vAlign w:val="bottom"/>
            <w:tcBorders>
              <w:right w:val="single" w:sz="8" w:color="auto"/>
            </w:tcBorders>
            <w:shd w:val="clear" w:color="auto" w:fill="CCEEFF"/>
          </w:tcPr>
          <w:p>
            <w:pPr>
              <w:spacing w:after="0"/>
              <w:rPr>
                <w:sz w:val="8"/>
                <w:szCs w:val="8"/>
                <w:color w:val="auto"/>
              </w:rPr>
            </w:pPr>
          </w:p>
        </w:tc>
        <w:tc>
          <w:tcPr>
            <w:tcW w:w="9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4200" w:type="dxa"/>
            <w:vAlign w:val="bottom"/>
          </w:tcPr>
          <w:p>
            <w:pPr>
              <w:ind w:left="20"/>
              <w:spacing w:after="0"/>
              <w:rPr>
                <w:sz w:val="20"/>
                <w:szCs w:val="20"/>
                <w:color w:val="auto"/>
              </w:rPr>
            </w:pPr>
            <w:r>
              <w:rPr>
                <w:rFonts w:ascii="Arial" w:cs="Arial" w:eastAsia="Arial" w:hAnsi="Arial"/>
                <w:sz w:val="14"/>
                <w:szCs w:val="14"/>
                <w:color w:val="auto"/>
              </w:rPr>
              <w:t>Assets under management ("AUM") (a)</w:t>
            </w:r>
          </w:p>
        </w:tc>
        <w:tc>
          <w:tcPr>
            <w:tcW w:w="900" w:type="dxa"/>
            <w:vAlign w:val="bottom"/>
            <w:tcBorders>
              <w:left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40,322</w:t>
            </w:r>
          </w:p>
        </w:tc>
        <w:tc>
          <w:tcPr>
            <w:tcW w:w="960" w:type="dxa"/>
            <w:vAlign w:val="bottom"/>
            <w:gridSpan w:val="2"/>
          </w:tcPr>
          <w:p>
            <w:pPr>
              <w:jc w:val="right"/>
              <w:ind w:right="108"/>
              <w:spacing w:after="0"/>
              <w:rPr>
                <w:sz w:val="20"/>
                <w:szCs w:val="20"/>
                <w:color w:val="auto"/>
              </w:rPr>
            </w:pPr>
            <w:r>
              <w:rPr>
                <w:rFonts w:ascii="Arial" w:cs="Arial" w:eastAsia="Arial" w:hAnsi="Arial"/>
                <w:sz w:val="14"/>
                <w:szCs w:val="14"/>
                <w:color w:val="auto"/>
              </w:rPr>
              <w:t>38,601</w:t>
            </w: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36,494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34,665</w:t>
            </w:r>
          </w:p>
        </w:tc>
        <w:tc>
          <w:tcPr>
            <w:tcW w:w="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31,760</w:t>
            </w:r>
          </w:p>
        </w:tc>
        <w:tc>
          <w:tcPr>
            <w:tcW w:w="1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40,322</w:t>
            </w:r>
          </w:p>
        </w:tc>
        <w:tc>
          <w:tcPr>
            <w:tcW w:w="960" w:type="dxa"/>
            <w:vAlign w:val="bottom"/>
            <w:gridSpan w:val="2"/>
          </w:tcPr>
          <w:p>
            <w:pPr>
              <w:jc w:val="right"/>
              <w:ind w:right="108"/>
              <w:spacing w:after="0"/>
              <w:rPr>
                <w:sz w:val="20"/>
                <w:szCs w:val="20"/>
                <w:color w:val="auto"/>
              </w:rPr>
            </w:pPr>
            <w:r>
              <w:rPr>
                <w:rFonts w:ascii="Arial" w:cs="Arial" w:eastAsia="Arial" w:hAnsi="Arial"/>
                <w:sz w:val="14"/>
                <w:szCs w:val="14"/>
                <w:color w:val="auto"/>
              </w:rPr>
              <w:t>31,760</w:t>
            </w:r>
          </w:p>
        </w:tc>
        <w:tc>
          <w:tcPr>
            <w:tcW w:w="0" w:type="dxa"/>
            <w:vAlign w:val="bottom"/>
          </w:tcPr>
          <w:p>
            <w:pPr>
              <w:spacing w:after="0"/>
              <w:rPr>
                <w:sz w:val="1"/>
                <w:szCs w:val="1"/>
                <w:color w:val="auto"/>
              </w:rPr>
            </w:pPr>
          </w:p>
        </w:tc>
      </w:tr>
      <w:tr>
        <w:trPr>
          <w:trHeight w:val="111"/>
        </w:trPr>
        <w:tc>
          <w:tcPr>
            <w:tcW w:w="4200" w:type="dxa"/>
            <w:vAlign w:val="bottom"/>
            <w:shd w:val="clear" w:color="auto" w:fill="CCEEFF"/>
          </w:tcPr>
          <w:p>
            <w:pPr>
              <w:spacing w:after="0"/>
              <w:rPr>
                <w:sz w:val="9"/>
                <w:szCs w:val="9"/>
                <w:color w:val="auto"/>
              </w:rPr>
            </w:pPr>
          </w:p>
        </w:tc>
        <w:tc>
          <w:tcPr>
            <w:tcW w:w="900" w:type="dxa"/>
            <w:vAlign w:val="bottom"/>
            <w:tcBorders>
              <w:left w:val="single" w:sz="8" w:color="auto"/>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tcBorders>
              <w:right w:val="single" w:sz="8" w:color="auto"/>
            </w:tcBorders>
            <w:shd w:val="clear" w:color="auto" w:fill="CCEEFF"/>
          </w:tcPr>
          <w:p>
            <w:pPr>
              <w:spacing w:after="0"/>
              <w:rPr>
                <w:sz w:val="9"/>
                <w:szCs w:val="9"/>
                <w:color w:val="auto"/>
              </w:rPr>
            </w:pPr>
          </w:p>
        </w:tc>
        <w:tc>
          <w:tcPr>
            <w:tcW w:w="92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200" w:type="dxa"/>
            <w:vAlign w:val="bottom"/>
          </w:tcPr>
          <w:p>
            <w:pPr>
              <w:ind w:left="20"/>
              <w:spacing w:after="0"/>
              <w:rPr>
                <w:sz w:val="20"/>
                <w:szCs w:val="20"/>
                <w:color w:val="auto"/>
              </w:rPr>
            </w:pPr>
            <w:r>
              <w:rPr>
                <w:rFonts w:ascii="Arial" w:cs="Arial" w:eastAsia="Arial" w:hAnsi="Arial"/>
                <w:sz w:val="14"/>
                <w:szCs w:val="14"/>
                <w:color w:val="auto"/>
              </w:rPr>
              <w:t>Net investment spread (a) (d)</w:t>
            </w:r>
          </w:p>
        </w:tc>
        <w:tc>
          <w:tcPr>
            <w:tcW w:w="9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2.62 %</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2.76 %</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2.78 %</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2.75 %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2.85 %</w:t>
            </w:r>
          </w:p>
        </w:tc>
        <w:tc>
          <w:tcPr>
            <w:tcW w:w="1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2.70 %</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2.65 %</w:t>
            </w:r>
          </w:p>
        </w:tc>
        <w:tc>
          <w:tcPr>
            <w:tcW w:w="0" w:type="dxa"/>
            <w:vAlign w:val="bottom"/>
          </w:tcPr>
          <w:p>
            <w:pPr>
              <w:spacing w:after="0"/>
              <w:rPr>
                <w:sz w:val="1"/>
                <w:szCs w:val="1"/>
                <w:color w:val="auto"/>
              </w:rPr>
            </w:pPr>
          </w:p>
        </w:tc>
      </w:tr>
      <w:tr>
        <w:trPr>
          <w:trHeight w:val="111"/>
        </w:trPr>
        <w:tc>
          <w:tcPr>
            <w:tcW w:w="4200" w:type="dxa"/>
            <w:vAlign w:val="bottom"/>
            <w:shd w:val="clear" w:color="auto" w:fill="CCEEFF"/>
          </w:tcPr>
          <w:p>
            <w:pPr>
              <w:spacing w:after="0"/>
              <w:rPr>
                <w:sz w:val="9"/>
                <w:szCs w:val="9"/>
                <w:color w:val="auto"/>
              </w:rPr>
            </w:pPr>
          </w:p>
        </w:tc>
        <w:tc>
          <w:tcPr>
            <w:tcW w:w="900" w:type="dxa"/>
            <w:vAlign w:val="bottom"/>
            <w:tcBorders>
              <w:left w:val="single" w:sz="8" w:color="auto"/>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tcBorders>
              <w:right w:val="single" w:sz="8" w:color="auto"/>
            </w:tcBorders>
            <w:shd w:val="clear" w:color="auto" w:fill="CCEEFF"/>
          </w:tcPr>
          <w:p>
            <w:pPr>
              <w:spacing w:after="0"/>
              <w:rPr>
                <w:sz w:val="9"/>
                <w:szCs w:val="9"/>
                <w:color w:val="auto"/>
              </w:rPr>
            </w:pPr>
          </w:p>
        </w:tc>
        <w:tc>
          <w:tcPr>
            <w:tcW w:w="92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200" w:type="dxa"/>
            <w:vAlign w:val="bottom"/>
          </w:tcPr>
          <w:p>
            <w:pPr>
              <w:ind w:left="20"/>
              <w:spacing w:after="0"/>
              <w:rPr>
                <w:sz w:val="20"/>
                <w:szCs w:val="20"/>
                <w:color w:val="auto"/>
              </w:rPr>
            </w:pPr>
            <w:r>
              <w:rPr>
                <w:rFonts w:ascii="Arial" w:cs="Arial" w:eastAsia="Arial" w:hAnsi="Arial"/>
                <w:sz w:val="14"/>
                <w:szCs w:val="14"/>
                <w:color w:val="auto"/>
              </w:rPr>
              <w:t>Adjusted return on assets (a) (b) (c)</w:t>
            </w:r>
          </w:p>
        </w:tc>
        <w:tc>
          <w:tcPr>
            <w:tcW w:w="9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1.10 %</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0.88 %</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1.13 %</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1.14 %</w:t>
            </w:r>
          </w:p>
        </w:tc>
        <w:tc>
          <w:tcPr>
            <w:tcW w:w="180" w:type="dxa"/>
            <w:vAlign w:val="bottom"/>
            <w:tcBorders>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1.10 %</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Refer to "Non-GAAP Financial Measures Definitions"</w:t>
      </w:r>
    </w:p>
    <w:p>
      <w:pPr>
        <w:spacing w:after="0" w:line="9" w:lineRule="exact"/>
        <w:rPr>
          <w:rFonts w:ascii="Arial" w:cs="Arial" w:eastAsia="Arial" w:hAnsi="Arial"/>
          <w:sz w:val="13"/>
          <w:szCs w:val="13"/>
          <w:color w:val="auto"/>
        </w:rPr>
      </w:pPr>
    </w:p>
    <w:p>
      <w:pPr>
        <w:ind w:left="180" w:hanging="172"/>
        <w:spacing w:after="0"/>
        <w:tabs>
          <w:tab w:leader="none" w:pos="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Adjusted return on assets is calculated on a year to date ("YTD") basis.</w:t>
      </w:r>
    </w:p>
    <w:p>
      <w:pPr>
        <w:ind w:left="180" w:hanging="172"/>
        <w:spacing w:after="0"/>
        <w:tabs>
          <w:tab w:leader="none" w:pos="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Refer to page 7 "Notable Items" for further explanation of trends.</w:t>
      </w:r>
    </w:p>
    <w:p>
      <w:pPr>
        <w:ind w:left="180" w:hanging="172"/>
        <w:spacing w:after="0"/>
        <w:tabs>
          <w:tab w:leader="none" w:pos="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Prior periods have been restated to reflect immaterial adjustments management identified in Q2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Results by Product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ind w:left="508"/>
              <w:spacing w:after="0"/>
              <w:rPr>
                <w:sz w:val="20"/>
                <w:szCs w:val="20"/>
                <w:color w:val="auto"/>
              </w:rPr>
            </w:pPr>
            <w:r>
              <w:rPr>
                <w:rFonts w:ascii="Arial" w:cs="Arial" w:eastAsia="Arial" w:hAnsi="Arial"/>
                <w:sz w:val="14"/>
                <w:szCs w:val="14"/>
                <w:b w:val="1"/>
                <w:bCs w:val="1"/>
                <w:color w:val="auto"/>
                <w:w w:val="91"/>
              </w:rPr>
              <w:t>Three months ended</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8"/>
        </w:trPr>
        <w:tc>
          <w:tcPr>
            <w:tcW w:w="4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10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1"/>
                <w:szCs w:val="11"/>
                <w:color w:val="auto"/>
              </w:rPr>
            </w:pPr>
          </w:p>
        </w:tc>
        <w:tc>
          <w:tcPr>
            <w:tcW w:w="660" w:type="dxa"/>
            <w:vAlign w:val="bottom"/>
          </w:tcPr>
          <w:p>
            <w:pPr>
              <w:jc w:val="right"/>
              <w:ind w:right="68"/>
              <w:spacing w:after="0" w:line="129"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680" w:type="dxa"/>
            <w:vAlign w:val="bottom"/>
          </w:tcPr>
          <w:p>
            <w:pPr>
              <w:jc w:val="right"/>
              <w:ind w:right="68"/>
              <w:spacing w:after="0" w:line="12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76"/>
        </w:trPr>
        <w:tc>
          <w:tcPr>
            <w:tcW w:w="4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Sales (a)</w:t>
            </w: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800" w:type="dxa"/>
            <w:vAlign w:val="bottom"/>
            <w:gridSpan w:val="2"/>
            <w:vMerge w:val="continue"/>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Fixed indexed annuities (FIA)</w:t>
            </w:r>
          </w:p>
        </w:tc>
        <w:tc>
          <w:tcPr>
            <w:tcW w:w="100" w:type="dxa"/>
            <w:vAlign w:val="bottom"/>
            <w:tcBorders>
              <w:left w:val="single" w:sz="8" w:color="auto"/>
            </w:tcBorders>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1,135</w:t>
            </w:r>
          </w:p>
        </w:tc>
        <w:tc>
          <w:tcPr>
            <w:tcW w:w="18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2,076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2,182</w:t>
            </w:r>
          </w:p>
        </w:tc>
        <w:tc>
          <w:tcPr>
            <w:tcW w:w="0" w:type="dxa"/>
            <w:vAlign w:val="bottom"/>
          </w:tcPr>
          <w:p>
            <w:pPr>
              <w:spacing w:after="0"/>
              <w:rPr>
                <w:sz w:val="1"/>
                <w:szCs w:val="1"/>
                <w:color w:val="auto"/>
              </w:rPr>
            </w:pPr>
          </w:p>
        </w:tc>
      </w:tr>
      <w:tr>
        <w:trPr>
          <w:trHeight w:val="186"/>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Fixed rate annuities (MYGA)</w:t>
            </w:r>
          </w:p>
        </w:tc>
        <w:tc>
          <w:tcPr>
            <w:tcW w:w="100" w:type="dxa"/>
            <w:vAlign w:val="bottom"/>
            <w:tcBorders>
              <w:left w:val="single" w:sz="8" w:color="auto"/>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1,087</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512</w:t>
            </w:r>
          </w:p>
        </w:tc>
        <w:tc>
          <w:tcPr>
            <w:tcW w:w="18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1,560</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w:t>
            </w:r>
          </w:p>
        </w:tc>
        <w:tc>
          <w:tcPr>
            <w:tcW w:w="0" w:type="dxa"/>
            <w:vAlign w:val="bottom"/>
          </w:tcPr>
          <w:p>
            <w:pPr>
              <w:spacing w:after="0"/>
              <w:rPr>
                <w:sz w:val="1"/>
                <w:szCs w:val="1"/>
                <w:color w:val="auto"/>
              </w:rPr>
            </w:pPr>
          </w:p>
        </w:tc>
      </w:tr>
      <w:tr>
        <w:trPr>
          <w:trHeight w:val="186"/>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annuity</w:t>
            </w:r>
          </w:p>
        </w:tc>
        <w:tc>
          <w:tcPr>
            <w:tcW w:w="100" w:type="dxa"/>
            <w:vAlign w:val="bottom"/>
            <w:tcBorders>
              <w:left w:val="single" w:sz="8" w:color="auto"/>
            </w:tcBorders>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2,201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1,647</w:t>
            </w:r>
          </w:p>
        </w:tc>
        <w:tc>
          <w:tcPr>
            <w:tcW w:w="18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3,636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w:t>
            </w:r>
          </w:p>
        </w:tc>
        <w:tc>
          <w:tcPr>
            <w:tcW w:w="0" w:type="dxa"/>
            <w:vAlign w:val="bottom"/>
          </w:tcPr>
          <w:p>
            <w:pPr>
              <w:spacing w:after="0"/>
              <w:rPr>
                <w:sz w:val="1"/>
                <w:szCs w:val="1"/>
                <w:color w:val="auto"/>
              </w:rPr>
            </w:pPr>
          </w:p>
        </w:tc>
      </w:tr>
      <w:tr>
        <w:trPr>
          <w:trHeight w:val="186"/>
        </w:trPr>
        <w:tc>
          <w:tcPr>
            <w:tcW w:w="4800" w:type="dxa"/>
            <w:vAlign w:val="bottom"/>
            <w:gridSpan w:val="2"/>
          </w:tcPr>
          <w:p>
            <w:pPr>
              <w:ind w:left="20"/>
              <w:spacing w:after="0"/>
              <w:rPr>
                <w:sz w:val="20"/>
                <w:szCs w:val="20"/>
                <w:color w:val="auto"/>
              </w:rPr>
            </w:pPr>
            <w:r>
              <w:rPr>
                <w:rFonts w:ascii="Arial" w:cs="Arial" w:eastAsia="Arial" w:hAnsi="Arial"/>
                <w:sz w:val="14"/>
                <w:szCs w:val="14"/>
                <w:color w:val="auto"/>
              </w:rPr>
              <w:t>Indexed universal life (IUL)</w:t>
            </w:r>
          </w:p>
        </w:tc>
        <w:tc>
          <w:tcPr>
            <w:tcW w:w="100" w:type="dxa"/>
            <w:vAlign w:val="bottom"/>
            <w:tcBorders>
              <w:left w:val="single" w:sz="8" w:color="auto"/>
            </w:tcBorders>
          </w:tcPr>
          <w:p>
            <w:pPr>
              <w:spacing w:after="0"/>
              <w:rPr>
                <w:sz w:val="16"/>
                <w:szCs w:val="16"/>
                <w:color w:val="auto"/>
              </w:rPr>
            </w:pPr>
          </w:p>
        </w:tc>
        <w:tc>
          <w:tcPr>
            <w:tcW w:w="7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2"/>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Funding agreements (FABN/FHLB)</w:t>
            </w:r>
          </w:p>
        </w:tc>
        <w:tc>
          <w:tcPr>
            <w:tcW w:w="100" w:type="dxa"/>
            <w:vAlign w:val="bottom"/>
            <w:tcBorders>
              <w:left w:val="single" w:sz="8" w:color="auto"/>
            </w:tcBorders>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8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86"/>
        </w:trPr>
        <w:tc>
          <w:tcPr>
            <w:tcW w:w="4800" w:type="dxa"/>
            <w:vAlign w:val="bottom"/>
            <w:gridSpan w:val="2"/>
          </w:tcPr>
          <w:p>
            <w:pPr>
              <w:ind w:left="20"/>
              <w:spacing w:after="0"/>
              <w:rPr>
                <w:sz w:val="20"/>
                <w:szCs w:val="20"/>
                <w:color w:val="auto"/>
              </w:rPr>
            </w:pPr>
            <w:r>
              <w:rPr>
                <w:rFonts w:ascii="Arial" w:cs="Arial" w:eastAsia="Arial" w:hAnsi="Arial"/>
                <w:sz w:val="14"/>
                <w:szCs w:val="14"/>
                <w:color w:val="auto"/>
              </w:rPr>
              <w:t>Pension risk transfer (PRT)</w:t>
            </w:r>
          </w:p>
        </w:tc>
        <w:tc>
          <w:tcPr>
            <w:tcW w:w="100" w:type="dxa"/>
            <w:vAlign w:val="bottom"/>
            <w:tcBorders>
              <w:left w:val="single" w:sz="8" w:color="auto"/>
            </w:tcBorders>
          </w:tcPr>
          <w:p>
            <w:pPr>
              <w:spacing w:after="0"/>
              <w:rPr>
                <w:sz w:val="16"/>
                <w:szCs w:val="16"/>
                <w:color w:val="auto"/>
              </w:rPr>
            </w:pPr>
          </w:p>
        </w:tc>
        <w:tc>
          <w:tcPr>
            <w:tcW w:w="7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Gross Sales</w:t>
            </w:r>
          </w:p>
        </w:tc>
        <w:tc>
          <w:tcPr>
            <w:tcW w:w="100" w:type="dxa"/>
            <w:vAlign w:val="bottom"/>
            <w:tcBorders>
              <w:top w:val="single" w:sz="8" w:color="auto"/>
              <w:left w:val="single" w:sz="8" w:color="auto"/>
            </w:tcBorders>
            <w:shd w:val="clear" w:color="auto" w:fill="CCEEFF"/>
          </w:tcPr>
          <w:p>
            <w:pPr>
              <w:spacing w:after="0"/>
              <w:rPr>
                <w:sz w:val="16"/>
                <w:szCs w:val="16"/>
                <w:color w:val="auto"/>
              </w:rPr>
            </w:pPr>
          </w:p>
        </w:tc>
        <w:tc>
          <w:tcPr>
            <w:tcW w:w="700" w:type="dxa"/>
            <w:vAlign w:val="bottom"/>
            <w:tcBorders>
              <w:top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3,073</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2,195</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2,667</w:t>
            </w:r>
          </w:p>
        </w:tc>
        <w:tc>
          <w:tcPr>
            <w:tcW w:w="18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5,662</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4,321</w:t>
            </w:r>
          </w:p>
        </w:tc>
        <w:tc>
          <w:tcPr>
            <w:tcW w:w="0" w:type="dxa"/>
            <w:vAlign w:val="bottom"/>
          </w:tcPr>
          <w:p>
            <w:pPr>
              <w:spacing w:after="0"/>
              <w:rPr>
                <w:sz w:val="1"/>
                <w:szCs w:val="1"/>
                <w:color w:val="auto"/>
              </w:rPr>
            </w:pPr>
          </w:p>
        </w:tc>
      </w:tr>
      <w:tr>
        <w:trPr>
          <w:trHeight w:val="186"/>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Sales attributable to flow reinsurance to third parties</w:t>
            </w:r>
          </w:p>
        </w:tc>
        <w:tc>
          <w:tcPr>
            <w:tcW w:w="100" w:type="dxa"/>
            <w:vAlign w:val="bottom"/>
            <w:tcBorders>
              <w:left w:val="single" w:sz="8" w:color="auto"/>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8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11"/>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Net Sales</w:t>
            </w:r>
          </w:p>
        </w:tc>
        <w:tc>
          <w:tcPr>
            <w:tcW w:w="100" w:type="dxa"/>
            <w:vAlign w:val="bottom"/>
            <w:tcBorders>
              <w:left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2,529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2,412</w:t>
            </w:r>
          </w:p>
        </w:tc>
        <w:tc>
          <w:tcPr>
            <w:tcW w:w="18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4,882</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(a) Refer to "Non-GAAP Financial Measures 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Condensed 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September</w:t>
            </w:r>
          </w:p>
        </w:tc>
        <w:tc>
          <w:tcPr>
            <w:tcW w:w="1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30, 2021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9"/>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600" w:type="dxa"/>
            <w:vAlign w:val="bottom"/>
          </w:tcPr>
          <w:p>
            <w:pPr>
              <w:ind w:left="140"/>
              <w:spacing w:after="0" w:line="135" w:lineRule="exact"/>
              <w:rPr>
                <w:sz w:val="20"/>
                <w:szCs w:val="20"/>
                <w:color w:val="auto"/>
              </w:rPr>
            </w:pPr>
            <w:r>
              <w:rPr>
                <w:rFonts w:ascii="Arial" w:cs="Arial" w:eastAsia="Arial" w:hAnsi="Arial"/>
                <w:sz w:val="14"/>
                <w:szCs w:val="14"/>
                <w:color w:val="auto"/>
                <w:w w:val="97"/>
              </w:rPr>
              <w:t>Fixed maturity securities available for sale, at fair value, net of allowance for credit losses of $5 at June 30,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28,398</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29,478</w:t>
            </w:r>
          </w:p>
        </w:tc>
        <w:tc>
          <w:tcPr>
            <w:tcW w:w="8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29,962</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28,550</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27,616</w:t>
            </w:r>
          </w:p>
        </w:tc>
        <w:tc>
          <w:tcPr>
            <w:tcW w:w="0" w:type="dxa"/>
            <w:vAlign w:val="bottom"/>
          </w:tcPr>
          <w:p>
            <w:pPr>
              <w:spacing w:after="0"/>
              <w:rPr>
                <w:sz w:val="1"/>
                <w:szCs w:val="1"/>
                <w:color w:val="auto"/>
              </w:rPr>
            </w:pPr>
          </w:p>
        </w:tc>
      </w:tr>
      <w:tr>
        <w:trPr>
          <w:trHeight w:val="186"/>
        </w:trPr>
        <w:tc>
          <w:tcPr>
            <w:tcW w:w="6600" w:type="dxa"/>
            <w:vAlign w:val="bottom"/>
          </w:tcPr>
          <w:p>
            <w:pPr>
              <w:ind w:left="140"/>
              <w:spacing w:after="0"/>
              <w:rPr>
                <w:sz w:val="20"/>
                <w:szCs w:val="20"/>
                <w:color w:val="auto"/>
              </w:rPr>
            </w:pPr>
            <w:r>
              <w:rPr>
                <w:rFonts w:ascii="Arial" w:cs="Arial" w:eastAsia="Arial" w:hAnsi="Arial"/>
                <w:sz w:val="14"/>
                <w:szCs w:val="14"/>
                <w:color w:val="auto"/>
              </w:rPr>
              <w:t>2022</w:t>
            </w: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securities, at fair value</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86"/>
        </w:trPr>
        <w:tc>
          <w:tcPr>
            <w:tcW w:w="6600" w:type="dxa"/>
            <w:vAlign w:val="bottom"/>
          </w:tcPr>
          <w:p>
            <w:pPr>
              <w:ind w:left="140"/>
              <w:spacing w:after="0"/>
              <w:rPr>
                <w:sz w:val="20"/>
                <w:szCs w:val="20"/>
                <w:color w:val="auto"/>
              </w:rPr>
            </w:pPr>
            <w:r>
              <w:rPr>
                <w:rFonts w:ascii="Arial" w:cs="Arial" w:eastAsia="Arial" w:hAnsi="Arial"/>
                <w:sz w:val="14"/>
                <w:szCs w:val="14"/>
                <w:color w:val="auto"/>
              </w:rPr>
              <w:t>Equity securities, at fair value</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2"/>
        </w:trPr>
        <w:tc>
          <w:tcPr>
            <w:tcW w:w="6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Derivative investments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86"/>
        </w:trPr>
        <w:tc>
          <w:tcPr>
            <w:tcW w:w="6600" w:type="dxa"/>
            <w:vAlign w:val="bottom"/>
          </w:tcPr>
          <w:p>
            <w:pPr>
              <w:ind w:left="140"/>
              <w:spacing w:after="0"/>
              <w:rPr>
                <w:sz w:val="20"/>
                <w:szCs w:val="20"/>
                <w:color w:val="auto"/>
              </w:rPr>
            </w:pPr>
            <w:r>
              <w:rPr>
                <w:rFonts w:ascii="Arial" w:cs="Arial" w:eastAsia="Arial" w:hAnsi="Arial"/>
                <w:sz w:val="14"/>
                <w:szCs w:val="14"/>
                <w:color w:val="auto"/>
              </w:rPr>
              <w:t>Mortgage loans, net of allowance for credit losses of $35 at June 30, 2022</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2,794</w:t>
            </w:r>
          </w:p>
        </w:tc>
        <w:tc>
          <w:tcPr>
            <w:tcW w:w="0" w:type="dxa"/>
            <w:vAlign w:val="bottom"/>
          </w:tcPr>
          <w:p>
            <w:pPr>
              <w:spacing w:after="0"/>
              <w:rPr>
                <w:sz w:val="1"/>
                <w:szCs w:val="1"/>
                <w:color w:val="auto"/>
              </w:rPr>
            </w:pPr>
          </w:p>
        </w:tc>
      </w:tr>
      <w:tr>
        <w:trPr>
          <w:trHeight w:val="192"/>
        </w:trPr>
        <w:tc>
          <w:tcPr>
            <w:tcW w:w="6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Investments in unconsolidated affiliates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186"/>
        </w:trPr>
        <w:tc>
          <w:tcPr>
            <w:tcW w:w="6600" w:type="dxa"/>
            <w:vAlign w:val="bottom"/>
          </w:tcPr>
          <w:p>
            <w:pPr>
              <w:ind w:left="140"/>
              <w:spacing w:after="0"/>
              <w:rPr>
                <w:sz w:val="20"/>
                <w:szCs w:val="20"/>
                <w:color w:val="auto"/>
              </w:rPr>
            </w:pPr>
            <w:r>
              <w:rPr>
                <w:rFonts w:ascii="Arial" w:cs="Arial" w:eastAsia="Arial" w:hAnsi="Arial"/>
                <w:sz w:val="14"/>
                <w:szCs w:val="14"/>
                <w:color w:val="auto"/>
              </w:rPr>
              <w:t>Other long-term investments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92"/>
        </w:trPr>
        <w:tc>
          <w:tcPr>
            <w:tcW w:w="6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Short-term investments</w:t>
            </w: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79"/>
        </w:trPr>
        <w:tc>
          <w:tcPr>
            <w:tcW w:w="66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investments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37,957</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38,848</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38,910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36,375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34,630</w:t>
            </w:r>
          </w:p>
        </w:tc>
        <w:tc>
          <w:tcPr>
            <w:tcW w:w="0" w:type="dxa"/>
            <w:vAlign w:val="bottom"/>
          </w:tcPr>
          <w:p>
            <w:pPr>
              <w:spacing w:after="0"/>
              <w:rPr>
                <w:sz w:val="1"/>
                <w:szCs w:val="1"/>
                <w:color w:val="auto"/>
              </w:rPr>
            </w:pPr>
          </w:p>
        </w:tc>
      </w:tr>
      <w:tr>
        <w:trPr>
          <w:trHeight w:val="186"/>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Trade and notes receivables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Reinsurance recoverable, net of allowance for credit losses of $19 at June 30, 2022 (a)</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3,297</w:t>
            </w:r>
          </w:p>
        </w:tc>
        <w:tc>
          <w:tcPr>
            <w:tcW w:w="0" w:type="dxa"/>
            <w:vAlign w:val="bottom"/>
          </w:tcPr>
          <w:p>
            <w:pPr>
              <w:spacing w:after="0"/>
              <w:rPr>
                <w:sz w:val="1"/>
                <w:szCs w:val="1"/>
                <w:color w:val="auto"/>
              </w:rPr>
            </w:pP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Goodwill (a)</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1,756</w:t>
            </w:r>
          </w:p>
        </w:tc>
        <w:tc>
          <w:tcPr>
            <w:tcW w:w="0" w:type="dxa"/>
            <w:vAlign w:val="bottom"/>
          </w:tcPr>
          <w:p>
            <w:pPr>
              <w:spacing w:after="0"/>
              <w:rPr>
                <w:sz w:val="1"/>
                <w:szCs w:val="1"/>
                <w:color w:val="auto"/>
              </w:rPr>
            </w:pPr>
          </w:p>
        </w:tc>
      </w:tr>
      <w:tr>
        <w:trPr>
          <w:trHeight w:val="19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Lease assets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 net (a)</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0" w:type="dxa"/>
            <w:vAlign w:val="bottom"/>
          </w:tcPr>
          <w:p>
            <w:pPr>
              <w:spacing w:after="0"/>
              <w:rPr>
                <w:sz w:val="1"/>
                <w:szCs w:val="1"/>
                <w:color w:val="auto"/>
              </w:rPr>
            </w:pP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Deferred tax asset (a)</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6"/>
        </w:trPr>
        <w:tc>
          <w:tcPr>
            <w:tcW w:w="66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49,111</w:t>
            </w: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43,257</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right="320" w:firstLine="6"/>
        <w:spacing w:after="0" w:line="335" w:lineRule="auto"/>
        <w:tabs>
          <w:tab w:leader="none" w:pos="216"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These line items included adjustments that were recorded during the remeasurement period subsequent to the June 1, 2020 acquisition. The following adjustments were recorded as of the opening balance sheet at June 1, 2020 during the quarter ending June 30, 2021: Reinsurance recoverable, ($289), Goodwill, $5, Other intangible assets, net, $61, and Deferred tax asset,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-240665</wp:posOffset>
            </wp:positionV>
            <wp:extent cx="29400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351" w:lineRule="exact"/>
        <w:rPr>
          <w:sz w:val="20"/>
          <w:szCs w:val="20"/>
          <w:color w:val="auto"/>
        </w:rPr>
      </w:pPr>
    </w:p>
    <w:p>
      <w:pPr>
        <w:ind w:left="3740"/>
        <w:spacing w:after="0"/>
        <w:rPr>
          <w:sz w:val="20"/>
          <w:szCs w:val="20"/>
          <w:color w:val="auto"/>
        </w:rPr>
      </w:pPr>
      <w:r>
        <w:rPr>
          <w:rFonts w:ascii="Arial" w:cs="Arial" w:eastAsia="Arial" w:hAnsi="Arial"/>
          <w:sz w:val="20"/>
          <w:szCs w:val="20"/>
          <w:b w:val="1"/>
          <w:bCs w:val="1"/>
          <w:u w:val="single" w:color="auto"/>
          <w:color w:val="auto"/>
        </w:rPr>
        <w:t>Condensed Consolidated Balance Sheets (continued)</w:t>
      </w:r>
    </w:p>
    <w:tbl>
      <w:tblPr>
        <w:tblLayout w:type="fixed"/>
        <w:tblInd w:w="0" w:type="dxa"/>
        <w:tblCellMar>
          <w:top w:w="0" w:type="dxa"/>
          <w:left w:w="0" w:type="dxa"/>
          <w:bottom w:w="0" w:type="dxa"/>
          <w:right w:w="0" w:type="dxa"/>
        </w:tblCellMar>
      </w:tblPr>
      <w:tr>
        <w:trPr>
          <w:trHeight w:val="157"/>
        </w:trPr>
        <w:tc>
          <w:tcPr>
            <w:tcW w:w="6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840" w:type="dxa"/>
            <w:vAlign w:val="bottom"/>
          </w:tcPr>
          <w:p>
            <w:pPr>
              <w:jc w:val="right"/>
              <w:ind w:right="108"/>
              <w:spacing w:after="0" w:line="157" w:lineRule="exact"/>
              <w:rPr>
                <w:sz w:val="20"/>
                <w:szCs w:val="20"/>
                <w:color w:val="auto"/>
              </w:rPr>
            </w:pPr>
            <w:r>
              <w:rPr>
                <w:rFonts w:ascii="Arial" w:cs="Arial" w:eastAsia="Arial" w:hAnsi="Arial"/>
                <w:sz w:val="14"/>
                <w:szCs w:val="14"/>
                <w:b w:val="1"/>
                <w:bCs w:val="1"/>
                <w:color w:val="auto"/>
                <w:w w:val="99"/>
              </w:rPr>
              <w:t>March 31,</w:t>
            </w:r>
          </w:p>
        </w:tc>
        <w:tc>
          <w:tcPr>
            <w:tcW w:w="104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88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September</w:t>
            </w:r>
          </w:p>
        </w:tc>
        <w:tc>
          <w:tcPr>
            <w:tcW w:w="100" w:type="dxa"/>
            <w:vAlign w:val="bottom"/>
          </w:tcPr>
          <w:p>
            <w:pPr>
              <w:spacing w:after="0"/>
              <w:rPr>
                <w:sz w:val="13"/>
                <w:szCs w:val="13"/>
                <w:color w:val="auto"/>
              </w:rPr>
            </w:pPr>
          </w:p>
        </w:tc>
        <w:tc>
          <w:tcPr>
            <w:tcW w:w="6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2"/>
              </w:rPr>
              <w:t>June 30,</w:t>
            </w:r>
          </w:p>
        </w:tc>
      </w:tr>
      <w:tr>
        <w:trPr>
          <w:trHeight w:val="186"/>
        </w:trPr>
        <w:tc>
          <w:tcPr>
            <w:tcW w:w="6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30, 2021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r>
      <w:tr>
        <w:trPr>
          <w:trHeight w:val="169"/>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Contractholder funds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37,707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36,237</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32,166</w:t>
            </w: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Future policy benefits (b)</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5,217</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3,670</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liabilities (b)</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1,536</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Income taxes payable</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2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Notes payable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975</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589</w:t>
            </w:r>
          </w:p>
        </w:tc>
      </w:tr>
      <w:tr>
        <w:trPr>
          <w:trHeight w:val="195"/>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Funds withheld for reinsurance liabilities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1,852</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w:t>
            </w:r>
          </w:p>
        </w:tc>
      </w:tr>
      <w:tr>
        <w:trPr>
          <w:trHeight w:val="186"/>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Lease liabilities</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83"/>
        </w:trPr>
        <w:tc>
          <w:tcPr>
            <w:tcW w:w="660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47,132</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45,831</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44,245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42,156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39,003</w:t>
            </w:r>
          </w:p>
        </w:tc>
      </w:tr>
      <w:tr>
        <w:trPr>
          <w:trHeight w:val="145"/>
        </w:trPr>
        <w:tc>
          <w:tcPr>
            <w:tcW w:w="6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89"/>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6"/>
        </w:trPr>
        <w:tc>
          <w:tcPr>
            <w:tcW w:w="6600" w:type="dxa"/>
            <w:vAlign w:val="bottom"/>
          </w:tcPr>
          <w:p>
            <w:pPr>
              <w:ind w:left="220"/>
              <w:spacing w:after="0"/>
              <w:rPr>
                <w:sz w:val="20"/>
                <w:szCs w:val="20"/>
                <w:color w:val="auto"/>
              </w:rPr>
            </w:pPr>
            <w:r>
              <w:rPr>
                <w:rFonts w:ascii="Arial" w:cs="Arial" w:eastAsia="Arial" w:hAnsi="Arial"/>
                <w:sz w:val="14"/>
                <w:szCs w:val="14"/>
                <w:color w:val="auto"/>
              </w:rPr>
              <w:t>Additional paid-in-capital</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2,753</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2,746</w:t>
            </w:r>
          </w:p>
        </w:tc>
      </w:tr>
      <w:tr>
        <w:trPr>
          <w:trHeight w:val="19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Retained earnings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r>
      <w:tr>
        <w:trPr>
          <w:trHeight w:val="186"/>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Accumulated other comprehensive (loss) income ("AOCI")</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w:t>
            </w:r>
          </w:p>
        </w:tc>
      </w:tr>
      <w:tr>
        <w:trPr>
          <w:trHeight w:val="183"/>
        </w:trPr>
        <w:tc>
          <w:tcPr>
            <w:tcW w:w="6600" w:type="dxa"/>
            <w:vAlign w:val="bottom"/>
            <w:shd w:val="clear" w:color="auto" w:fill="CCEEFF"/>
          </w:tcPr>
          <w:p>
            <w:pPr>
              <w:ind w:left="480"/>
              <w:spacing w:after="0"/>
              <w:rPr>
                <w:sz w:val="20"/>
                <w:szCs w:val="20"/>
                <w:color w:val="auto"/>
              </w:rPr>
            </w:pPr>
            <w:r>
              <w:rPr>
                <w:rFonts w:ascii="Arial" w:cs="Arial" w:eastAsia="Arial" w:hAnsi="Arial"/>
                <w:sz w:val="14"/>
                <w:szCs w:val="14"/>
                <w:b w:val="1"/>
                <w:bCs w:val="1"/>
                <w:color w:val="auto"/>
              </w:rPr>
              <w:t>Total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3,280</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4,254</w:t>
            </w:r>
          </w:p>
        </w:tc>
      </w:tr>
      <w:tr>
        <w:trPr>
          <w:trHeight w:val="186"/>
        </w:trPr>
        <w:tc>
          <w:tcPr>
            <w:tcW w:w="6600" w:type="dxa"/>
            <w:vAlign w:val="bottom"/>
          </w:tcPr>
          <w:p>
            <w:pPr>
              <w:ind w:left="480"/>
              <w:spacing w:after="0"/>
              <w:rPr>
                <w:sz w:val="20"/>
                <w:szCs w:val="20"/>
                <w:color w:val="auto"/>
              </w:rPr>
            </w:pPr>
            <w:r>
              <w:rPr>
                <w:rFonts w:ascii="Arial" w:cs="Arial" w:eastAsia="Arial" w:hAnsi="Arial"/>
                <w:sz w:val="14"/>
                <w:szCs w:val="14"/>
                <w:b w:val="1"/>
                <w:bCs w:val="1"/>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49,626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49,111</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48,730</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46,723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43,257</w:t>
            </w:r>
          </w:p>
        </w:tc>
      </w:tr>
      <w:tr>
        <w:trPr>
          <w:trHeight w:val="21"/>
        </w:trPr>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320" w:firstLine="8"/>
        <w:spacing w:after="0" w:line="269" w:lineRule="auto"/>
        <w:tabs>
          <w:tab w:leader="none" w:pos="204"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These line items included adjustments that were recorded during the remeasurement period subsequent to the June 1, 2020 acquisition. The following adjustments were recorded as of the opening balance sheet at June 1, 2020 during the quarter ending June 30, 2021: Future policy benefits, ($228), and Accounts payable and accrued liabilities,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Reconciliation of Total Shareholders' Equity to Total Shareholders' Equity Excluding AOCI</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June 30,</w:t>
            </w:r>
          </w:p>
        </w:tc>
      </w:tr>
      <w:tr>
        <w:trPr>
          <w:trHeight w:val="188"/>
        </w:trPr>
        <w:tc>
          <w:tcPr>
            <w:tcW w:w="64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r>
      <w:tr>
        <w:trPr>
          <w:trHeight w:val="184"/>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w w:val="91"/>
              </w:rPr>
              <w:t>2,494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4,254</w:t>
            </w:r>
          </w:p>
        </w:tc>
      </w:tr>
      <w:tr>
        <w:trPr>
          <w:trHeight w:val="18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AOCI</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4"/>
              </w:rPr>
              <w:t>(2,130)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w:t>
            </w:r>
          </w:p>
        </w:tc>
      </w:tr>
      <w:tr>
        <w:trPr>
          <w:trHeight w:val="211"/>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shareholders' equity excluding AOCI (c)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center"/>
              <w:ind w:left="148"/>
              <w:spacing w:after="0"/>
              <w:rPr>
                <w:sz w:val="20"/>
                <w:szCs w:val="20"/>
                <w:color w:val="auto"/>
              </w:rPr>
            </w:pPr>
            <w:r>
              <w:rPr>
                <w:rFonts w:ascii="Arial" w:cs="Arial" w:eastAsia="Arial" w:hAnsi="Arial"/>
                <w:sz w:val="14"/>
                <w:szCs w:val="14"/>
                <w:color w:val="auto"/>
                <w:w w:val="91"/>
              </w:rPr>
              <w:t>4,624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 Refer to "Non-GAAP Financial Measures 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Statements of Earnings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7"/>
              </w:rPr>
              <w:t>Three months ended</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8"/>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104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700" w:type="dxa"/>
            <w:vAlign w:val="bottom"/>
          </w:tcPr>
          <w:p>
            <w:pPr>
              <w:jc w:val="right"/>
              <w:ind w:right="88"/>
              <w:spacing w:after="0" w:line="12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620" w:type="dxa"/>
            <w:vAlign w:val="bottom"/>
          </w:tcPr>
          <w:p>
            <w:pPr>
              <w:jc w:val="right"/>
              <w:ind w:right="28"/>
              <w:spacing w:after="0" w:line="12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9"/>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Life insurance premiums and other fees (a)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6"/>
        </w:trPr>
        <w:tc>
          <w:tcPr>
            <w:tcW w:w="4820" w:type="dxa"/>
            <w:vAlign w:val="bottom"/>
          </w:tcPr>
          <w:p>
            <w:pPr>
              <w:ind w:left="220"/>
              <w:spacing w:after="0"/>
              <w:rPr>
                <w:sz w:val="20"/>
                <w:szCs w:val="20"/>
                <w:color w:val="auto"/>
              </w:rPr>
            </w:pPr>
            <w:r>
              <w:rPr>
                <w:rFonts w:ascii="Arial" w:cs="Arial" w:eastAsia="Arial" w:hAnsi="Arial"/>
                <w:sz w:val="14"/>
                <w:szCs w:val="14"/>
                <w:color w:val="auto"/>
              </w:rPr>
              <w:t>Interest and investment income</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487</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Recognized gains and losses, net</w:t>
            </w: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79"/>
        </w:trPr>
        <w:tc>
          <w:tcPr>
            <w:tcW w:w="48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802</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w:t>
            </w:r>
          </w:p>
        </w:tc>
        <w:tc>
          <w:tcPr>
            <w:tcW w:w="0" w:type="dxa"/>
            <w:vAlign w:val="bottom"/>
          </w:tcPr>
          <w:p>
            <w:pPr>
              <w:spacing w:after="0"/>
              <w:rPr>
                <w:sz w:val="1"/>
                <w:szCs w:val="1"/>
                <w:color w:val="auto"/>
              </w:rPr>
            </w:pPr>
          </w:p>
        </w:tc>
      </w:tr>
      <w:tr>
        <w:trPr>
          <w:trHeight w:val="17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Benefits and expenses: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20" w:type="dxa"/>
            <w:vAlign w:val="bottom"/>
          </w:tcPr>
          <w:p>
            <w:pPr>
              <w:ind w:left="220"/>
              <w:spacing w:after="0"/>
              <w:rPr>
                <w:sz w:val="20"/>
                <w:szCs w:val="20"/>
                <w:color w:val="auto"/>
              </w:rPr>
            </w:pPr>
            <w:r>
              <w:rPr>
                <w:rFonts w:ascii="Arial" w:cs="Arial" w:eastAsia="Arial" w:hAnsi="Arial"/>
                <w:sz w:val="14"/>
                <w:szCs w:val="14"/>
                <w:color w:val="auto"/>
              </w:rPr>
              <w:t>Benefits and other changes in policy reserves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575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Personnel costs</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6"/>
        </w:trPr>
        <w:tc>
          <w:tcPr>
            <w:tcW w:w="4820" w:type="dxa"/>
            <w:vAlign w:val="bottom"/>
          </w:tcPr>
          <w:p>
            <w:pPr>
              <w:ind w:left="220"/>
              <w:spacing w:after="0"/>
              <w:rPr>
                <w:sz w:val="20"/>
                <w:szCs w:val="20"/>
                <w:color w:val="auto"/>
              </w:rPr>
            </w:pPr>
            <w:r>
              <w:rPr>
                <w:rFonts w:ascii="Arial" w:cs="Arial" w:eastAsia="Arial" w:hAnsi="Arial"/>
                <w:sz w:val="14"/>
                <w:szCs w:val="14"/>
                <w:color w:val="auto"/>
              </w:rPr>
              <w:t>Other operating expenses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86"/>
        </w:trPr>
        <w:tc>
          <w:tcPr>
            <w:tcW w:w="48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6"/>
        </w:trPr>
        <w:tc>
          <w:tcPr>
            <w:tcW w:w="48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benefits and expenses</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705</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Pre-tax earnings</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86"/>
        </w:trPr>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Income tax expense</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6"/>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from continuing operations</w:t>
            </w: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79"/>
        </w:trPr>
        <w:tc>
          <w:tcPr>
            <w:tcW w:w="48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(Loss) earnings from discontinued operations, net of tax</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1"/>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attributable to common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(a) Included within "Escrow, title-related and other fees" in FNF 10-K/ 10-Q.</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4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Reconciliation from Net Earnings to Adjusted Net Earnings (a)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7"/>
              </w:rPr>
              <w:t>Three months ended</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Six months ended</w:t>
            </w:r>
          </w:p>
        </w:tc>
      </w:tr>
      <w:tr>
        <w:trPr>
          <w:trHeight w:val="128"/>
        </w:trPr>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1"/>
                <w:szCs w:val="11"/>
                <w:color w:val="auto"/>
              </w:rPr>
            </w:pPr>
          </w:p>
        </w:tc>
        <w:tc>
          <w:tcPr>
            <w:tcW w:w="660" w:type="dxa"/>
            <w:vAlign w:val="bottom"/>
          </w:tcPr>
          <w:p>
            <w:pPr>
              <w:jc w:val="right"/>
              <w:ind w:right="68"/>
              <w:spacing w:after="0" w:line="12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66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w w:val="92"/>
              </w:rPr>
              <w:t>June 30,</w:t>
            </w:r>
          </w:p>
        </w:tc>
      </w:tr>
      <w:tr>
        <w:trPr>
          <w:trHeight w:val="188"/>
        </w:trPr>
        <w:tc>
          <w:tcPr>
            <w:tcW w:w="47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r>
      <w:tr>
        <w:trPr>
          <w:trHeight w:val="184"/>
        </w:trPr>
        <w:tc>
          <w:tcPr>
            <w:tcW w:w="4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r>
      <w:tr>
        <w:trPr>
          <w:trHeight w:val="188"/>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Non-GAAP adjustments (a):</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0"/>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Recognized (gains) and losses, net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186"/>
        </w:trPr>
        <w:tc>
          <w:tcPr>
            <w:tcW w:w="4760" w:type="dxa"/>
            <w:vAlign w:val="bottom"/>
          </w:tcPr>
          <w:p>
            <w:pPr>
              <w:ind w:left="20"/>
              <w:spacing w:after="0"/>
              <w:rPr>
                <w:sz w:val="20"/>
                <w:szCs w:val="20"/>
                <w:color w:val="auto"/>
              </w:rPr>
            </w:pPr>
            <w:r>
              <w:rPr>
                <w:rFonts w:ascii="Arial" w:cs="Arial" w:eastAsia="Arial" w:hAnsi="Arial"/>
                <w:sz w:val="14"/>
                <w:szCs w:val="14"/>
                <w:color w:val="auto"/>
              </w:rPr>
              <w:t>Indexed product related derivatives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19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price amortization</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6"/>
        </w:trPr>
        <w:tc>
          <w:tcPr>
            <w:tcW w:w="476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92"/>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non-recurring items (b)</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taxes on non-GAAP adjustments</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r>
      <w:tr>
        <w:trPr>
          <w:trHeight w:val="21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earnings (a)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Notable Items</w:t>
      </w:r>
    </w:p>
    <w:p>
      <w:pPr>
        <w:spacing w:after="0" w:line="21"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Each quarterly reporting period, we identify notable items that help explain the trends in our Adjusted net earnings as we believe these items provide further clarity to the financial performance of the business.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Six months ended</w:t>
            </w:r>
          </w:p>
        </w:tc>
      </w:tr>
      <w:tr>
        <w:trPr>
          <w:trHeight w:val="128"/>
        </w:trPr>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100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c>
          <w:tcPr>
            <w:tcW w:w="66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66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w w:val="92"/>
              </w:rPr>
              <w:t>June 30,</w:t>
            </w:r>
          </w:p>
        </w:tc>
      </w:tr>
      <w:tr>
        <w:trPr>
          <w:trHeight w:val="188"/>
        </w:trPr>
        <w:tc>
          <w:tcPr>
            <w:tcW w:w="48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r>
      <w:tr>
        <w:trPr>
          <w:trHeight w:val="184"/>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Adjusted net earnings (a)</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188"/>
        </w:trPr>
        <w:tc>
          <w:tcPr>
            <w:tcW w:w="4820" w:type="dxa"/>
            <w:vAlign w:val="bottom"/>
          </w:tcPr>
          <w:p>
            <w:pPr>
              <w:ind w:left="220"/>
              <w:spacing w:after="0"/>
              <w:rPr>
                <w:sz w:val="20"/>
                <w:szCs w:val="20"/>
                <w:color w:val="auto"/>
              </w:rPr>
            </w:pPr>
            <w:r>
              <w:rPr>
                <w:rFonts w:ascii="Arial" w:cs="Arial" w:eastAsia="Arial" w:hAnsi="Arial"/>
                <w:sz w:val="14"/>
                <w:szCs w:val="14"/>
                <w:b w:val="1"/>
                <w:bCs w:val="1"/>
                <w:color w:val="auto"/>
              </w:rPr>
              <w:t>Notable items [(unfavorable)/favorable]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0"/>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Benefits and other changes in policy reserves (c)</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6"/>
        </w:trPr>
        <w:tc>
          <w:tcPr>
            <w:tcW w:w="4820" w:type="dxa"/>
            <w:vAlign w:val="bottom"/>
          </w:tcPr>
          <w:p>
            <w:pPr>
              <w:ind w:left="220"/>
              <w:spacing w:after="0"/>
              <w:rPr>
                <w:sz w:val="20"/>
                <w:szCs w:val="20"/>
                <w:color w:val="auto"/>
              </w:rPr>
            </w:pPr>
            <w:r>
              <w:rPr>
                <w:rFonts w:ascii="Arial" w:cs="Arial" w:eastAsia="Arial" w:hAnsi="Arial"/>
                <w:sz w:val="14"/>
                <w:szCs w:val="14"/>
                <w:color w:val="auto"/>
              </w:rPr>
              <w:t>Assumption review and unlocking (d)</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notable items (e)</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bl>
    <w:p>
      <w:pPr>
        <w:spacing w:after="0" w:line="319"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"Non-GAAP Financial Measures Definitions."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adjustments to benefits and other changes in policy reserves and depreciation and amortization resulting from the implementation of a new actuarial valuation system.</w:t>
      </w:r>
    </w:p>
    <w:p>
      <w:pPr>
        <w:spacing w:after="0" w:line="1" w:lineRule="exact"/>
        <w:rPr>
          <w:rFonts w:ascii="Arial" w:cs="Arial" w:eastAsia="Arial" w:hAnsi="Arial"/>
          <w:sz w:val="14"/>
          <w:szCs w:val="14"/>
          <w:color w:val="auto"/>
        </w:rPr>
      </w:pPr>
    </w:p>
    <w:p>
      <w:pPr>
        <w:ind w:firstLine="8"/>
        <w:spacing w:after="0" w:line="241" w:lineRule="auto"/>
        <w:tabs>
          <w:tab w:leader="none" w:pos="2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the after tax impact to adjusted net earnings for certain actuarial adjustments to benefits and other changes in policy reserves related to timing, volume and magnitude of experience, excluding assumption review and unlocking.</w:t>
      </w: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unlocking from updating our SOP 03-1 reserves, DAC, VOBA, DSI and cost of reinsurance amortization models for actual experience and equity market fluctuations.</w:t>
      </w:r>
    </w:p>
    <w:p>
      <w:pPr>
        <w:spacing w:after="0" w:line="1" w:lineRule="exact"/>
        <w:rPr>
          <w:rFonts w:ascii="Arial" w:cs="Arial" w:eastAsia="Arial" w:hAnsi="Arial"/>
          <w:sz w:val="14"/>
          <w:szCs w:val="14"/>
          <w:color w:val="auto"/>
        </w:rPr>
      </w:pPr>
    </w:p>
    <w:p>
      <w:pPr>
        <w:ind w:firstLine="8"/>
        <w:spacing w:after="0" w:line="255" w:lineRule="auto"/>
        <w:tabs>
          <w:tab w:leader="none" w:pos="197"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incurred during research and exploration of potential merger or acquisition of a business or a group of insurance policies via asset acquisition or (inforce) reinsurance agreement, income from bond prepayment and CLO redemptions, changes in tax valuation and other net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Adjusted Net Earnings Statement (a)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7"/>
              </w:rPr>
              <w:t>Three months ended</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Six months ended</w:t>
            </w:r>
          </w:p>
        </w:tc>
      </w:tr>
      <w:tr>
        <w:trPr>
          <w:trHeight w:val="128"/>
        </w:trPr>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c>
          <w:tcPr>
            <w:tcW w:w="66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680" w:type="dxa"/>
            <w:vAlign w:val="bottom"/>
          </w:tcPr>
          <w:p>
            <w:pPr>
              <w:jc w:val="right"/>
              <w:ind w:right="68"/>
              <w:spacing w:after="0" w:line="129" w:lineRule="exact"/>
              <w:rPr>
                <w:sz w:val="20"/>
                <w:szCs w:val="20"/>
                <w:color w:val="auto"/>
              </w:rPr>
            </w:pPr>
            <w:r>
              <w:rPr>
                <w:rFonts w:ascii="Arial" w:cs="Arial" w:eastAsia="Arial" w:hAnsi="Arial"/>
                <w:sz w:val="14"/>
                <w:szCs w:val="14"/>
                <w:b w:val="1"/>
                <w:bCs w:val="1"/>
                <w:color w:val="auto"/>
                <w:w w:val="92"/>
              </w:rPr>
              <w:t>June 30,</w:t>
            </w:r>
          </w:p>
        </w:tc>
      </w:tr>
      <w:tr>
        <w:trPr>
          <w:trHeight w:val="188"/>
        </w:trPr>
        <w:tc>
          <w:tcPr>
            <w:tcW w:w="48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r>
      <w:tr>
        <w:trPr>
          <w:trHeight w:val="17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86"/>
        </w:trPr>
        <w:tc>
          <w:tcPr>
            <w:tcW w:w="4840" w:type="dxa"/>
            <w:vAlign w:val="bottom"/>
          </w:tcPr>
          <w:p>
            <w:pPr>
              <w:ind w:left="440"/>
              <w:spacing w:after="0"/>
              <w:rPr>
                <w:sz w:val="20"/>
                <w:szCs w:val="20"/>
                <w:color w:val="auto"/>
              </w:rPr>
            </w:pPr>
            <w:r>
              <w:rPr>
                <w:rFonts w:ascii="Arial" w:cs="Arial" w:eastAsia="Arial" w:hAnsi="Arial"/>
                <w:sz w:val="14"/>
                <w:szCs w:val="14"/>
                <w:color w:val="auto"/>
              </w:rPr>
              <w:t>Life insurance premiums and other fees (b) (i)</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593</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840</w:t>
            </w:r>
          </w:p>
        </w:tc>
        <w:tc>
          <w:tcPr>
            <w:tcW w:w="8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682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192"/>
        </w:trPr>
        <w:tc>
          <w:tcPr>
            <w:tcW w:w="48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Interest and investment income (c)</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r>
      <w:tr>
        <w:trPr>
          <w:trHeight w:val="186"/>
        </w:trPr>
        <w:tc>
          <w:tcPr>
            <w:tcW w:w="4840" w:type="dxa"/>
            <w:vAlign w:val="bottom"/>
          </w:tcPr>
          <w:p>
            <w:pPr>
              <w:ind w:left="440"/>
              <w:spacing w:after="0"/>
              <w:rPr>
                <w:sz w:val="20"/>
                <w:szCs w:val="20"/>
                <w:color w:val="auto"/>
              </w:rPr>
            </w:pPr>
            <w:r>
              <w:rPr>
                <w:rFonts w:ascii="Arial" w:cs="Arial" w:eastAsia="Arial" w:hAnsi="Arial"/>
                <w:sz w:val="14"/>
                <w:szCs w:val="14"/>
                <w:color w:val="auto"/>
              </w:rPr>
              <w:t>Recognized gains and losses, net (d)</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48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Total revenues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w:t>
            </w:r>
          </w:p>
        </w:tc>
      </w:tr>
      <w:tr>
        <w:trPr>
          <w:trHeight w:val="168"/>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Benefits and expenses: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0"/>
        </w:trPr>
        <w:tc>
          <w:tcPr>
            <w:tcW w:w="48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Benefits and other changes in policy reserves (e) (i)</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r>
      <w:tr>
        <w:trPr>
          <w:trHeight w:val="186"/>
        </w:trPr>
        <w:tc>
          <w:tcPr>
            <w:tcW w:w="4840" w:type="dxa"/>
            <w:vAlign w:val="bottom"/>
          </w:tcPr>
          <w:p>
            <w:pPr>
              <w:ind w:left="440"/>
              <w:spacing w:after="0"/>
              <w:rPr>
                <w:sz w:val="20"/>
                <w:szCs w:val="20"/>
                <w:color w:val="auto"/>
              </w:rPr>
            </w:pPr>
            <w:r>
              <w:rPr>
                <w:rFonts w:ascii="Arial" w:cs="Arial" w:eastAsia="Arial" w:hAnsi="Arial"/>
                <w:sz w:val="14"/>
                <w:szCs w:val="14"/>
                <w:color w:val="auto"/>
              </w:rPr>
              <w:t>Personnel costs</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92"/>
        </w:trPr>
        <w:tc>
          <w:tcPr>
            <w:tcW w:w="48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 operating expenses (f)</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86"/>
        </w:trPr>
        <w:tc>
          <w:tcPr>
            <w:tcW w:w="4840" w:type="dxa"/>
            <w:vAlign w:val="bottom"/>
          </w:tcPr>
          <w:p>
            <w:pPr>
              <w:ind w:left="440"/>
              <w:spacing w:after="0"/>
              <w:rPr>
                <w:sz w:val="20"/>
                <w:szCs w:val="20"/>
                <w:color w:val="auto"/>
              </w:rPr>
            </w:pPr>
            <w:r>
              <w:rPr>
                <w:rFonts w:ascii="Arial" w:cs="Arial" w:eastAsia="Arial" w:hAnsi="Arial"/>
                <w:sz w:val="14"/>
                <w:szCs w:val="14"/>
                <w:color w:val="auto"/>
              </w:rPr>
              <w:t>Depreciation and amortization (g)</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92"/>
        </w:trPr>
        <w:tc>
          <w:tcPr>
            <w:tcW w:w="48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79"/>
        </w:trPr>
        <w:tc>
          <w:tcPr>
            <w:tcW w:w="4840" w:type="dxa"/>
            <w:vAlign w:val="bottom"/>
          </w:tcPr>
          <w:p>
            <w:pPr>
              <w:ind w:left="800"/>
              <w:spacing w:after="0"/>
              <w:rPr>
                <w:sz w:val="20"/>
                <w:szCs w:val="20"/>
                <w:color w:val="auto"/>
              </w:rPr>
            </w:pPr>
            <w:r>
              <w:rPr>
                <w:rFonts w:ascii="Arial" w:cs="Arial" w:eastAsia="Arial" w:hAnsi="Arial"/>
                <w:sz w:val="14"/>
                <w:szCs w:val="14"/>
                <w:color w:val="auto"/>
              </w:rPr>
              <w:t>Total benefits and expenses</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622</w:t>
            </w:r>
          </w:p>
        </w:tc>
      </w:tr>
      <w:tr>
        <w:trPr>
          <w:trHeight w:val="219"/>
        </w:trPr>
        <w:tc>
          <w:tcPr>
            <w:tcW w:w="4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86"/>
        </w:trPr>
        <w:tc>
          <w:tcPr>
            <w:tcW w:w="4840" w:type="dxa"/>
            <w:vAlign w:val="bottom"/>
          </w:tcPr>
          <w:p>
            <w:pPr>
              <w:ind w:left="40"/>
              <w:spacing w:after="0"/>
              <w:rPr>
                <w:sz w:val="20"/>
                <w:szCs w:val="20"/>
                <w:color w:val="auto"/>
              </w:rPr>
            </w:pPr>
            <w:r>
              <w:rPr>
                <w:rFonts w:ascii="Arial" w:cs="Arial" w:eastAsia="Arial" w:hAnsi="Arial"/>
                <w:sz w:val="14"/>
                <w:szCs w:val="14"/>
                <w:color w:val="auto"/>
              </w:rPr>
              <w:t>Pre-tax earnings</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192"/>
        </w:trPr>
        <w:tc>
          <w:tcPr>
            <w:tcW w:w="48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83"/>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Adjusted net earnings (a)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Notable items included in Adjusted net earnings (h)</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bl>
    <w:p>
      <w:pPr>
        <w:spacing w:after="0" w:line="319"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Refer to "Non-GAAP Financial Measures Definitions."</w:t>
      </w:r>
    </w:p>
    <w:p>
      <w:pPr>
        <w:spacing w:after="0" w:line="13" w:lineRule="exact"/>
        <w:rPr>
          <w:rFonts w:ascii="Arial" w:cs="Arial" w:eastAsia="Arial" w:hAnsi="Arial"/>
          <w:sz w:val="14"/>
          <w:szCs w:val="14"/>
          <w:color w:val="auto"/>
        </w:rPr>
      </w:pPr>
    </w:p>
    <w:p>
      <w:pPr>
        <w:ind w:right="340" w:firstLine="8"/>
        <w:spacing w:after="0" w:line="241" w:lineRule="auto"/>
        <w:tabs>
          <w:tab w:leader="none" w:pos="204" w:val="left"/>
        </w:tabs>
        <w:numPr>
          <w:ilvl w:val="0"/>
          <w:numId w:val="15"/>
        </w:numPr>
        <w:rPr>
          <w:rFonts w:ascii="Arial" w:cs="Arial" w:eastAsia="Arial" w:hAnsi="Arial"/>
          <w:sz w:val="14"/>
          <w:szCs w:val="14"/>
          <w:color w:val="auto"/>
        </w:rPr>
      </w:pPr>
      <w:r>
        <w:rPr>
          <w:rFonts w:ascii="Arial" w:cs="Arial" w:eastAsia="Arial" w:hAnsi="Arial"/>
          <w:sz w:val="14"/>
          <w:szCs w:val="14"/>
          <w:color w:val="auto"/>
        </w:rPr>
        <w:t>Life insurance premiums and other fees are included within "Escrow, title-related and other fees" in FNF 10-K/ 10-Q, and have been adjusted to remove primarily the impact of unearned revenue on the adjustments below.</w:t>
      </w:r>
    </w:p>
    <w:p>
      <w:pPr>
        <w:ind w:right="180" w:firstLine="8"/>
        <w:spacing w:after="0" w:line="241" w:lineRule="auto"/>
        <w:tabs>
          <w:tab w:leader="none" w:pos="1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Interest and investment income has been adjusted to remove the market volatility on the alternative investment portfolio that differ from management's expectation of returns over the life of these assets.</w:t>
      </w:r>
    </w:p>
    <w:p>
      <w:pPr>
        <w:ind w:right="20" w:firstLine="8"/>
        <w:spacing w:after="0" w:line="260" w:lineRule="auto"/>
        <w:tabs>
          <w:tab w:leader="none" w:pos="212"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Recognized gains and losses (net) have been adjusted to remove the effect of recognized (gains) losses including changes in allowance for expected credit losses and OTTI; changes in fair values of indexed product related derivatives and embedded derivatives, net of hedging costs; and the change in fair value of the reinsurance related embedded derivative.</w:t>
      </w:r>
    </w:p>
    <w:p>
      <w:pPr>
        <w:jc w:val="both"/>
        <w:ind w:firstLine="8"/>
        <w:spacing w:after="0" w:line="234" w:lineRule="auto"/>
        <w:tabs>
          <w:tab w:leader="none" w:pos="1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Benefits and other changes in policy reserves has been adjusted to remove the effects of the changes in fair values of indexed product embedded derivatives, changes in allowance for expected credit losses on reinsurance recoverables, the fair value impacts of assumed reinsurance, those resulting from the implementation of a new actuarial system at September 30, 2021, and changes in the SOP 03-1 reserve resulting from the adjustments above, as applicable.</w:t>
      </w:r>
    </w:p>
    <w:p>
      <w:pPr>
        <w:spacing w:after="0" w:line="1" w:lineRule="exact"/>
        <w:rPr>
          <w:rFonts w:ascii="Arial" w:cs="Arial" w:eastAsia="Arial" w:hAnsi="Arial"/>
          <w:sz w:val="14"/>
          <w:szCs w:val="14"/>
          <w:color w:val="auto"/>
        </w:rPr>
      </w:pPr>
    </w:p>
    <w:p>
      <w:pPr>
        <w:ind w:left="180" w:hanging="172"/>
        <w:spacing w:after="0" w:line="201" w:lineRule="auto"/>
        <w:tabs>
          <w:tab w:leader="none" w:pos="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operating expenses have been adjusted to remove the effects of transaction costs.</w:t>
      </w:r>
    </w:p>
    <w:p>
      <w:pPr>
        <w:ind w:right="40" w:firstLine="8"/>
        <w:spacing w:after="0" w:line="201" w:lineRule="auto"/>
        <w:tabs>
          <w:tab w:leader="none" w:pos="204"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Depreciation and amortization has been adjusted to remove the impact on DAC, VOBA, and DSI of the adjustments above, as applicable, purchase price amortization and those resulting from the implementation of a new actuarial valuation system at September 30, 2021.</w:t>
      </w:r>
    </w:p>
    <w:p>
      <w:pPr>
        <w:ind w:left="220" w:hanging="212"/>
        <w:spacing w:after="0" w:line="201" w:lineRule="auto"/>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Refer to page 7 "Notable Items" for further detail of notable items.</w:t>
      </w:r>
    </w:p>
    <w:p>
      <w:pPr>
        <w:ind w:left="180" w:hanging="172"/>
        <w:spacing w:after="0"/>
        <w:tabs>
          <w:tab w:leader="none" w:pos="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premiums from agreements related to our new PRT business beginning in the three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Financial Strength Ratings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A.M. Best</w:t>
            </w:r>
          </w:p>
        </w:tc>
        <w:tc>
          <w:tcPr>
            <w:tcW w:w="1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S&amp;P</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Fitch</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Moody's</w:t>
            </w: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Holding Company Ratings</w:t>
            </w:r>
          </w:p>
        </w:tc>
        <w:tc>
          <w:tcPr>
            <w:tcW w:w="1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F&amp;G Annuities &amp; Life, Inc.</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186"/>
        </w:trPr>
        <w:tc>
          <w:tcPr>
            <w:tcW w:w="3940" w:type="dxa"/>
            <w:vAlign w:val="bottom"/>
          </w:tcPr>
          <w:p>
            <w:pPr>
              <w:ind w:left="220"/>
              <w:spacing w:after="0"/>
              <w:rPr>
                <w:sz w:val="20"/>
                <w:szCs w:val="20"/>
                <w:color w:val="auto"/>
              </w:rPr>
            </w:pPr>
            <w:r>
              <w:rPr>
                <w:rFonts w:ascii="Arial" w:cs="Arial" w:eastAsia="Arial" w:hAnsi="Arial"/>
                <w:sz w:val="14"/>
                <w:szCs w:val="14"/>
                <w:color w:val="auto"/>
              </w:rPr>
              <w:t>Issuer Credit / Default Rating</w:t>
            </w:r>
          </w:p>
        </w:tc>
        <w:tc>
          <w:tcPr>
            <w:tcW w:w="184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Not Rated</w:t>
            </w:r>
          </w:p>
        </w:tc>
        <w:tc>
          <w:tcPr>
            <w:tcW w:w="1840" w:type="dxa"/>
            <w:vAlign w:val="bottom"/>
            <w:gridSpan w:val="2"/>
          </w:tcPr>
          <w:p>
            <w:pPr>
              <w:jc w:val="center"/>
              <w:ind w:right="60"/>
              <w:spacing w:after="0"/>
              <w:rPr>
                <w:sz w:val="20"/>
                <w:szCs w:val="20"/>
                <w:color w:val="auto"/>
              </w:rPr>
            </w:pPr>
            <w:r>
              <w:rPr>
                <w:rFonts w:ascii="Arial" w:cs="Arial" w:eastAsia="Arial" w:hAnsi="Arial"/>
                <w:sz w:val="14"/>
                <w:szCs w:val="14"/>
                <w:color w:val="auto"/>
              </w:rPr>
              <w:t>BBB-</w:t>
            </w:r>
          </w:p>
        </w:tc>
        <w:tc>
          <w:tcPr>
            <w:tcW w:w="1860" w:type="dxa"/>
            <w:vAlign w:val="bottom"/>
            <w:gridSpan w:val="2"/>
          </w:tcPr>
          <w:p>
            <w:pPr>
              <w:jc w:val="center"/>
              <w:ind w:right="80"/>
              <w:spacing w:after="0"/>
              <w:rPr>
                <w:sz w:val="20"/>
                <w:szCs w:val="20"/>
                <w:color w:val="auto"/>
              </w:rPr>
            </w:pPr>
            <w:r>
              <w:rPr>
                <w:rFonts w:ascii="Arial" w:cs="Arial" w:eastAsia="Arial" w:hAnsi="Arial"/>
                <w:sz w:val="14"/>
                <w:szCs w:val="14"/>
                <w:color w:val="auto"/>
              </w:rPr>
              <w:t>BBB</w:t>
            </w:r>
          </w:p>
        </w:tc>
        <w:tc>
          <w:tcPr>
            <w:tcW w:w="1760" w:type="dxa"/>
            <w:vAlign w:val="bottom"/>
          </w:tcPr>
          <w:p>
            <w:pPr>
              <w:jc w:val="center"/>
              <w:spacing w:after="0"/>
              <w:rPr>
                <w:sz w:val="20"/>
                <w:szCs w:val="20"/>
                <w:color w:val="auto"/>
              </w:rPr>
            </w:pPr>
            <w:r>
              <w:rPr>
                <w:rFonts w:ascii="Arial" w:cs="Arial" w:eastAsia="Arial" w:hAnsi="Arial"/>
                <w:sz w:val="14"/>
                <w:szCs w:val="14"/>
                <w:color w:val="auto"/>
                <w:w w:val="96"/>
              </w:rPr>
              <w:t>Ba2</w:t>
            </w:r>
          </w:p>
        </w:tc>
      </w:tr>
      <w:tr>
        <w:trPr>
          <w:trHeight w:val="192"/>
        </w:trPr>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Outlook</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Stable</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Stable</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Positive</w:t>
            </w: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CF Bermuda Holdings Limited</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2"/>
        </w:trPr>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Issuer Credit / Default Rating</w:t>
            </w:r>
          </w:p>
        </w:tc>
        <w:tc>
          <w:tcPr>
            <w:tcW w:w="184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Not Rated</w:t>
            </w:r>
          </w:p>
        </w:tc>
        <w:tc>
          <w:tcPr>
            <w:tcW w:w="184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BBB-</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BBB</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Ba1</w:t>
            </w:r>
          </w:p>
        </w:tc>
      </w:tr>
      <w:tr>
        <w:trPr>
          <w:trHeight w:val="186"/>
        </w:trPr>
        <w:tc>
          <w:tcPr>
            <w:tcW w:w="3940" w:type="dxa"/>
            <w:vAlign w:val="bottom"/>
          </w:tcPr>
          <w:p>
            <w:pPr>
              <w:ind w:left="220"/>
              <w:spacing w:after="0"/>
              <w:rPr>
                <w:sz w:val="20"/>
                <w:szCs w:val="20"/>
                <w:color w:val="auto"/>
              </w:rPr>
            </w:pPr>
            <w:r>
              <w:rPr>
                <w:rFonts w:ascii="Arial" w:cs="Arial" w:eastAsia="Arial" w:hAnsi="Arial"/>
                <w:sz w:val="14"/>
                <w:szCs w:val="14"/>
                <w:color w:val="auto"/>
              </w:rPr>
              <w:t>Outlook</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Stable</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Stable</w:t>
            </w:r>
          </w:p>
        </w:tc>
        <w:tc>
          <w:tcPr>
            <w:tcW w:w="1760" w:type="dxa"/>
            <w:vAlign w:val="bottom"/>
          </w:tcPr>
          <w:p>
            <w:pPr>
              <w:jc w:val="center"/>
              <w:spacing w:after="0"/>
              <w:rPr>
                <w:sz w:val="20"/>
                <w:szCs w:val="20"/>
                <w:color w:val="auto"/>
              </w:rPr>
            </w:pPr>
            <w:r>
              <w:rPr>
                <w:rFonts w:ascii="Arial" w:cs="Arial" w:eastAsia="Arial" w:hAnsi="Arial"/>
                <w:sz w:val="14"/>
                <w:szCs w:val="14"/>
                <w:color w:val="auto"/>
                <w:w w:val="93"/>
              </w:rPr>
              <w:t>Positive</w:t>
            </w:r>
          </w:p>
        </w:tc>
      </w:tr>
      <w:tr>
        <w:trPr>
          <w:trHeight w:val="192"/>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Fidelity &amp; Guaranty Life Holdings, Inc.</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186"/>
        </w:trPr>
        <w:tc>
          <w:tcPr>
            <w:tcW w:w="3940" w:type="dxa"/>
            <w:vAlign w:val="bottom"/>
          </w:tcPr>
          <w:p>
            <w:pPr>
              <w:ind w:left="220"/>
              <w:spacing w:after="0"/>
              <w:rPr>
                <w:sz w:val="20"/>
                <w:szCs w:val="20"/>
                <w:color w:val="auto"/>
              </w:rPr>
            </w:pPr>
            <w:r>
              <w:rPr>
                <w:rFonts w:ascii="Arial" w:cs="Arial" w:eastAsia="Arial" w:hAnsi="Arial"/>
                <w:sz w:val="14"/>
                <w:szCs w:val="14"/>
                <w:color w:val="auto"/>
              </w:rPr>
              <w:t>Issuer Credit / Default Rating</w:t>
            </w:r>
          </w:p>
        </w:tc>
        <w:tc>
          <w:tcPr>
            <w:tcW w:w="184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bbb-</w:t>
            </w:r>
          </w:p>
        </w:tc>
        <w:tc>
          <w:tcPr>
            <w:tcW w:w="1840" w:type="dxa"/>
            <w:vAlign w:val="bottom"/>
            <w:gridSpan w:val="2"/>
          </w:tcPr>
          <w:p>
            <w:pPr>
              <w:jc w:val="center"/>
              <w:ind w:right="60"/>
              <w:spacing w:after="0"/>
              <w:rPr>
                <w:sz w:val="20"/>
                <w:szCs w:val="20"/>
                <w:color w:val="auto"/>
              </w:rPr>
            </w:pPr>
            <w:r>
              <w:rPr>
                <w:rFonts w:ascii="Arial" w:cs="Arial" w:eastAsia="Arial" w:hAnsi="Arial"/>
                <w:sz w:val="14"/>
                <w:szCs w:val="14"/>
                <w:color w:val="auto"/>
              </w:rPr>
              <w:t>BBB-</w:t>
            </w:r>
          </w:p>
        </w:tc>
        <w:tc>
          <w:tcPr>
            <w:tcW w:w="1860" w:type="dxa"/>
            <w:vAlign w:val="bottom"/>
            <w:gridSpan w:val="2"/>
          </w:tcPr>
          <w:p>
            <w:pPr>
              <w:jc w:val="center"/>
              <w:ind w:right="80"/>
              <w:spacing w:after="0"/>
              <w:rPr>
                <w:sz w:val="20"/>
                <w:szCs w:val="20"/>
                <w:color w:val="auto"/>
              </w:rPr>
            </w:pPr>
            <w:r>
              <w:rPr>
                <w:rFonts w:ascii="Arial" w:cs="Arial" w:eastAsia="Arial" w:hAnsi="Arial"/>
                <w:sz w:val="14"/>
                <w:szCs w:val="14"/>
                <w:color w:val="auto"/>
              </w:rPr>
              <w:t>BBB</w:t>
            </w:r>
          </w:p>
        </w:tc>
        <w:tc>
          <w:tcPr>
            <w:tcW w:w="1760" w:type="dxa"/>
            <w:vAlign w:val="bottom"/>
          </w:tcPr>
          <w:p>
            <w:pPr>
              <w:jc w:val="center"/>
              <w:spacing w:after="0"/>
              <w:rPr>
                <w:sz w:val="20"/>
                <w:szCs w:val="20"/>
                <w:color w:val="auto"/>
              </w:rPr>
            </w:pPr>
            <w:r>
              <w:rPr>
                <w:rFonts w:ascii="Arial" w:cs="Arial" w:eastAsia="Arial" w:hAnsi="Arial"/>
                <w:sz w:val="14"/>
                <w:szCs w:val="14"/>
                <w:color w:val="auto"/>
                <w:w w:val="91"/>
              </w:rPr>
              <w:t>Not Rated</w:t>
            </w:r>
          </w:p>
        </w:tc>
      </w:tr>
      <w:tr>
        <w:trPr>
          <w:trHeight w:val="192"/>
        </w:trPr>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Outlook</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Stable</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Stable</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Stable</w:t>
            </w:r>
          </w:p>
        </w:tc>
        <w:tc>
          <w:tcPr>
            <w:tcW w:w="1760" w:type="dxa"/>
            <w:vAlign w:val="bottom"/>
            <w:shd w:val="clear" w:color="auto" w:fill="CCEEFF"/>
          </w:tcPr>
          <w:p>
            <w:pPr>
              <w:spacing w:after="0"/>
              <w:rPr>
                <w:sz w:val="16"/>
                <w:szCs w:val="16"/>
                <w:color w:val="auto"/>
              </w:rPr>
            </w:pPr>
          </w:p>
        </w:tc>
      </w:tr>
      <w:tr>
        <w:trPr>
          <w:trHeight w:val="186"/>
        </w:trPr>
        <w:tc>
          <w:tcPr>
            <w:tcW w:w="3940" w:type="dxa"/>
            <w:vAlign w:val="bottom"/>
          </w:tcPr>
          <w:p>
            <w:pPr>
              <w:ind w:left="220"/>
              <w:spacing w:after="0"/>
              <w:rPr>
                <w:sz w:val="20"/>
                <w:szCs w:val="20"/>
                <w:color w:val="auto"/>
              </w:rPr>
            </w:pPr>
            <w:r>
              <w:rPr>
                <w:rFonts w:ascii="Arial" w:cs="Arial" w:eastAsia="Arial" w:hAnsi="Arial"/>
                <w:sz w:val="14"/>
                <w:szCs w:val="14"/>
                <w:color w:val="auto"/>
              </w:rPr>
              <w:t>Senior Unsecured Notes</w:t>
            </w:r>
          </w:p>
        </w:tc>
        <w:tc>
          <w:tcPr>
            <w:tcW w:w="184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bbb-</w:t>
            </w:r>
          </w:p>
        </w:tc>
        <w:tc>
          <w:tcPr>
            <w:tcW w:w="18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BBB</w:t>
            </w:r>
          </w:p>
        </w:tc>
        <w:tc>
          <w:tcPr>
            <w:tcW w:w="1860" w:type="dxa"/>
            <w:vAlign w:val="bottom"/>
            <w:gridSpan w:val="2"/>
          </w:tcPr>
          <w:p>
            <w:pPr>
              <w:jc w:val="center"/>
              <w:ind w:right="80"/>
              <w:spacing w:after="0"/>
              <w:rPr>
                <w:sz w:val="20"/>
                <w:szCs w:val="20"/>
                <w:color w:val="auto"/>
              </w:rPr>
            </w:pPr>
            <w:r>
              <w:rPr>
                <w:rFonts w:ascii="Arial" w:cs="Arial" w:eastAsia="Arial" w:hAnsi="Arial"/>
                <w:sz w:val="14"/>
                <w:szCs w:val="14"/>
                <w:color w:val="auto"/>
              </w:rPr>
              <w:t>BBB</w:t>
            </w:r>
          </w:p>
        </w:tc>
        <w:tc>
          <w:tcPr>
            <w:tcW w:w="1760" w:type="dxa"/>
            <w:vAlign w:val="bottom"/>
          </w:tcPr>
          <w:p>
            <w:pPr>
              <w:jc w:val="center"/>
              <w:spacing w:after="0"/>
              <w:rPr>
                <w:sz w:val="20"/>
                <w:szCs w:val="20"/>
                <w:color w:val="auto"/>
              </w:rPr>
            </w:pPr>
            <w:r>
              <w:rPr>
                <w:rFonts w:ascii="Arial" w:cs="Arial" w:eastAsia="Arial" w:hAnsi="Arial"/>
                <w:sz w:val="14"/>
                <w:szCs w:val="14"/>
                <w:color w:val="auto"/>
                <w:w w:val="91"/>
              </w:rPr>
              <w:t>Baa2</w:t>
            </w:r>
          </w:p>
        </w:tc>
      </w:tr>
      <w:tr>
        <w:trPr>
          <w:trHeight w:val="192"/>
        </w:trPr>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Outlook</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Stable</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Stable</w:t>
            </w:r>
          </w:p>
        </w:tc>
      </w:tr>
      <w:tr>
        <w:trPr>
          <w:trHeight w:val="256"/>
        </w:trPr>
        <w:tc>
          <w:tcPr>
            <w:tcW w:w="39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Subsidiary Ratings</w:t>
            </w: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Fidelity &amp; Guaranty Life Insurance Company</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2"/>
        </w:trPr>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Financial Strength Rating</w:t>
            </w:r>
          </w:p>
        </w:tc>
        <w:tc>
          <w:tcPr>
            <w:tcW w:w="184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A-</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A-</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A-</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Baa1</w:t>
            </w:r>
          </w:p>
        </w:tc>
      </w:tr>
      <w:tr>
        <w:trPr>
          <w:trHeight w:val="186"/>
        </w:trPr>
        <w:tc>
          <w:tcPr>
            <w:tcW w:w="3940" w:type="dxa"/>
            <w:vAlign w:val="bottom"/>
          </w:tcPr>
          <w:p>
            <w:pPr>
              <w:ind w:left="220"/>
              <w:spacing w:after="0"/>
              <w:rPr>
                <w:sz w:val="20"/>
                <w:szCs w:val="20"/>
                <w:color w:val="auto"/>
              </w:rPr>
            </w:pPr>
            <w:r>
              <w:rPr>
                <w:rFonts w:ascii="Arial" w:cs="Arial" w:eastAsia="Arial" w:hAnsi="Arial"/>
                <w:sz w:val="14"/>
                <w:szCs w:val="14"/>
                <w:color w:val="auto"/>
              </w:rPr>
              <w:t>Outlook</w:t>
            </w:r>
          </w:p>
        </w:tc>
        <w:tc>
          <w:tcPr>
            <w:tcW w:w="184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Stable</w:t>
            </w:r>
          </w:p>
        </w:tc>
        <w:tc>
          <w:tcPr>
            <w:tcW w:w="184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Stable</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Stable</w:t>
            </w:r>
          </w:p>
        </w:tc>
        <w:tc>
          <w:tcPr>
            <w:tcW w:w="1760" w:type="dxa"/>
            <w:vAlign w:val="bottom"/>
          </w:tcPr>
          <w:p>
            <w:pPr>
              <w:jc w:val="center"/>
              <w:spacing w:after="0"/>
              <w:rPr>
                <w:sz w:val="20"/>
                <w:szCs w:val="20"/>
                <w:color w:val="auto"/>
              </w:rPr>
            </w:pPr>
            <w:r>
              <w:rPr>
                <w:rFonts w:ascii="Arial" w:cs="Arial" w:eastAsia="Arial" w:hAnsi="Arial"/>
                <w:sz w:val="14"/>
                <w:szCs w:val="14"/>
                <w:color w:val="auto"/>
                <w:w w:val="93"/>
              </w:rPr>
              <w:t>Positive</w:t>
            </w:r>
          </w:p>
        </w:tc>
      </w:tr>
      <w:tr>
        <w:trPr>
          <w:trHeight w:val="192"/>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Fidelity &amp; Guaranty Life Insurance Company of New York</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186"/>
        </w:trPr>
        <w:tc>
          <w:tcPr>
            <w:tcW w:w="3940" w:type="dxa"/>
            <w:vAlign w:val="bottom"/>
          </w:tcPr>
          <w:p>
            <w:pPr>
              <w:ind w:left="220"/>
              <w:spacing w:after="0"/>
              <w:rPr>
                <w:sz w:val="20"/>
                <w:szCs w:val="20"/>
                <w:color w:val="auto"/>
              </w:rPr>
            </w:pPr>
            <w:r>
              <w:rPr>
                <w:rFonts w:ascii="Arial" w:cs="Arial" w:eastAsia="Arial" w:hAnsi="Arial"/>
                <w:sz w:val="14"/>
                <w:szCs w:val="14"/>
                <w:color w:val="auto"/>
              </w:rPr>
              <w:t>Financial Strength Rating</w:t>
            </w:r>
          </w:p>
        </w:tc>
        <w:tc>
          <w:tcPr>
            <w:tcW w:w="184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A-</w:t>
            </w:r>
          </w:p>
        </w:tc>
        <w:tc>
          <w:tcPr>
            <w:tcW w:w="1840" w:type="dxa"/>
            <w:vAlign w:val="bottom"/>
            <w:gridSpan w:val="2"/>
          </w:tcPr>
          <w:p>
            <w:pPr>
              <w:jc w:val="center"/>
              <w:ind w:right="80"/>
              <w:spacing w:after="0"/>
              <w:rPr>
                <w:sz w:val="20"/>
                <w:szCs w:val="20"/>
                <w:color w:val="auto"/>
              </w:rPr>
            </w:pPr>
            <w:r>
              <w:rPr>
                <w:rFonts w:ascii="Arial" w:cs="Arial" w:eastAsia="Arial" w:hAnsi="Arial"/>
                <w:sz w:val="14"/>
                <w:szCs w:val="14"/>
                <w:color w:val="auto"/>
              </w:rPr>
              <w:t>A-</w:t>
            </w:r>
          </w:p>
        </w:tc>
        <w:tc>
          <w:tcPr>
            <w:tcW w:w="18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A-</w:t>
            </w:r>
          </w:p>
        </w:tc>
        <w:tc>
          <w:tcPr>
            <w:tcW w:w="1760" w:type="dxa"/>
            <w:vAlign w:val="bottom"/>
          </w:tcPr>
          <w:p>
            <w:pPr>
              <w:jc w:val="center"/>
              <w:spacing w:after="0"/>
              <w:rPr>
                <w:sz w:val="20"/>
                <w:szCs w:val="20"/>
                <w:color w:val="auto"/>
              </w:rPr>
            </w:pPr>
            <w:r>
              <w:rPr>
                <w:rFonts w:ascii="Arial" w:cs="Arial" w:eastAsia="Arial" w:hAnsi="Arial"/>
                <w:sz w:val="14"/>
                <w:szCs w:val="14"/>
                <w:color w:val="auto"/>
                <w:w w:val="91"/>
              </w:rPr>
              <w:t>Not Rated</w:t>
            </w:r>
          </w:p>
        </w:tc>
      </w:tr>
      <w:tr>
        <w:trPr>
          <w:trHeight w:val="192"/>
        </w:trPr>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Outlook</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Stable</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Stable</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Stable</w:t>
            </w:r>
          </w:p>
        </w:tc>
        <w:tc>
          <w:tcPr>
            <w:tcW w:w="1760" w:type="dxa"/>
            <w:vAlign w:val="bottom"/>
            <w:shd w:val="clear" w:color="auto" w:fill="CCEEFF"/>
          </w:tcPr>
          <w:p>
            <w:pPr>
              <w:spacing w:after="0"/>
              <w:rPr>
                <w:sz w:val="16"/>
                <w:szCs w:val="16"/>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F&amp;G Life Re Ltd</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2"/>
        </w:trPr>
        <w:tc>
          <w:tcPr>
            <w:tcW w:w="3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Financial Strength Rating</w:t>
            </w:r>
          </w:p>
        </w:tc>
        <w:tc>
          <w:tcPr>
            <w:tcW w:w="184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Not Rated</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A-</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A-</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Baa1</w:t>
            </w:r>
          </w:p>
        </w:tc>
      </w:tr>
      <w:tr>
        <w:trPr>
          <w:trHeight w:val="186"/>
        </w:trPr>
        <w:tc>
          <w:tcPr>
            <w:tcW w:w="3940" w:type="dxa"/>
            <w:vAlign w:val="bottom"/>
          </w:tcPr>
          <w:p>
            <w:pPr>
              <w:ind w:left="240"/>
              <w:spacing w:after="0"/>
              <w:rPr>
                <w:sz w:val="20"/>
                <w:szCs w:val="20"/>
                <w:color w:val="auto"/>
              </w:rPr>
            </w:pPr>
            <w:r>
              <w:rPr>
                <w:rFonts w:ascii="Arial" w:cs="Arial" w:eastAsia="Arial" w:hAnsi="Arial"/>
                <w:sz w:val="14"/>
                <w:szCs w:val="14"/>
                <w:color w:val="auto"/>
              </w:rPr>
              <w:t>Outlook</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Stable</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Stable</w:t>
            </w:r>
          </w:p>
        </w:tc>
        <w:tc>
          <w:tcPr>
            <w:tcW w:w="1760" w:type="dxa"/>
            <w:vAlign w:val="bottom"/>
          </w:tcPr>
          <w:p>
            <w:pPr>
              <w:jc w:val="center"/>
              <w:spacing w:after="0"/>
              <w:rPr>
                <w:sz w:val="20"/>
                <w:szCs w:val="20"/>
                <w:color w:val="auto"/>
              </w:rPr>
            </w:pPr>
            <w:r>
              <w:rPr>
                <w:rFonts w:ascii="Arial" w:cs="Arial" w:eastAsia="Arial" w:hAnsi="Arial"/>
                <w:sz w:val="14"/>
                <w:szCs w:val="14"/>
                <w:color w:val="auto"/>
                <w:w w:val="93"/>
              </w:rPr>
              <w:t>Positive</w:t>
            </w:r>
          </w:p>
        </w:tc>
      </w:tr>
      <w:tr>
        <w:trPr>
          <w:trHeight w:val="192"/>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F&amp;G Cayman Re Ltd</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186"/>
        </w:trPr>
        <w:tc>
          <w:tcPr>
            <w:tcW w:w="3940" w:type="dxa"/>
            <w:vAlign w:val="bottom"/>
          </w:tcPr>
          <w:p>
            <w:pPr>
              <w:ind w:left="220"/>
              <w:spacing w:after="0"/>
              <w:rPr>
                <w:sz w:val="20"/>
                <w:szCs w:val="20"/>
                <w:color w:val="auto"/>
              </w:rPr>
            </w:pPr>
            <w:r>
              <w:rPr>
                <w:rFonts w:ascii="Arial" w:cs="Arial" w:eastAsia="Arial" w:hAnsi="Arial"/>
                <w:sz w:val="14"/>
                <w:szCs w:val="14"/>
                <w:color w:val="auto"/>
              </w:rPr>
              <w:t>Financial Strength Rating</w:t>
            </w:r>
          </w:p>
        </w:tc>
        <w:tc>
          <w:tcPr>
            <w:tcW w:w="184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Not Rated</w:t>
            </w:r>
          </w:p>
        </w:tc>
        <w:tc>
          <w:tcPr>
            <w:tcW w:w="184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Not Rated</w:t>
            </w:r>
          </w:p>
        </w:tc>
        <w:tc>
          <w:tcPr>
            <w:tcW w:w="18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A-</w:t>
            </w:r>
          </w:p>
        </w:tc>
        <w:tc>
          <w:tcPr>
            <w:tcW w:w="1760" w:type="dxa"/>
            <w:vAlign w:val="bottom"/>
          </w:tcPr>
          <w:p>
            <w:pPr>
              <w:jc w:val="center"/>
              <w:spacing w:after="0"/>
              <w:rPr>
                <w:sz w:val="20"/>
                <w:szCs w:val="20"/>
                <w:color w:val="auto"/>
              </w:rPr>
            </w:pPr>
            <w:r>
              <w:rPr>
                <w:rFonts w:ascii="Arial" w:cs="Arial" w:eastAsia="Arial" w:hAnsi="Arial"/>
                <w:sz w:val="14"/>
                <w:szCs w:val="14"/>
                <w:color w:val="auto"/>
                <w:w w:val="91"/>
              </w:rPr>
              <w:t>Not Rated</w:t>
            </w:r>
          </w:p>
        </w:tc>
      </w:tr>
      <w:tr>
        <w:trPr>
          <w:trHeight w:val="192"/>
        </w:trPr>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Outlook</w:t>
            </w: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Stable</w:t>
            </w:r>
          </w:p>
        </w:tc>
        <w:tc>
          <w:tcPr>
            <w:tcW w:w="176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Total Product Net Investment Spread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ind w:left="568"/>
              <w:spacing w:after="0"/>
              <w:rPr>
                <w:sz w:val="20"/>
                <w:szCs w:val="20"/>
                <w:color w:val="auto"/>
              </w:rPr>
            </w:pPr>
            <w:r>
              <w:rPr>
                <w:rFonts w:ascii="Arial" w:cs="Arial" w:eastAsia="Arial" w:hAnsi="Arial"/>
                <w:sz w:val="14"/>
                <w:szCs w:val="14"/>
                <w:b w:val="1"/>
                <w:bCs w:val="1"/>
                <w:color w:val="auto"/>
                <w:w w:val="91"/>
              </w:rPr>
              <w:t>Three months ended</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8"/>
        </w:trPr>
        <w:tc>
          <w:tcPr>
            <w:tcW w:w="4060" w:type="dxa"/>
            <w:vAlign w:val="bottom"/>
          </w:tcPr>
          <w:p>
            <w:pPr>
              <w:spacing w:after="0"/>
              <w:rPr>
                <w:sz w:val="11"/>
                <w:szCs w:val="11"/>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December 31,</w:t>
            </w:r>
          </w:p>
        </w:tc>
        <w:tc>
          <w:tcPr>
            <w:tcW w:w="10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September 30,</w:t>
            </w:r>
          </w:p>
        </w:tc>
        <w:tc>
          <w:tcPr>
            <w:tcW w:w="10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June 30, 2021</w:t>
            </w:r>
          </w:p>
        </w:tc>
        <w:tc>
          <w:tcPr>
            <w:tcW w:w="60" w:type="dxa"/>
            <w:vAlign w:val="bottom"/>
          </w:tcPr>
          <w:p>
            <w:pPr>
              <w:spacing w:after="0"/>
              <w:rPr>
                <w:sz w:val="11"/>
                <w:szCs w:val="11"/>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June 30, 2022</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000" w:type="dxa"/>
            <w:vAlign w:val="bottom"/>
            <w:tcBorders>
              <w:right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investment income</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451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511</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481</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487</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876</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86"/>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AAUM (a)</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39,306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37,459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35,699</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32,692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30,423</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38,351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29,722</w:t>
            </w:r>
          </w:p>
        </w:tc>
        <w:tc>
          <w:tcPr>
            <w:tcW w:w="0" w:type="dxa"/>
            <w:vAlign w:val="bottom"/>
          </w:tcPr>
          <w:p>
            <w:pPr>
              <w:spacing w:after="0"/>
              <w:rPr>
                <w:sz w:val="1"/>
                <w:szCs w:val="1"/>
                <w:color w:val="auto"/>
              </w:rPr>
            </w:pP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Yield on AAUM (a)</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4.32 %</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4.82 %</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5.73 %</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5.89 %</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4.57 %</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5.79 %</w:t>
            </w:r>
          </w:p>
        </w:tc>
        <w:tc>
          <w:tcPr>
            <w:tcW w:w="0" w:type="dxa"/>
            <w:vAlign w:val="bottom"/>
          </w:tcPr>
          <w:p>
            <w:pPr>
              <w:spacing w:after="0"/>
              <w:rPr>
                <w:sz w:val="1"/>
                <w:szCs w:val="1"/>
                <w:color w:val="auto"/>
              </w:rPr>
            </w:pPr>
          </w:p>
        </w:tc>
      </w:tr>
      <w:tr>
        <w:trPr>
          <w:trHeight w:val="17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Alternative investment yield adjustment (a)</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0.39 %</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0.18 %</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Yield on AAUM (a)</w:t>
            </w: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4.71 %</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4.78 %</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4.83 %</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4.66 %</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4.97 %</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4.75 %</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4.78 %</w:t>
            </w:r>
          </w:p>
        </w:tc>
        <w:tc>
          <w:tcPr>
            <w:tcW w:w="0" w:type="dxa"/>
            <w:vAlign w:val="bottom"/>
          </w:tcPr>
          <w:p>
            <w:pPr>
              <w:spacing w:after="0"/>
              <w:rPr>
                <w:sz w:val="1"/>
                <w:szCs w:val="1"/>
                <w:color w:val="auto"/>
              </w:rPr>
            </w:pPr>
          </w:p>
        </w:tc>
      </w:tr>
      <w:tr>
        <w:trPr>
          <w:trHeight w:val="253"/>
        </w:trPr>
        <w:tc>
          <w:tcPr>
            <w:tcW w:w="4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credits (b)</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73</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6"/>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Option &amp; futures costs (b)</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88</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interest credited and option costs (b)</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150</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86"/>
        </w:trPr>
        <w:tc>
          <w:tcPr>
            <w:tcW w:w="406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Average account value (b)</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37,009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35,247</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33,601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30,562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28,273</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36,110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27,762</w:t>
            </w:r>
          </w:p>
        </w:tc>
        <w:tc>
          <w:tcPr>
            <w:tcW w:w="0" w:type="dxa"/>
            <w:vAlign w:val="bottom"/>
          </w:tcPr>
          <w:p>
            <w:pPr>
              <w:spacing w:after="0"/>
              <w:rPr>
                <w:sz w:val="1"/>
                <w:szCs w:val="1"/>
                <w:color w:val="auto"/>
              </w:rPr>
            </w:pPr>
          </w:p>
        </w:tc>
      </w:tr>
      <w:tr>
        <w:trPr>
          <w:trHeight w:val="186"/>
        </w:trPr>
        <w:tc>
          <w:tcPr>
            <w:tcW w:w="4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credited &amp; option cost (b)</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2.09 %</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2.02 %</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2.05 %</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1.91 %</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2.05 %</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2.13 %</w:t>
            </w:r>
          </w:p>
        </w:tc>
        <w:tc>
          <w:tcPr>
            <w:tcW w:w="0" w:type="dxa"/>
            <w:vAlign w:val="bottom"/>
          </w:tcPr>
          <w:p>
            <w:pPr>
              <w:spacing w:after="0"/>
              <w:rPr>
                <w:sz w:val="1"/>
                <w:szCs w:val="1"/>
                <w:color w:val="auto"/>
              </w:rPr>
            </w:pPr>
          </w:p>
        </w:tc>
      </w:tr>
      <w:tr>
        <w:trPr>
          <w:trHeight w:val="183"/>
        </w:trPr>
        <w:tc>
          <w:tcPr>
            <w:tcW w:w="4060" w:type="dxa"/>
            <w:vAlign w:val="bottom"/>
          </w:tcPr>
          <w:p>
            <w:pPr>
              <w:ind w:left="340"/>
              <w:spacing w:after="0"/>
              <w:rPr>
                <w:sz w:val="20"/>
                <w:szCs w:val="20"/>
                <w:color w:val="auto"/>
              </w:rPr>
            </w:pPr>
            <w:r>
              <w:rPr>
                <w:rFonts w:ascii="Arial" w:cs="Arial" w:eastAsia="Arial" w:hAnsi="Arial"/>
                <w:sz w:val="14"/>
                <w:szCs w:val="14"/>
                <w:color w:val="auto"/>
              </w:rPr>
              <w:t>Net investment spread (a) (b)</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2.62 %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2.76 %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2.78 %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2.75 %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2.85 %</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2.65 %</w:t>
            </w: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220" w:hanging="194"/>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Refer to "Non-GAAP Financial Measures Definitions."</w:t>
      </w:r>
    </w:p>
    <w:p>
      <w:pPr>
        <w:spacing w:after="0" w:line="28" w:lineRule="exact"/>
        <w:rPr>
          <w:rFonts w:ascii="Arial" w:cs="Arial" w:eastAsia="Arial" w:hAnsi="Arial"/>
          <w:sz w:val="14"/>
          <w:szCs w:val="14"/>
          <w:color w:val="auto"/>
        </w:rPr>
      </w:pPr>
    </w:p>
    <w:p>
      <w:pPr>
        <w:ind w:left="220" w:hanging="194"/>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Prior periods have been restated to reflect immaterial adjustments management identified in Q2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FIA Net Investment Spread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w w:val="91"/>
              </w:rPr>
              <w:t>Three months ended</w:t>
            </w: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1"/>
                <w:szCs w:val="11"/>
                <w:color w:val="auto"/>
              </w:rPr>
            </w:pPr>
          </w:p>
        </w:tc>
        <w:tc>
          <w:tcPr>
            <w:tcW w:w="840" w:type="dxa"/>
            <w:vAlign w:val="bottom"/>
          </w:tcPr>
          <w:p>
            <w:pPr>
              <w:jc w:val="right"/>
              <w:ind w:right="88"/>
              <w:spacing w:after="0" w:line="129"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1"/>
                <w:szCs w:val="11"/>
                <w:color w:val="auto"/>
              </w:rPr>
            </w:pPr>
          </w:p>
        </w:tc>
        <w:tc>
          <w:tcPr>
            <w:tcW w:w="740" w:type="dxa"/>
            <w:vAlign w:val="bottom"/>
          </w:tcPr>
          <w:p>
            <w:pPr>
              <w:jc w:val="right"/>
              <w:ind w:right="108"/>
              <w:spacing w:after="0" w:line="129" w:lineRule="exact"/>
              <w:rPr>
                <w:sz w:val="20"/>
                <w:szCs w:val="20"/>
                <w:color w:val="auto"/>
              </w:rPr>
            </w:pPr>
            <w:r>
              <w:rPr>
                <w:rFonts w:ascii="Arial" w:cs="Arial" w:eastAsia="Arial" w:hAnsi="Arial"/>
                <w:sz w:val="14"/>
                <w:szCs w:val="14"/>
                <w:b w:val="1"/>
                <w:bCs w:val="1"/>
                <w:color w:val="auto"/>
                <w:w w:val="96"/>
              </w:rPr>
              <w:t>June 30,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1"/>
                <w:szCs w:val="11"/>
                <w:color w:val="auto"/>
              </w:rPr>
            </w:pPr>
          </w:p>
        </w:tc>
        <w:tc>
          <w:tcPr>
            <w:tcW w:w="720" w:type="dxa"/>
            <w:vAlign w:val="bottom"/>
          </w:tcPr>
          <w:p>
            <w:pPr>
              <w:jc w:val="right"/>
              <w:ind w:right="88"/>
              <w:spacing w:after="0" w:line="129" w:lineRule="exact"/>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investment income (b)</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312</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366</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368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377</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602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18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AAUM (a)</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24,704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23,717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22,824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22,146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20,896</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24,275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20,551</w:t>
            </w:r>
          </w:p>
        </w:tc>
        <w:tc>
          <w:tcPr>
            <w:tcW w:w="0" w:type="dxa"/>
            <w:vAlign w:val="bottom"/>
          </w:tcPr>
          <w:p>
            <w:pPr>
              <w:spacing w:after="0"/>
              <w:rPr>
                <w:sz w:val="1"/>
                <w:szCs w:val="1"/>
                <w:color w:val="auto"/>
              </w:rPr>
            </w:pPr>
          </w:p>
        </w:tc>
      </w:tr>
      <w:tr>
        <w:trPr>
          <w:trHeight w:val="186"/>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Yield on AAUM (a) (b)</w:t>
            </w: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4.70 %</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5.27 %</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6.42 %</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6.65 %</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4.96 %</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6.35 %</w:t>
            </w:r>
          </w:p>
        </w:tc>
        <w:tc>
          <w:tcPr>
            <w:tcW w:w="0" w:type="dxa"/>
            <w:vAlign w:val="bottom"/>
          </w:tcPr>
          <w:p>
            <w:pPr>
              <w:spacing w:after="0"/>
              <w:rPr>
                <w:sz w:val="1"/>
                <w:szCs w:val="1"/>
                <w:color w:val="auto"/>
              </w:rPr>
            </w:pPr>
          </w:p>
        </w:tc>
      </w:tr>
      <w:tr>
        <w:trPr>
          <w:trHeight w:val="17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Alternative investment yield adjustment (a)</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0.44 %</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0.14 %</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Yield on AAUM (a) (b)</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5.14 %</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5.11 %</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5.23 %</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4.84 %</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5.02 %</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5.10 %</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4.83 %</w:t>
            </w:r>
          </w:p>
        </w:tc>
        <w:tc>
          <w:tcPr>
            <w:tcW w:w="0" w:type="dxa"/>
            <w:vAlign w:val="bottom"/>
          </w:tcPr>
          <w:p>
            <w:pPr>
              <w:spacing w:after="0"/>
              <w:rPr>
                <w:sz w:val="1"/>
                <w:szCs w:val="1"/>
                <w:color w:val="auto"/>
              </w:rPr>
            </w:pPr>
          </w:p>
        </w:tc>
      </w:tr>
      <w:tr>
        <w:trPr>
          <w:trHeight w:val="253"/>
        </w:trPr>
        <w:tc>
          <w:tcPr>
            <w:tcW w:w="4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credits</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Option &amp; futures costs</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6"/>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interest credited and option costs</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86"/>
        </w:trPr>
        <w:tc>
          <w:tcPr>
            <w:tcW w:w="41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Average account value</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22,888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22,244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21,513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20,680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19,842</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22,571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19,443</w:t>
            </w:r>
          </w:p>
        </w:tc>
        <w:tc>
          <w:tcPr>
            <w:tcW w:w="0" w:type="dxa"/>
            <w:vAlign w:val="bottom"/>
          </w:tcPr>
          <w:p>
            <w:pPr>
              <w:spacing w:after="0"/>
              <w:rPr>
                <w:sz w:val="1"/>
                <w:szCs w:val="1"/>
                <w:color w:val="auto"/>
              </w:rPr>
            </w:pPr>
          </w:p>
        </w:tc>
      </w:tr>
      <w:tr>
        <w:trPr>
          <w:trHeight w:val="186"/>
        </w:trPr>
        <w:tc>
          <w:tcPr>
            <w:tcW w:w="4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credited &amp; option cost</w:t>
            </w: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1.49 %</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1.68 %</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183"/>
        </w:trPr>
        <w:tc>
          <w:tcPr>
            <w:tcW w:w="4120" w:type="dxa"/>
            <w:vAlign w:val="bottom"/>
          </w:tcPr>
          <w:p>
            <w:pPr>
              <w:ind w:left="340"/>
              <w:spacing w:after="0"/>
              <w:rPr>
                <w:sz w:val="20"/>
                <w:szCs w:val="20"/>
                <w:color w:val="auto"/>
              </w:rPr>
            </w:pPr>
            <w:r>
              <w:rPr>
                <w:rFonts w:ascii="Arial" w:cs="Arial" w:eastAsia="Arial" w:hAnsi="Arial"/>
                <w:sz w:val="14"/>
                <w:szCs w:val="14"/>
                <w:color w:val="auto"/>
              </w:rPr>
              <w:t>Net investment spread (a) (b)</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3.44 %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3.44 %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3.58 %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3.35 %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3.35 %</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3.42 %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3.15 %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Refer to "Non-GAAP Financial Measures Definitions."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Prior periods have been restated to reflect immaterial adjustments management identified in Q2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Assets Under Management Rollforward and Average Assets Under Management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760" w:type="dxa"/>
            <w:vAlign w:val="bottom"/>
          </w:tcPr>
          <w:p>
            <w:pPr>
              <w:jc w:val="right"/>
              <w:ind w:right="48"/>
              <w:spacing w:after="0" w:line="135"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0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1"/>
                <w:szCs w:val="11"/>
                <w:color w:val="auto"/>
              </w:rPr>
            </w:pPr>
          </w:p>
        </w:tc>
        <w:tc>
          <w:tcPr>
            <w:tcW w:w="700" w:type="dxa"/>
            <w:vAlign w:val="bottom"/>
          </w:tcPr>
          <w:p>
            <w:pPr>
              <w:jc w:val="right"/>
              <w:ind w:right="68"/>
              <w:spacing w:after="0" w:line="135" w:lineRule="exact"/>
              <w:rPr>
                <w:sz w:val="20"/>
                <w:szCs w:val="20"/>
                <w:color w:val="auto"/>
              </w:rPr>
            </w:pPr>
            <w:r>
              <w:rPr>
                <w:rFonts w:ascii="Arial" w:cs="Arial" w:eastAsia="Arial" w:hAnsi="Arial"/>
                <w:sz w:val="14"/>
                <w:szCs w:val="14"/>
                <w:b w:val="1"/>
                <w:bCs w:val="1"/>
                <w:color w:val="auto"/>
                <w:w w:val="96"/>
              </w:rPr>
              <w:t>June 30,</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700" w:type="dxa"/>
            <w:vAlign w:val="bottom"/>
          </w:tcPr>
          <w:p>
            <w:pPr>
              <w:jc w:val="right"/>
              <w:ind w:right="88"/>
              <w:spacing w:after="0" w:line="135" w:lineRule="exact"/>
              <w:rPr>
                <w:sz w:val="20"/>
                <w:szCs w:val="20"/>
                <w:color w:val="auto"/>
              </w:rPr>
            </w:pPr>
            <w:r>
              <w:rPr>
                <w:rFonts w:ascii="Arial" w:cs="Arial" w:eastAsia="Arial" w:hAnsi="Arial"/>
                <w:sz w:val="14"/>
                <w:szCs w:val="14"/>
                <w:b w:val="1"/>
                <w:bCs w:val="1"/>
                <w:color w:val="auto"/>
                <w:w w:val="92"/>
              </w:rPr>
              <w:t>June 30,</w:t>
            </w:r>
          </w:p>
        </w:tc>
      </w:tr>
      <w:tr>
        <w:trPr>
          <w:trHeight w:val="188"/>
        </w:trPr>
        <w:tc>
          <w:tcPr>
            <w:tcW w:w="46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r>
      <w:tr>
        <w:trPr>
          <w:trHeight w:val="184"/>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AUM at beginning of period (a)</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34,665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29,700</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28,553</w:t>
            </w:r>
          </w:p>
        </w:tc>
      </w:tr>
      <w:tr>
        <w:trPr>
          <w:trHeight w:val="186"/>
        </w:trPr>
        <w:tc>
          <w:tcPr>
            <w:tcW w:w="4620" w:type="dxa"/>
            <w:vAlign w:val="bottom"/>
          </w:tcPr>
          <w:p>
            <w:pPr>
              <w:ind w:left="20"/>
              <w:spacing w:after="0"/>
              <w:rPr>
                <w:sz w:val="20"/>
                <w:szCs w:val="20"/>
                <w:color w:val="auto"/>
              </w:rPr>
            </w:pPr>
            <w:r>
              <w:rPr>
                <w:rFonts w:ascii="Arial" w:cs="Arial" w:eastAsia="Arial" w:hAnsi="Arial"/>
                <w:sz w:val="14"/>
                <w:szCs w:val="14"/>
                <w:color w:val="auto"/>
              </w:rPr>
              <w:t>Net new business asset flows</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2,327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3,596</w:t>
            </w:r>
          </w:p>
        </w:tc>
      </w:tr>
      <w:tr>
        <w:trPr>
          <w:trHeight w:val="19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reinsurance and other transactions</w:t>
            </w: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r>
      <w:tr>
        <w:trPr>
          <w:trHeight w:val="179"/>
        </w:trPr>
        <w:tc>
          <w:tcPr>
            <w:tcW w:w="4620" w:type="dxa"/>
            <w:vAlign w:val="bottom"/>
            <w:tcBorders>
              <w:bottom w:val="single" w:sz="8" w:color="BFE4FF"/>
            </w:tcBorders>
          </w:tcPr>
          <w:p>
            <w:pPr>
              <w:ind w:left="20"/>
              <w:spacing w:after="0"/>
              <w:rPr>
                <w:sz w:val="20"/>
                <w:szCs w:val="20"/>
                <w:color w:val="auto"/>
              </w:rPr>
            </w:pPr>
            <w:r>
              <w:rPr>
                <w:rFonts w:ascii="Arial" w:cs="Arial" w:eastAsia="Arial" w:hAnsi="Arial"/>
                <w:sz w:val="14"/>
                <w:szCs w:val="14"/>
                <w:color w:val="auto"/>
              </w:rPr>
              <w:t>AUM at end of period (a)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40,322</w:t>
            </w:r>
          </w:p>
        </w:tc>
        <w:tc>
          <w:tcPr>
            <w:tcW w:w="8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38,601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BFE4FF"/>
            </w:tcBorders>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36,494</w:t>
            </w:r>
          </w:p>
        </w:tc>
        <w:tc>
          <w:tcPr>
            <w:tcW w:w="80" w:type="dxa"/>
            <w:vAlign w:val="bottom"/>
            <w:tcBorders>
              <w:bottom w:val="single" w:sz="8" w:color="BFE4FF"/>
            </w:tcBorders>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34,665</w:t>
            </w:r>
          </w:p>
        </w:tc>
        <w:tc>
          <w:tcPr>
            <w:tcW w:w="8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31,760</w:t>
            </w:r>
          </w:p>
        </w:tc>
        <w:tc>
          <w:tcPr>
            <w:tcW w:w="120" w:type="dxa"/>
            <w:vAlign w:val="bottom"/>
            <w:tcBorders>
              <w:bottom w:val="single" w:sz="8" w:color="BFE4FF"/>
              <w:right w:val="single" w:sz="8" w:color="auto"/>
            </w:tcBorders>
          </w:tcPr>
          <w:p>
            <w:pPr>
              <w:spacing w:after="0"/>
              <w:rPr>
                <w:sz w:val="15"/>
                <w:szCs w:val="15"/>
                <w:color w:val="auto"/>
              </w:rPr>
            </w:pPr>
          </w:p>
        </w:tc>
        <w:tc>
          <w:tcPr>
            <w:tcW w:w="6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40,322</w:t>
            </w:r>
          </w:p>
        </w:tc>
        <w:tc>
          <w:tcPr>
            <w:tcW w:w="8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31,760</w:t>
            </w:r>
          </w:p>
        </w:tc>
      </w:tr>
      <w:tr>
        <w:trPr>
          <w:trHeight w:val="183"/>
        </w:trPr>
        <w:tc>
          <w:tcPr>
            <w:tcW w:w="4620" w:type="dxa"/>
            <w:vAlign w:val="bottom"/>
            <w:shd w:val="clear" w:color="auto" w:fill="BFE4FF"/>
          </w:tcPr>
          <w:p>
            <w:pPr>
              <w:ind w:left="20"/>
              <w:spacing w:after="0"/>
              <w:rPr>
                <w:sz w:val="20"/>
                <w:szCs w:val="20"/>
                <w:color w:val="auto"/>
              </w:rPr>
            </w:pPr>
            <w:r>
              <w:rPr>
                <w:rFonts w:ascii="Arial" w:cs="Arial" w:eastAsia="Arial" w:hAnsi="Arial"/>
                <w:sz w:val="14"/>
                <w:szCs w:val="14"/>
                <w:color w:val="auto"/>
              </w:rPr>
              <w:t>AAUM (a)</w:t>
            </w:r>
          </w:p>
        </w:tc>
        <w:tc>
          <w:tcPr>
            <w:tcW w:w="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39,306</w:t>
            </w:r>
          </w:p>
        </w:tc>
        <w:tc>
          <w:tcPr>
            <w:tcW w:w="80" w:type="dxa"/>
            <w:vAlign w:val="bottom"/>
            <w:shd w:val="clear" w:color="auto" w:fill="BFE4FF"/>
          </w:tcPr>
          <w:p>
            <w:pPr>
              <w:spacing w:after="0"/>
              <w:rPr>
                <w:sz w:val="15"/>
                <w:szCs w:val="15"/>
                <w:color w:val="auto"/>
              </w:rPr>
            </w:pP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37,459</w:t>
            </w:r>
          </w:p>
        </w:tc>
        <w:tc>
          <w:tcPr>
            <w:tcW w:w="20" w:type="dxa"/>
            <w:vAlign w:val="bottom"/>
            <w:tcBorders>
              <w:bottom w:val="single" w:sz="8" w:color="auto"/>
            </w:tcBorders>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22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35,699</w:t>
            </w:r>
          </w:p>
        </w:tc>
        <w:tc>
          <w:tcPr>
            <w:tcW w:w="80" w:type="dxa"/>
            <w:vAlign w:val="bottom"/>
            <w:shd w:val="clear" w:color="auto" w:fill="BFE4FF"/>
          </w:tcPr>
          <w:p>
            <w:pPr>
              <w:spacing w:after="0"/>
              <w:rPr>
                <w:sz w:val="15"/>
                <w:szCs w:val="15"/>
                <w:color w:val="auto"/>
              </w:rPr>
            </w:pPr>
          </w:p>
        </w:tc>
        <w:tc>
          <w:tcPr>
            <w:tcW w:w="240" w:type="dxa"/>
            <w:vAlign w:val="bottom"/>
            <w:tcBorders>
              <w:bottom w:val="single" w:sz="8" w:color="auto"/>
            </w:tcBorders>
            <w:shd w:val="clear" w:color="auto" w:fill="BFE4FF"/>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32,692</w:t>
            </w:r>
          </w:p>
        </w:tc>
        <w:tc>
          <w:tcPr>
            <w:tcW w:w="80" w:type="dxa"/>
            <w:vAlign w:val="bottom"/>
            <w:shd w:val="clear" w:color="auto" w:fill="BFE4FF"/>
          </w:tcPr>
          <w:p>
            <w:pPr>
              <w:spacing w:after="0"/>
              <w:rPr>
                <w:sz w:val="15"/>
                <w:szCs w:val="15"/>
                <w:color w:val="auto"/>
              </w:rPr>
            </w:pP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30,423</w:t>
            </w:r>
          </w:p>
        </w:tc>
        <w:tc>
          <w:tcPr>
            <w:tcW w:w="120" w:type="dxa"/>
            <w:vAlign w:val="bottom"/>
            <w:tcBorders>
              <w:right w:val="single" w:sz="8" w:color="auto"/>
            </w:tcBorders>
            <w:shd w:val="clear" w:color="auto" w:fill="BFE4FF"/>
          </w:tcPr>
          <w:p>
            <w:pPr>
              <w:spacing w:after="0"/>
              <w:rPr>
                <w:sz w:val="15"/>
                <w:szCs w:val="15"/>
                <w:color w:val="auto"/>
              </w:rPr>
            </w:pPr>
          </w:p>
        </w:tc>
        <w:tc>
          <w:tcPr>
            <w:tcW w:w="60" w:type="dxa"/>
            <w:vAlign w:val="bottom"/>
            <w:shd w:val="clear" w:color="auto" w:fill="BFE4FF"/>
          </w:tcPr>
          <w:p>
            <w:pPr>
              <w:spacing w:after="0"/>
              <w:rPr>
                <w:sz w:val="15"/>
                <w:szCs w:val="15"/>
                <w:color w:val="auto"/>
              </w:rPr>
            </w:pP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38,351</w:t>
            </w:r>
          </w:p>
        </w:tc>
        <w:tc>
          <w:tcPr>
            <w:tcW w:w="80" w:type="dxa"/>
            <w:vAlign w:val="bottom"/>
            <w:shd w:val="clear" w:color="auto" w:fill="BFE4FF"/>
          </w:tcPr>
          <w:p>
            <w:pPr>
              <w:spacing w:after="0"/>
              <w:rPr>
                <w:sz w:val="15"/>
                <w:szCs w:val="15"/>
                <w:color w:val="auto"/>
              </w:rPr>
            </w:pP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29,722</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Annuity Account Balance Rollforward (b)</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Six months ended</w:t>
            </w:r>
          </w:p>
        </w:tc>
      </w:tr>
      <w:tr>
        <w:trPr>
          <w:trHeight w:val="128"/>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100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September</w:t>
            </w:r>
          </w:p>
        </w:tc>
        <w:tc>
          <w:tcPr>
            <w:tcW w:w="120" w:type="dxa"/>
            <w:vAlign w:val="bottom"/>
          </w:tcPr>
          <w:p>
            <w:pPr>
              <w:spacing w:after="0"/>
              <w:rPr>
                <w:sz w:val="11"/>
                <w:szCs w:val="11"/>
                <w:color w:val="auto"/>
              </w:rPr>
            </w:pPr>
          </w:p>
        </w:tc>
        <w:tc>
          <w:tcPr>
            <w:tcW w:w="700" w:type="dxa"/>
            <w:vAlign w:val="bottom"/>
          </w:tcPr>
          <w:p>
            <w:pPr>
              <w:jc w:val="right"/>
              <w:ind w:right="88"/>
              <w:spacing w:after="0" w:line="12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720" w:type="dxa"/>
            <w:vAlign w:val="bottom"/>
          </w:tcPr>
          <w:p>
            <w:pPr>
              <w:jc w:val="right"/>
              <w:ind w:right="88"/>
              <w:spacing w:after="0" w:line="129" w:lineRule="exact"/>
              <w:rPr>
                <w:sz w:val="20"/>
                <w:szCs w:val="20"/>
                <w:color w:val="auto"/>
              </w:rPr>
            </w:pPr>
            <w:r>
              <w:rPr>
                <w:rFonts w:ascii="Arial" w:cs="Arial" w:eastAsia="Arial" w:hAnsi="Arial"/>
                <w:sz w:val="14"/>
                <w:szCs w:val="14"/>
                <w:b w:val="1"/>
                <w:bCs w:val="1"/>
                <w:color w:val="auto"/>
                <w:w w:val="96"/>
              </w:rPr>
              <w:t>June 30,</w:t>
            </w:r>
          </w:p>
        </w:tc>
      </w:tr>
      <w:tr>
        <w:trPr>
          <w:trHeight w:val="188"/>
        </w:trPr>
        <w:tc>
          <w:tcPr>
            <w:tcW w:w="4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30, 2021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r>
      <w:tr>
        <w:trPr>
          <w:trHeight w:val="184"/>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 balances at beginning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27,331</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26,673</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25,662</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24,774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23,803</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26,673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22,992</w:t>
            </w:r>
          </w:p>
        </w:tc>
      </w:tr>
      <w:tr>
        <w:trPr>
          <w:trHeight w:val="179"/>
        </w:trPr>
        <w:tc>
          <w:tcPr>
            <w:tcW w:w="4700" w:type="dxa"/>
            <w:vAlign w:val="bottom"/>
          </w:tcPr>
          <w:p>
            <w:pPr>
              <w:ind w:left="20"/>
              <w:spacing w:after="0"/>
              <w:rPr>
                <w:sz w:val="20"/>
                <w:szCs w:val="20"/>
                <w:color w:val="auto"/>
              </w:rPr>
            </w:pPr>
            <w:r>
              <w:rPr>
                <w:rFonts w:ascii="Arial" w:cs="Arial" w:eastAsia="Arial" w:hAnsi="Arial"/>
                <w:sz w:val="14"/>
                <w:szCs w:val="14"/>
                <w:color w:val="auto"/>
              </w:rPr>
              <w:t>Net deposits</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1,673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1,390</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2,655</w:t>
            </w:r>
          </w:p>
        </w:tc>
      </w:tr>
      <w:tr>
        <w:trPr>
          <w:trHeight w:val="192"/>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Surrenders, withdrawals, deaths, etc.</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w:t>
            </w:r>
          </w:p>
        </w:tc>
      </w:tr>
      <w:tr>
        <w:trPr>
          <w:trHeight w:val="179"/>
        </w:trPr>
        <w:tc>
          <w:tcPr>
            <w:tcW w:w="4700" w:type="dxa"/>
            <w:vAlign w:val="bottom"/>
          </w:tcPr>
          <w:p>
            <w:pPr>
              <w:ind w:left="240"/>
              <w:spacing w:after="0"/>
              <w:rPr>
                <w:sz w:val="20"/>
                <w:szCs w:val="20"/>
                <w:color w:val="auto"/>
              </w:rPr>
            </w:pPr>
            <w:r>
              <w:rPr>
                <w:rFonts w:ascii="Arial" w:cs="Arial" w:eastAsia="Arial" w:hAnsi="Arial"/>
                <w:sz w:val="14"/>
                <w:szCs w:val="14"/>
                <w:color w:val="auto"/>
              </w:rPr>
              <w:t>Net flows</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1,077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762</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1,442</w:t>
            </w:r>
          </w:p>
        </w:tc>
      </w:tr>
      <w:tr>
        <w:trPr>
          <w:trHeight w:val="273"/>
        </w:trPr>
        <w:tc>
          <w:tcPr>
            <w:tcW w:w="4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186"/>
        </w:trPr>
        <w:tc>
          <w:tcPr>
            <w:tcW w:w="4700" w:type="dxa"/>
            <w:vAlign w:val="bottom"/>
          </w:tcPr>
          <w:p>
            <w:pPr>
              <w:ind w:left="20"/>
              <w:spacing w:after="0"/>
              <w:rPr>
                <w:sz w:val="20"/>
                <w:szCs w:val="20"/>
                <w:color w:val="auto"/>
              </w:rPr>
            </w:pPr>
            <w:r>
              <w:rPr>
                <w:rFonts w:ascii="Arial" w:cs="Arial" w:eastAsia="Arial" w:hAnsi="Arial"/>
                <w:sz w:val="14"/>
                <w:szCs w:val="14"/>
                <w:color w:val="auto"/>
              </w:rPr>
              <w:t>Premium and interest bonuses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92"/>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interest credited and index credits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r>
      <w:tr>
        <w:trPr>
          <w:trHeight w:val="18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Guaranteed product rider fees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r>
      <w:tr>
        <w:trPr>
          <w:trHeight w:val="211"/>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 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28,478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27,331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26,673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25,662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24,774</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28,478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24,774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Refer to "Non-GAAP Financial Measures Definitions."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rollforward reflects the vested account balance of our fixed index annuities and fixed rate annuities, net of reinsurance.</w:t>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200" w:lineRule="exact"/>
        <w:rPr>
          <w:sz w:val="20"/>
          <w:szCs w:val="20"/>
          <w:color w:val="auto"/>
        </w:rPr>
      </w:pPr>
    </w:p>
    <w:p>
      <w:pPr>
        <w:spacing w:after="0" w:line="358" w:lineRule="exact"/>
        <w:rPr>
          <w:sz w:val="20"/>
          <w:szCs w:val="20"/>
          <w:color w:val="auto"/>
        </w:rPr>
      </w:pPr>
    </w:p>
    <w:p>
      <w:pPr>
        <w:ind w:left="4340"/>
        <w:spacing w:after="0"/>
        <w:rPr>
          <w:sz w:val="20"/>
          <w:szCs w:val="20"/>
          <w:color w:val="auto"/>
        </w:rPr>
      </w:pPr>
      <w:r>
        <w:rPr>
          <w:rFonts w:ascii="Arial" w:cs="Arial" w:eastAsia="Arial" w:hAnsi="Arial"/>
          <w:sz w:val="18"/>
          <w:szCs w:val="18"/>
          <w:b w:val="1"/>
          <w:bCs w:val="1"/>
          <w:u w:val="single" w:color="auto"/>
          <w:color w:val="auto"/>
        </w:rPr>
        <w:t>Annuity Liability Characteristics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SURRENDER CHARGE PERCENTAGES: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 surrender charge</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0.0% &lt;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712343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120015"/>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 &lt; 4.0%</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4.0% &lt;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712343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120015"/>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6.0% &lt; 8.0%</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8.0% &lt;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712343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120015"/>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10.0% or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712343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CREDITED RATE (INCLUDING BONUS INTEREST) VS. ULTIMATE MINIMUM GUARANTEED RATE DIFFERENTIAL:</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 differential</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0.0%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712343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20015"/>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 - 2.0%</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712343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20015"/>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3.0% - 4.0%</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Allocated to index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712343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Fixed</w:t>
            </w:r>
          </w:p>
        </w:tc>
        <w:tc>
          <w:tcPr>
            <w:tcW w:w="12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Fixed Index</w:t>
            </w:r>
          </w:p>
        </w:tc>
      </w:tr>
      <w:tr>
        <w:trPr>
          <w:trHeight w:val="135"/>
        </w:trPr>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Annuities</w:t>
            </w:r>
          </w:p>
        </w:tc>
        <w:tc>
          <w:tcPr>
            <w:tcW w:w="120" w:type="dxa"/>
            <w:vAlign w:val="bottom"/>
          </w:tcPr>
          <w:p>
            <w:pPr>
              <w:spacing w:after="0"/>
              <w:rPr>
                <w:sz w:val="11"/>
                <w:szCs w:val="11"/>
                <w:color w:val="auto"/>
              </w:rPr>
            </w:pPr>
          </w:p>
        </w:tc>
        <w:tc>
          <w:tcPr>
            <w:tcW w:w="94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3"/>
              </w:rPr>
              <w:t>Annuities</w:t>
            </w:r>
          </w:p>
        </w:tc>
      </w:tr>
      <w:tr>
        <w:trPr>
          <w:trHeight w:val="188"/>
        </w:trPr>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Account Value</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Account Value</w:t>
            </w:r>
          </w:p>
        </w:tc>
      </w:tr>
      <w:tr>
        <w:trPr>
          <w:trHeight w:val="183"/>
        </w:trPr>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June 30, 2022</w:t>
            </w:r>
          </w:p>
        </w:tc>
      </w:tr>
      <w:tr>
        <w:trPr>
          <w:trHeight w:val="347"/>
        </w:trPr>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2,631</w:t>
            </w:r>
          </w:p>
        </w:tc>
      </w:tr>
      <w:tr>
        <w:trPr>
          <w:trHeight w:val="189"/>
        </w:trPr>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189"/>
        </w:trPr>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856</w:t>
            </w:r>
          </w:p>
        </w:tc>
      </w:tr>
      <w:tr>
        <w:trPr>
          <w:trHeight w:val="189"/>
        </w:trPr>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2,226</w:t>
            </w:r>
          </w:p>
        </w:tc>
      </w:tr>
      <w:tr>
        <w:trPr>
          <w:trHeight w:val="189"/>
        </w:trPr>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3,627</w:t>
            </w:r>
          </w:p>
        </w:tc>
      </w:tr>
      <w:tr>
        <w:trPr>
          <w:trHeight w:val="189"/>
        </w:trPr>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8,248</w:t>
            </w:r>
          </w:p>
        </w:tc>
      </w:tr>
      <w:tr>
        <w:trPr>
          <w:trHeight w:val="195"/>
        </w:trPr>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5,513</w:t>
            </w:r>
          </w:p>
        </w:tc>
      </w:tr>
      <w:tr>
        <w:trPr>
          <w:trHeight w:val="185"/>
        </w:trPr>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5,258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23,220</w:t>
            </w:r>
          </w:p>
        </w:tc>
      </w:tr>
      <w:tr>
        <w:trPr>
          <w:trHeight w:val="24"/>
        </w:trPr>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668"/>
        </w:trPr>
        <w:tc>
          <w:tcPr>
            <w:tcW w:w="14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Fixed</w:t>
            </w:r>
          </w:p>
        </w:tc>
        <w:tc>
          <w:tcPr>
            <w:tcW w:w="120" w:type="dxa"/>
            <w:vAlign w:val="bottom"/>
          </w:tcPr>
          <w:p>
            <w:pPr>
              <w:spacing w:after="0"/>
              <w:rPr>
                <w:sz w:val="24"/>
                <w:szCs w:val="2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Fixed Index</w:t>
            </w:r>
          </w:p>
        </w:tc>
      </w:tr>
      <w:tr>
        <w:trPr>
          <w:trHeight w:val="135"/>
        </w:trPr>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Annuities</w:t>
            </w:r>
          </w:p>
        </w:tc>
        <w:tc>
          <w:tcPr>
            <w:tcW w:w="120" w:type="dxa"/>
            <w:vAlign w:val="bottom"/>
          </w:tcPr>
          <w:p>
            <w:pPr>
              <w:spacing w:after="0"/>
              <w:rPr>
                <w:sz w:val="11"/>
                <w:szCs w:val="11"/>
                <w:color w:val="auto"/>
              </w:rPr>
            </w:pPr>
          </w:p>
        </w:tc>
        <w:tc>
          <w:tcPr>
            <w:tcW w:w="94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3"/>
              </w:rPr>
              <w:t>Annuities</w:t>
            </w:r>
          </w:p>
        </w:tc>
      </w:tr>
      <w:tr>
        <w:trPr>
          <w:trHeight w:val="188"/>
        </w:trPr>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Account Value</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Account Value</w:t>
            </w:r>
          </w:p>
        </w:tc>
      </w:tr>
      <w:tr>
        <w:trPr>
          <w:trHeight w:val="183"/>
        </w:trPr>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June 30, 2022</w:t>
            </w:r>
          </w:p>
        </w:tc>
      </w:tr>
      <w:tr>
        <w:trPr>
          <w:trHeight w:val="347"/>
        </w:trPr>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1,393</w:t>
            </w:r>
          </w:p>
        </w:tc>
      </w:tr>
      <w:tr>
        <w:trPr>
          <w:trHeight w:val="189"/>
        </w:trPr>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1,126</w:t>
            </w:r>
          </w:p>
        </w:tc>
      </w:tr>
      <w:tr>
        <w:trPr>
          <w:trHeight w:val="189"/>
        </w:trPr>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9"/>
        </w:trPr>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20,689</w:t>
            </w:r>
          </w:p>
        </w:tc>
      </w:tr>
      <w:tr>
        <w:trPr>
          <w:trHeight w:val="185"/>
        </w:trPr>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5,258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23,220</w:t>
            </w:r>
          </w:p>
        </w:tc>
      </w:tr>
      <w:tr>
        <w:trPr>
          <w:trHeight w:val="24"/>
        </w:trPr>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of Invested Assets by Asset Class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June 30, 2022</w:t>
            </w:r>
          </w:p>
        </w:tc>
        <w:tc>
          <w:tcPr>
            <w:tcW w:w="10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w w:val="93"/>
              </w:rPr>
              <w:t>December 31, 2021</w:t>
            </w:r>
          </w:p>
        </w:tc>
        <w:tc>
          <w:tcPr>
            <w:tcW w:w="1080" w:type="dxa"/>
            <w:vAlign w:val="bottom"/>
            <w:tcBorders>
              <w:bottom w:val="single" w:sz="8" w:color="auto"/>
            </w:tcBorders>
          </w:tcPr>
          <w:p>
            <w:pPr>
              <w:spacing w:after="0"/>
              <w:rPr>
                <w:sz w:val="16"/>
                <w:szCs w:val="16"/>
                <w:color w:val="auto"/>
              </w:rPr>
            </w:pPr>
          </w:p>
        </w:tc>
      </w:tr>
      <w:tr>
        <w:trPr>
          <w:trHeight w:val="180"/>
        </w:trPr>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auto"/>
              </w:rPr>
              <w:t>Percent</w:t>
            </w:r>
          </w:p>
        </w:tc>
      </w:tr>
      <w:tr>
        <w:trPr>
          <w:trHeight w:val="167"/>
        </w:trPr>
        <w:tc>
          <w:tcPr>
            <w:tcW w:w="4320" w:type="dxa"/>
            <w:vAlign w:val="bottom"/>
          </w:tcPr>
          <w:p>
            <w:pPr>
              <w:ind w:left="20"/>
              <w:spacing w:after="0"/>
              <w:rPr>
                <w:sz w:val="20"/>
                <w:szCs w:val="20"/>
                <w:color w:val="auto"/>
              </w:rPr>
            </w:pPr>
            <w:r>
              <w:rPr>
                <w:rFonts w:ascii="Arial" w:cs="Arial" w:eastAsia="Arial" w:hAnsi="Arial"/>
                <w:sz w:val="14"/>
                <w:szCs w:val="14"/>
                <w:color w:val="auto"/>
              </w:rPr>
              <w:t>Fixed maturity securities, available for sale:</w:t>
            </w: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194"/>
        </w:trPr>
        <w:tc>
          <w:tcPr>
            <w:tcW w:w="4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United States Government full faith and credit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4320" w:type="dxa"/>
            <w:vAlign w:val="bottom"/>
          </w:tcPr>
          <w:p>
            <w:pPr>
              <w:ind w:left="240"/>
              <w:spacing w:after="0"/>
              <w:rPr>
                <w:sz w:val="20"/>
                <w:szCs w:val="20"/>
                <w:color w:val="auto"/>
              </w:rPr>
            </w:pPr>
            <w:r>
              <w:rPr>
                <w:rFonts w:ascii="Arial" w:cs="Arial" w:eastAsia="Arial" w:hAnsi="Arial"/>
                <w:sz w:val="14"/>
                <w:szCs w:val="14"/>
                <w:color w:val="auto"/>
              </w:rPr>
              <w:t>United States Government sponsored entities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92"/>
        </w:trPr>
        <w:tc>
          <w:tcPr>
            <w:tcW w:w="4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United States municipalities, states and territories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1,441</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86"/>
        </w:trPr>
        <w:tc>
          <w:tcPr>
            <w:tcW w:w="4320" w:type="dxa"/>
            <w:vAlign w:val="bottom"/>
          </w:tcPr>
          <w:p>
            <w:pPr>
              <w:ind w:left="240"/>
              <w:spacing w:after="0"/>
              <w:rPr>
                <w:sz w:val="20"/>
                <w:szCs w:val="20"/>
                <w:color w:val="auto"/>
              </w:rPr>
            </w:pPr>
            <w:r>
              <w:rPr>
                <w:rFonts w:ascii="Arial" w:cs="Arial" w:eastAsia="Arial" w:hAnsi="Arial"/>
                <w:sz w:val="14"/>
                <w:szCs w:val="14"/>
                <w:color w:val="auto"/>
              </w:rPr>
              <w:t>Foreign Governments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19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securities: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6"/>
        </w:trPr>
        <w:tc>
          <w:tcPr>
            <w:tcW w:w="4320" w:type="dxa"/>
            <w:vAlign w:val="bottom"/>
          </w:tcPr>
          <w:p>
            <w:pPr>
              <w:ind w:left="240"/>
              <w:spacing w:after="0"/>
              <w:rPr>
                <w:sz w:val="20"/>
                <w:szCs w:val="20"/>
                <w:color w:val="auto"/>
              </w:rPr>
            </w:pPr>
            <w:r>
              <w:rPr>
                <w:rFonts w:ascii="Arial" w:cs="Arial" w:eastAsia="Arial" w:hAnsi="Arial"/>
                <w:sz w:val="14"/>
                <w:szCs w:val="14"/>
                <w:color w:val="auto"/>
              </w:rPr>
              <w:t>Finance, insurance and real estate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4,834</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5,109</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192"/>
        </w:trPr>
        <w:tc>
          <w:tcPr>
            <w:tcW w:w="4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Manufacturing, construction and mining</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932</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86"/>
        </w:trPr>
        <w:tc>
          <w:tcPr>
            <w:tcW w:w="4320" w:type="dxa"/>
            <w:vAlign w:val="bottom"/>
          </w:tcPr>
          <w:p>
            <w:pPr>
              <w:ind w:left="240"/>
              <w:spacing w:after="0"/>
              <w:rPr>
                <w:sz w:val="20"/>
                <w:szCs w:val="20"/>
                <w:color w:val="auto"/>
              </w:rPr>
            </w:pPr>
            <w:r>
              <w:rPr>
                <w:rFonts w:ascii="Arial" w:cs="Arial" w:eastAsia="Arial" w:hAnsi="Arial"/>
                <w:sz w:val="14"/>
                <w:szCs w:val="14"/>
                <w:color w:val="auto"/>
              </w:rPr>
              <w:t>Utilities, energy and related sectors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2,335</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2,987</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8 %</w:t>
            </w:r>
          </w:p>
        </w:tc>
      </w:tr>
      <w:tr>
        <w:trPr>
          <w:trHeight w:val="192"/>
        </w:trPr>
        <w:tc>
          <w:tcPr>
            <w:tcW w:w="4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Wholesale/retail trade</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2,627</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86"/>
        </w:trPr>
        <w:tc>
          <w:tcPr>
            <w:tcW w:w="4320" w:type="dxa"/>
            <w:vAlign w:val="bottom"/>
          </w:tcPr>
          <w:p>
            <w:pPr>
              <w:ind w:left="240"/>
              <w:spacing w:after="0"/>
              <w:rPr>
                <w:sz w:val="20"/>
                <w:szCs w:val="20"/>
                <w:color w:val="auto"/>
              </w:rPr>
            </w:pPr>
            <w:r>
              <w:rPr>
                <w:rFonts w:ascii="Arial" w:cs="Arial" w:eastAsia="Arial" w:hAnsi="Arial"/>
                <w:sz w:val="14"/>
                <w:szCs w:val="14"/>
                <w:color w:val="auto"/>
              </w:rPr>
              <w:t>Services, media and other</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2,674</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3,349</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8 %</w:t>
            </w:r>
          </w:p>
        </w:tc>
      </w:tr>
      <w:tr>
        <w:trPr>
          <w:trHeight w:val="19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 securities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881</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86"/>
        </w:trPr>
        <w:tc>
          <w:tcPr>
            <w:tcW w:w="4320" w:type="dxa"/>
            <w:vAlign w:val="bottom"/>
          </w:tcPr>
          <w:p>
            <w:pPr>
              <w:ind w:left="20"/>
              <w:spacing w:after="0"/>
              <w:rPr>
                <w:sz w:val="20"/>
                <w:szCs w:val="20"/>
                <w:color w:val="auto"/>
              </w:rPr>
            </w:pPr>
            <w:r>
              <w:rPr>
                <w:rFonts w:ascii="Arial" w:cs="Arial" w:eastAsia="Arial" w:hAnsi="Arial"/>
                <w:sz w:val="14"/>
                <w:szCs w:val="14"/>
                <w:color w:val="auto"/>
              </w:rPr>
              <w:t>Non-agency residential mortgage-backed securities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845</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648</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9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mortgage-backed securities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3,046</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2,964</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86"/>
        </w:trPr>
        <w:tc>
          <w:tcPr>
            <w:tcW w:w="432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5,319</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4,550</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19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CLO securities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4,129</w:t>
            </w:r>
          </w:p>
        </w:tc>
        <w:tc>
          <w:tcPr>
            <w:tcW w:w="8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4,002</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4,145</w:t>
            </w:r>
          </w:p>
        </w:tc>
        <w:tc>
          <w:tcPr>
            <w:tcW w:w="8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179"/>
        </w:trPr>
        <w:tc>
          <w:tcPr>
            <w:tcW w:w="4320" w:type="dxa"/>
            <w:vAlign w:val="bottom"/>
          </w:tcPr>
          <w:p>
            <w:pPr>
              <w:ind w:left="240"/>
              <w:spacing w:after="0"/>
              <w:rPr>
                <w:sz w:val="20"/>
                <w:szCs w:val="20"/>
                <w:color w:val="auto"/>
              </w:rPr>
            </w:pPr>
            <w:r>
              <w:rPr>
                <w:rFonts w:ascii="Arial" w:cs="Arial" w:eastAsia="Arial" w:hAnsi="Arial"/>
                <w:sz w:val="14"/>
                <w:szCs w:val="14"/>
                <w:b w:val="1"/>
                <w:bCs w:val="1"/>
                <w:color w:val="auto"/>
              </w:rPr>
              <w:t>Total fixed maturity securities, available for sale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31,728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28,398</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28,724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29,962</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77 %</w:t>
            </w:r>
          </w:p>
        </w:tc>
      </w:tr>
      <w:tr>
        <w:trPr>
          <w:trHeight w:val="19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1,171</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r>
      <w:tr>
        <w:trPr>
          <w:trHeight w:val="186"/>
        </w:trPr>
        <w:tc>
          <w:tcPr>
            <w:tcW w:w="4320" w:type="dxa"/>
            <w:vAlign w:val="bottom"/>
          </w:tcPr>
          <w:p>
            <w:pPr>
              <w:ind w:left="20"/>
              <w:spacing w:after="0"/>
              <w:rPr>
                <w:sz w:val="20"/>
                <w:szCs w:val="20"/>
                <w:color w:val="auto"/>
              </w:rPr>
            </w:pPr>
            <w:r>
              <w:rPr>
                <w:rFonts w:ascii="Arial" w:cs="Arial" w:eastAsia="Arial" w:hAnsi="Arial"/>
                <w:sz w:val="14"/>
                <w:szCs w:val="14"/>
                <w:color w:val="auto"/>
              </w:rPr>
              <w:t>Alternative investments: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2"/>
        </w:trPr>
        <w:tc>
          <w:tcPr>
            <w:tcW w:w="4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Private equity</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1,181</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r>
      <w:tr>
        <w:trPr>
          <w:trHeight w:val="186"/>
        </w:trPr>
        <w:tc>
          <w:tcPr>
            <w:tcW w:w="4320" w:type="dxa"/>
            <w:vAlign w:val="bottom"/>
          </w:tcPr>
          <w:p>
            <w:pPr>
              <w:ind w:left="240"/>
              <w:spacing w:after="0"/>
              <w:rPr>
                <w:sz w:val="20"/>
                <w:szCs w:val="20"/>
                <w:color w:val="auto"/>
              </w:rPr>
            </w:pPr>
            <w:r>
              <w:rPr>
                <w:rFonts w:ascii="Arial" w:cs="Arial" w:eastAsia="Arial" w:hAnsi="Arial"/>
                <w:sz w:val="14"/>
                <w:szCs w:val="14"/>
                <w:color w:val="auto"/>
              </w:rPr>
              <w:t>Real assets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381</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340</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192"/>
        </w:trPr>
        <w:tc>
          <w:tcPr>
            <w:tcW w:w="4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Credit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829</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86"/>
        </w:trPr>
        <w:tc>
          <w:tcPr>
            <w:tcW w:w="4320" w:type="dxa"/>
            <w:vAlign w:val="bottom"/>
          </w:tcPr>
          <w:p>
            <w:pPr>
              <w:ind w:left="20"/>
              <w:spacing w:after="0"/>
              <w:rPr>
                <w:sz w:val="20"/>
                <w:szCs w:val="20"/>
                <w:color w:val="auto"/>
              </w:rPr>
            </w:pPr>
            <w:r>
              <w:rPr>
                <w:rFonts w:ascii="Arial" w:cs="Arial" w:eastAsia="Arial" w:hAnsi="Arial"/>
                <w:sz w:val="14"/>
                <w:szCs w:val="14"/>
                <w:color w:val="auto"/>
              </w:rPr>
              <w:t>Commercial mortgage loans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2,119</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2,265</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6 %</w:t>
            </w:r>
          </w:p>
        </w:tc>
      </w:tr>
      <w:tr>
        <w:trPr>
          <w:trHeight w:val="19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 loans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1,549</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86"/>
        </w:trPr>
        <w:tc>
          <w:tcPr>
            <w:tcW w:w="4320" w:type="dxa"/>
            <w:vAlign w:val="bottom"/>
          </w:tcPr>
          <w:p>
            <w:pPr>
              <w:ind w:left="20"/>
              <w:spacing w:after="0"/>
              <w:rPr>
                <w:sz w:val="20"/>
                <w:szCs w:val="20"/>
                <w:color w:val="auto"/>
              </w:rPr>
            </w:pPr>
            <w:r>
              <w:rPr>
                <w:rFonts w:ascii="Arial" w:cs="Arial" w:eastAsia="Arial" w:hAnsi="Arial"/>
                <w:sz w:val="14"/>
                <w:szCs w:val="14"/>
                <w:color w:val="auto"/>
              </w:rPr>
              <w:t>Other (primarily derivatives and company owned life insurance)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673</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1,305</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19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 term investments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8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Total (a)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41,348</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37,610</w:t>
            </w:r>
          </w:p>
        </w:tc>
        <w:tc>
          <w:tcPr>
            <w:tcW w:w="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37,301</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38,975</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bl>
    <w:p>
      <w:pPr>
        <w:ind w:left="20"/>
        <w:spacing w:after="0"/>
        <w:rPr>
          <w:sz w:val="20"/>
          <w:szCs w:val="20"/>
          <w:color w:val="auto"/>
        </w:rPr>
      </w:pPr>
      <w:r>
        <w:rPr>
          <w:rFonts w:ascii="Arial" w:cs="Arial" w:eastAsia="Arial" w:hAnsi="Arial"/>
          <w:sz w:val="14"/>
          <w:szCs w:val="14"/>
          <w:color w:val="auto"/>
        </w:rPr>
        <w:t>(a) Asset duration of 5.4 years and 6.4 years vs. liability duration of 5.7 years and 7.1 years for the periods ending June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-92710</wp:posOffset>
            </wp:positionV>
            <wp:extent cx="43719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Quality of Fixed Maturity Securities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June 30, 2022</w:t>
            </w:r>
          </w:p>
        </w:tc>
      </w:tr>
      <w:tr>
        <w:trPr>
          <w:trHeight w:val="188"/>
        </w:trPr>
        <w:tc>
          <w:tcPr>
            <w:tcW w:w="9120" w:type="dxa"/>
            <w:vAlign w:val="bottom"/>
          </w:tcPr>
          <w:p>
            <w:pPr>
              <w:jc w:val="right"/>
              <w:ind w:right="7888"/>
              <w:spacing w:after="0"/>
              <w:rPr>
                <w:sz w:val="20"/>
                <w:szCs w:val="20"/>
                <w:color w:val="auto"/>
              </w:rPr>
            </w:pPr>
            <w:r>
              <w:rPr>
                <w:rFonts w:ascii="Arial" w:cs="Arial" w:eastAsia="Arial" w:hAnsi="Arial"/>
                <w:sz w:val="14"/>
                <w:szCs w:val="14"/>
                <w:b w:val="1"/>
                <w:bCs w:val="1"/>
                <w:color w:val="auto"/>
                <w:w w:val="96"/>
              </w:rPr>
              <w:t>NAIC Designation</w:t>
            </w: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auto"/>
              </w:rPr>
              <w:t>Percent</w:t>
            </w:r>
          </w:p>
        </w:tc>
      </w:tr>
      <w:tr>
        <w:trPr>
          <w:trHeight w:val="190"/>
        </w:trPr>
        <w:tc>
          <w:tcPr>
            <w:tcW w:w="9120" w:type="dxa"/>
            <w:vAlign w:val="bottom"/>
            <w:shd w:val="clear" w:color="auto" w:fill="CCEEFF"/>
          </w:tcPr>
          <w:p>
            <w:pPr>
              <w:jc w:val="right"/>
              <w:ind w:right="850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16,033</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56 %</w:t>
            </w:r>
          </w:p>
        </w:tc>
      </w:tr>
      <w:tr>
        <w:trPr>
          <w:trHeight w:val="186"/>
        </w:trPr>
        <w:tc>
          <w:tcPr>
            <w:tcW w:w="9120" w:type="dxa"/>
            <w:vAlign w:val="bottom"/>
          </w:tcPr>
          <w:p>
            <w:pPr>
              <w:jc w:val="right"/>
              <w:ind w:right="850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10,121</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36 %</w:t>
            </w:r>
          </w:p>
        </w:tc>
      </w:tr>
      <w:tr>
        <w:trPr>
          <w:trHeight w:val="192"/>
        </w:trPr>
        <w:tc>
          <w:tcPr>
            <w:tcW w:w="9120" w:type="dxa"/>
            <w:vAlign w:val="bottom"/>
            <w:shd w:val="clear" w:color="auto" w:fill="CCEEFF"/>
          </w:tcPr>
          <w:p>
            <w:pPr>
              <w:jc w:val="right"/>
              <w:ind w:right="850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6"/>
        </w:trPr>
        <w:tc>
          <w:tcPr>
            <w:tcW w:w="9120" w:type="dxa"/>
            <w:vAlign w:val="bottom"/>
          </w:tcPr>
          <w:p>
            <w:pPr>
              <w:jc w:val="right"/>
              <w:ind w:right="850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532</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92"/>
        </w:trPr>
        <w:tc>
          <w:tcPr>
            <w:tcW w:w="9120" w:type="dxa"/>
            <w:vAlign w:val="bottom"/>
            <w:shd w:val="clear" w:color="auto" w:fill="CCEEFF"/>
          </w:tcPr>
          <w:p>
            <w:pPr>
              <w:jc w:val="right"/>
              <w:ind w:right="850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9120" w:type="dxa"/>
            <w:vAlign w:val="bottom"/>
            <w:tcBorders>
              <w:bottom w:val="single" w:sz="8" w:color="CCEEFF"/>
            </w:tcBorders>
          </w:tcPr>
          <w:p>
            <w:pPr>
              <w:jc w:val="right"/>
              <w:ind w:right="850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08"/>
        </w:trPr>
        <w:tc>
          <w:tcPr>
            <w:tcW w:w="9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28,398</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June 30, 2022</w:t>
            </w:r>
          </w:p>
        </w:tc>
      </w:tr>
      <w:tr>
        <w:trPr>
          <w:trHeight w:val="188"/>
        </w:trPr>
        <w:tc>
          <w:tcPr>
            <w:tcW w:w="9120" w:type="dxa"/>
            <w:vAlign w:val="bottom"/>
          </w:tcPr>
          <w:p>
            <w:pPr>
              <w:ind w:left="20"/>
              <w:spacing w:after="0"/>
              <w:rPr>
                <w:sz w:val="20"/>
                <w:szCs w:val="20"/>
                <w:color w:val="auto"/>
              </w:rPr>
            </w:pPr>
            <w:r>
              <w:rPr>
                <w:rFonts w:ascii="Arial" w:cs="Arial" w:eastAsia="Arial" w:hAnsi="Arial"/>
                <w:sz w:val="14"/>
                <w:szCs w:val="14"/>
                <w:b w:val="1"/>
                <w:bCs w:val="1"/>
                <w:color w:val="auto"/>
              </w:rPr>
              <w:t>Rating Agency Rating</w:t>
            </w: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auto"/>
              </w:rPr>
              <w:t>Percent</w:t>
            </w:r>
          </w:p>
        </w:tc>
      </w:tr>
      <w:tr>
        <w:trPr>
          <w:trHeight w:val="190"/>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r>
      <w:tr>
        <w:trPr>
          <w:trHeight w:val="186"/>
        </w:trPr>
        <w:tc>
          <w:tcPr>
            <w:tcW w:w="9120" w:type="dxa"/>
            <w:vAlign w:val="bottom"/>
          </w:tcPr>
          <w:p>
            <w:pPr>
              <w:ind w:left="20"/>
              <w:spacing w:after="0"/>
              <w:rPr>
                <w:sz w:val="20"/>
                <w:szCs w:val="20"/>
                <w:color w:val="auto"/>
              </w:rPr>
            </w:pPr>
            <w:r>
              <w:rPr>
                <w:rFonts w:ascii="Arial" w:cs="Arial" w:eastAsia="Arial" w:hAnsi="Arial"/>
                <w:sz w:val="14"/>
                <w:szCs w:val="14"/>
                <w:color w:val="auto"/>
              </w:rPr>
              <w:t>AA</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1,990</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192"/>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7,092</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r>
      <w:tr>
        <w:trPr>
          <w:trHeight w:val="186"/>
        </w:trPr>
        <w:tc>
          <w:tcPr>
            <w:tcW w:w="9120" w:type="dxa"/>
            <w:vAlign w:val="bottom"/>
          </w:tcPr>
          <w:p>
            <w:pPr>
              <w:ind w:left="20"/>
              <w:spacing w:after="0"/>
              <w:rPr>
                <w:sz w:val="20"/>
                <w:szCs w:val="20"/>
                <w:color w:val="auto"/>
              </w:rPr>
            </w:pPr>
            <w:r>
              <w:rPr>
                <w:rFonts w:ascii="Arial" w:cs="Arial" w:eastAsia="Arial" w:hAnsi="Arial"/>
                <w:sz w:val="14"/>
                <w:szCs w:val="14"/>
                <w:color w:val="auto"/>
              </w:rPr>
              <w:t>BBB</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8,519</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192"/>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 rated</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7,796</w:t>
            </w:r>
          </w:p>
        </w:tc>
        <w:tc>
          <w:tcPr>
            <w:tcW w:w="8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28 %</w:t>
            </w:r>
          </w:p>
        </w:tc>
      </w:tr>
      <w:tr>
        <w:trPr>
          <w:trHeight w:val="179"/>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investment grade</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26,386</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93 %</w:t>
            </w:r>
          </w:p>
        </w:tc>
      </w:tr>
      <w:tr>
        <w:trPr>
          <w:trHeight w:val="186"/>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86"/>
        </w:trPr>
        <w:tc>
          <w:tcPr>
            <w:tcW w:w="9120" w:type="dxa"/>
            <w:vAlign w:val="bottom"/>
          </w:tcPr>
          <w:p>
            <w:pPr>
              <w:ind w:left="20"/>
              <w:spacing w:after="0"/>
              <w:rPr>
                <w:sz w:val="20"/>
                <w:szCs w:val="20"/>
                <w:color w:val="auto"/>
              </w:rPr>
            </w:pPr>
            <w:r>
              <w:rPr>
                <w:rFonts w:ascii="Arial" w:cs="Arial" w:eastAsia="Arial" w:hAnsi="Arial"/>
                <w:sz w:val="14"/>
                <w:szCs w:val="14"/>
                <w:color w:val="auto"/>
              </w:rPr>
              <w:t>B and below</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362</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192"/>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 rated</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8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79"/>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below investment grade</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r>
      <w:tr>
        <w:trPr>
          <w:trHeight w:val="208"/>
        </w:trPr>
        <w:tc>
          <w:tcPr>
            <w:tcW w:w="9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28,398</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of Residential Mortgage Backed Securities by Collateral Type and NAIC Designation</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180" w:type="dxa"/>
            <w:vAlign w:val="bottom"/>
            <w:tcBorders>
              <w:bottom w:val="single" w:sz="8" w:color="auto"/>
            </w:tcBorders>
          </w:tcPr>
          <w:p>
            <w:pPr>
              <w:spacing w:after="0"/>
              <w:rPr>
                <w:sz w:val="16"/>
                <w:szCs w:val="16"/>
                <w:color w:val="auto"/>
              </w:rPr>
            </w:pPr>
          </w:p>
        </w:tc>
      </w:tr>
      <w:tr>
        <w:trPr>
          <w:trHeight w:val="188"/>
        </w:trPr>
        <w:tc>
          <w:tcPr>
            <w:tcW w:w="7920" w:type="dxa"/>
            <w:vAlign w:val="bottom"/>
          </w:tcPr>
          <w:p>
            <w:pPr>
              <w:ind w:left="20"/>
              <w:spacing w:after="0"/>
              <w:rPr>
                <w:sz w:val="20"/>
                <w:szCs w:val="20"/>
                <w:color w:val="auto"/>
              </w:rPr>
            </w:pPr>
            <w:r>
              <w:rPr>
                <w:rFonts w:ascii="Arial" w:cs="Arial" w:eastAsia="Arial" w:hAnsi="Arial"/>
                <w:sz w:val="14"/>
                <w:szCs w:val="14"/>
                <w:b w:val="1"/>
                <w:bCs w:val="1"/>
                <w:color w:val="auto"/>
              </w:rPr>
              <w:t>Total by collateral type</w:t>
            </w: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420" w:type="dxa"/>
            <w:vAlign w:val="bottom"/>
          </w:tcPr>
          <w:p>
            <w:pPr>
              <w:spacing w:after="0"/>
              <w:rPr>
                <w:sz w:val="16"/>
                <w:szCs w:val="16"/>
                <w:color w:val="auto"/>
              </w:rPr>
            </w:pPr>
          </w:p>
        </w:tc>
        <w:tc>
          <w:tcPr>
            <w:tcW w:w="1180" w:type="dxa"/>
            <w:vAlign w:val="bottom"/>
          </w:tcPr>
          <w:p>
            <w:pPr>
              <w:jc w:val="right"/>
              <w:ind w:right="408"/>
              <w:spacing w:after="0"/>
              <w:rPr>
                <w:sz w:val="20"/>
                <w:szCs w:val="20"/>
                <w:color w:val="auto"/>
              </w:rPr>
            </w:pPr>
            <w:r>
              <w:rPr>
                <w:rFonts w:ascii="Arial" w:cs="Arial" w:eastAsia="Arial" w:hAnsi="Arial"/>
                <w:sz w:val="14"/>
                <w:szCs w:val="14"/>
                <w:b w:val="1"/>
                <w:bCs w:val="1"/>
                <w:color w:val="auto"/>
              </w:rPr>
              <w:t>Fair Value</w:t>
            </w:r>
          </w:p>
        </w:tc>
      </w:tr>
      <w:tr>
        <w:trPr>
          <w:trHeight w:val="184"/>
        </w:trPr>
        <w:tc>
          <w:tcPr>
            <w:tcW w:w="79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Government Agency</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86"/>
        </w:trPr>
        <w:tc>
          <w:tcPr>
            <w:tcW w:w="7920" w:type="dxa"/>
            <w:vAlign w:val="bottom"/>
          </w:tcPr>
          <w:p>
            <w:pPr>
              <w:ind w:left="220"/>
              <w:spacing w:after="0"/>
              <w:rPr>
                <w:sz w:val="20"/>
                <w:szCs w:val="20"/>
                <w:color w:val="auto"/>
              </w:rPr>
            </w:pPr>
            <w:r>
              <w:rPr>
                <w:rFonts w:ascii="Arial" w:cs="Arial" w:eastAsia="Arial" w:hAnsi="Arial"/>
                <w:sz w:val="14"/>
                <w:szCs w:val="14"/>
                <w:color w:val="auto"/>
              </w:rPr>
              <w:t>Prime</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800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736</w:t>
            </w:r>
          </w:p>
        </w:tc>
      </w:tr>
      <w:tr>
        <w:trPr>
          <w:trHeight w:val="192"/>
        </w:trPr>
        <w:tc>
          <w:tcPr>
            <w:tcW w:w="7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Subprime</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6"/>
        </w:trPr>
        <w:tc>
          <w:tcPr>
            <w:tcW w:w="79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Alt-A</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r>
      <w:tr>
        <w:trPr>
          <w:trHeight w:val="208"/>
        </w:trPr>
        <w:tc>
          <w:tcPr>
            <w:tcW w:w="7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969</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180" w:type="dxa"/>
            <w:vAlign w:val="bottom"/>
            <w:tcBorders>
              <w:bottom w:val="single" w:sz="8" w:color="auto"/>
            </w:tcBorders>
          </w:tcPr>
          <w:p>
            <w:pPr>
              <w:spacing w:after="0"/>
              <w:rPr>
                <w:sz w:val="16"/>
                <w:szCs w:val="16"/>
                <w:color w:val="auto"/>
              </w:rPr>
            </w:pPr>
          </w:p>
        </w:tc>
      </w:tr>
      <w:tr>
        <w:trPr>
          <w:trHeight w:val="188"/>
        </w:trPr>
        <w:tc>
          <w:tcPr>
            <w:tcW w:w="7920" w:type="dxa"/>
            <w:vAlign w:val="bottom"/>
          </w:tcPr>
          <w:p>
            <w:pPr>
              <w:jc w:val="right"/>
              <w:ind w:right="6188"/>
              <w:spacing w:after="0"/>
              <w:rPr>
                <w:sz w:val="20"/>
                <w:szCs w:val="20"/>
                <w:color w:val="auto"/>
              </w:rPr>
            </w:pPr>
            <w:r>
              <w:rPr>
                <w:rFonts w:ascii="Arial" w:cs="Arial" w:eastAsia="Arial" w:hAnsi="Arial"/>
                <w:sz w:val="14"/>
                <w:szCs w:val="14"/>
                <w:b w:val="1"/>
                <w:bCs w:val="1"/>
                <w:color w:val="auto"/>
                <w:w w:val="94"/>
              </w:rPr>
              <w:t>Total by NAIC designation</w:t>
            </w: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420" w:type="dxa"/>
            <w:vAlign w:val="bottom"/>
          </w:tcPr>
          <w:p>
            <w:pPr>
              <w:spacing w:after="0"/>
              <w:rPr>
                <w:sz w:val="16"/>
                <w:szCs w:val="16"/>
                <w:color w:val="auto"/>
              </w:rPr>
            </w:pPr>
          </w:p>
        </w:tc>
        <w:tc>
          <w:tcPr>
            <w:tcW w:w="1180" w:type="dxa"/>
            <w:vAlign w:val="bottom"/>
          </w:tcPr>
          <w:p>
            <w:pPr>
              <w:jc w:val="right"/>
              <w:ind w:right="408"/>
              <w:spacing w:after="0"/>
              <w:rPr>
                <w:sz w:val="20"/>
                <w:szCs w:val="20"/>
                <w:color w:val="auto"/>
              </w:rPr>
            </w:pPr>
            <w:r>
              <w:rPr>
                <w:rFonts w:ascii="Arial" w:cs="Arial" w:eastAsia="Arial" w:hAnsi="Arial"/>
                <w:sz w:val="14"/>
                <w:szCs w:val="14"/>
                <w:b w:val="1"/>
                <w:bCs w:val="1"/>
                <w:color w:val="auto"/>
              </w:rPr>
              <w:t>Fair Value</w:t>
            </w:r>
          </w:p>
        </w:tc>
      </w:tr>
      <w:tr>
        <w:trPr>
          <w:trHeight w:val="184"/>
        </w:trPr>
        <w:tc>
          <w:tcPr>
            <w:tcW w:w="7920" w:type="dxa"/>
            <w:vAlign w:val="bottom"/>
            <w:tcBorders>
              <w:top w:val="single" w:sz="8" w:color="CCEEFF"/>
            </w:tcBorders>
            <w:shd w:val="clear" w:color="auto" w:fill="CCEEFF"/>
          </w:tcPr>
          <w:p>
            <w:pPr>
              <w:jc w:val="right"/>
              <w:ind w:right="7568"/>
              <w:spacing w:after="0"/>
              <w:rPr>
                <w:sz w:val="20"/>
                <w:szCs w:val="20"/>
                <w:color w:val="auto"/>
              </w:rPr>
            </w:pPr>
            <w:r>
              <w:rPr>
                <w:rFonts w:ascii="Arial" w:cs="Arial" w:eastAsia="Arial" w:hAnsi="Arial"/>
                <w:sz w:val="14"/>
                <w:szCs w:val="14"/>
                <w:color w:val="auto"/>
              </w:rPr>
              <w:t>1</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944</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w:t>
            </w:r>
          </w:p>
        </w:tc>
      </w:tr>
      <w:tr>
        <w:trPr>
          <w:trHeight w:val="186"/>
        </w:trPr>
        <w:tc>
          <w:tcPr>
            <w:tcW w:w="7920" w:type="dxa"/>
            <w:vAlign w:val="bottom"/>
          </w:tcPr>
          <w:p>
            <w:pPr>
              <w:jc w:val="right"/>
              <w:ind w:right="7568"/>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92"/>
        </w:trPr>
        <w:tc>
          <w:tcPr>
            <w:tcW w:w="7920" w:type="dxa"/>
            <w:vAlign w:val="bottom"/>
            <w:shd w:val="clear" w:color="auto" w:fill="CCEEFF"/>
          </w:tcPr>
          <w:p>
            <w:pPr>
              <w:jc w:val="right"/>
              <w:ind w:right="7568"/>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7920" w:type="dxa"/>
            <w:vAlign w:val="bottom"/>
          </w:tcPr>
          <w:p>
            <w:pPr>
              <w:jc w:val="right"/>
              <w:ind w:right="7568"/>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9"/>
        </w:trPr>
        <w:tc>
          <w:tcPr>
            <w:tcW w:w="7920" w:type="dxa"/>
            <w:vAlign w:val="bottom"/>
            <w:shd w:val="clear" w:color="auto" w:fill="CCEEFF"/>
          </w:tcPr>
          <w:p>
            <w:pPr>
              <w:jc w:val="right"/>
              <w:ind w:right="7568"/>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79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969</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w:t>
            </w:r>
          </w:p>
        </w:tc>
      </w:tr>
      <w:tr>
        <w:trPr>
          <w:trHeight w:val="24"/>
        </w:trPr>
        <w:tc>
          <w:tcPr>
            <w:tcW w:w="7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Top 5 Reinsurers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June 30, 2022</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4"/>
              </w:rPr>
              <w:t>Financial Strength Rating</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Company/Principal Reinsurers</w:t>
            </w:r>
          </w:p>
        </w:tc>
        <w:tc>
          <w:tcPr>
            <w:tcW w:w="100" w:type="dxa"/>
            <w:vAlign w:val="bottom"/>
          </w:tcPr>
          <w:p>
            <w:pPr>
              <w:spacing w:after="0"/>
              <w:rPr>
                <w:sz w:val="10"/>
                <w:szCs w:val="10"/>
                <w:color w:val="auto"/>
              </w:rPr>
            </w:pPr>
          </w:p>
        </w:tc>
        <w:tc>
          <w:tcPr>
            <w:tcW w:w="120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w w:val="97"/>
              </w:rPr>
              <w:t>Reinsurance</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AM Best</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S&amp;P</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Fitch</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Moody's</w:t>
            </w:r>
          </w:p>
        </w:tc>
        <w:tc>
          <w:tcPr>
            <w:tcW w:w="0" w:type="dxa"/>
            <w:vAlign w:val="bottom"/>
          </w:tcPr>
          <w:p>
            <w:pPr>
              <w:spacing w:after="0"/>
              <w:rPr>
                <w:sz w:val="1"/>
                <w:szCs w:val="1"/>
                <w:color w:val="auto"/>
              </w:rPr>
            </w:pPr>
          </w:p>
        </w:tc>
      </w:tr>
      <w:tr>
        <w:trPr>
          <w:trHeight w:val="188"/>
        </w:trPr>
        <w:tc>
          <w:tcPr>
            <w:tcW w:w="6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Recoverable (a)</w:t>
            </w:r>
          </w:p>
        </w:tc>
        <w:tc>
          <w:tcPr>
            <w:tcW w:w="9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Aspida Life Re Ltd</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1,651</w:t>
            </w: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A-</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not rated</w:t>
            </w: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not rated</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not rated</w:t>
            </w:r>
          </w:p>
        </w:tc>
        <w:tc>
          <w:tcPr>
            <w:tcW w:w="0" w:type="dxa"/>
            <w:vAlign w:val="bottom"/>
          </w:tcPr>
          <w:p>
            <w:pPr>
              <w:spacing w:after="0"/>
              <w:rPr>
                <w:sz w:val="1"/>
                <w:szCs w:val="1"/>
                <w:color w:val="auto"/>
              </w:rPr>
            </w:pPr>
          </w:p>
        </w:tc>
      </w:tr>
      <w:tr>
        <w:trPr>
          <w:trHeight w:val="186"/>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Wilton Re</w:t>
            </w:r>
          </w:p>
        </w:tc>
        <w:tc>
          <w:tcPr>
            <w:tcW w:w="10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1,259</w:t>
            </w:r>
          </w:p>
        </w:tc>
        <w:tc>
          <w:tcPr>
            <w:tcW w:w="80" w:type="dxa"/>
            <w:vAlign w:val="bottom"/>
          </w:tcPr>
          <w:p>
            <w:pPr>
              <w:spacing w:after="0"/>
              <w:rPr>
                <w:sz w:val="16"/>
                <w:szCs w:val="16"/>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not rated</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rPr>
              <w:t>A+</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not rated</w:t>
            </w:r>
          </w:p>
        </w:tc>
        <w:tc>
          <w:tcPr>
            <w:tcW w:w="0" w:type="dxa"/>
            <w:vAlign w:val="bottom"/>
          </w:tcPr>
          <w:p>
            <w:pPr>
              <w:spacing w:after="0"/>
              <w:rPr>
                <w:sz w:val="1"/>
                <w:szCs w:val="1"/>
                <w:color w:val="auto"/>
              </w:rPr>
            </w:pPr>
          </w:p>
        </w:tc>
      </w:tr>
      <w:tr>
        <w:trPr>
          <w:trHeight w:val="192"/>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Somerset Reinsurance Ltd</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626</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A-</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BBB+</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not rated</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not rated</w:t>
            </w:r>
          </w:p>
        </w:tc>
        <w:tc>
          <w:tcPr>
            <w:tcW w:w="0" w:type="dxa"/>
            <w:vAlign w:val="bottom"/>
          </w:tcPr>
          <w:p>
            <w:pPr>
              <w:spacing w:after="0"/>
              <w:rPr>
                <w:sz w:val="1"/>
                <w:szCs w:val="1"/>
                <w:color w:val="auto"/>
              </w:rPr>
            </w:pPr>
          </w:p>
        </w:tc>
      </w:tr>
      <w:tr>
        <w:trPr>
          <w:trHeight w:val="186"/>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London Life Reinsurance Co.</w:t>
            </w:r>
          </w:p>
        </w:tc>
        <w:tc>
          <w:tcPr>
            <w:tcW w:w="10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6"/>
                <w:szCs w:val="16"/>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not rated</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not rated</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not rated</w:t>
            </w:r>
          </w:p>
        </w:tc>
        <w:tc>
          <w:tcPr>
            <w:tcW w:w="0" w:type="dxa"/>
            <w:vAlign w:val="bottom"/>
          </w:tcPr>
          <w:p>
            <w:pPr>
              <w:spacing w:after="0"/>
              <w:rPr>
                <w:sz w:val="1"/>
                <w:szCs w:val="1"/>
                <w:color w:val="auto"/>
              </w:rPr>
            </w:pPr>
          </w:p>
        </w:tc>
      </w:tr>
      <w:tr>
        <w:trPr>
          <w:trHeight w:val="192"/>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Security Life of Denver</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0"/>
              </w:rPr>
              <w:t>not rated</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A-</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A-</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Baa1</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(a) Reinsurance recoverables do not include unearned ceded premiums that would be recovered in the event of early termination of certain traditional life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Definitions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definitions of non-GAAP measures used by F&amp;G, as an operating segment of FNF:</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Adjusted Net Earnings Attributable to Common Shareholders (Adjusted Net Earnings)</w:t>
      </w:r>
    </w:p>
    <w:p>
      <w:pPr>
        <w:spacing w:after="0" w:line="131" w:lineRule="exact"/>
        <w:rPr>
          <w:sz w:val="20"/>
          <w:szCs w:val="20"/>
          <w:color w:val="auto"/>
        </w:rPr>
      </w:pPr>
    </w:p>
    <w:p>
      <w:pPr>
        <w:ind w:left="20" w:right="80"/>
        <w:spacing w:after="0" w:line="235" w:lineRule="auto"/>
        <w:rPr>
          <w:sz w:val="20"/>
          <w:szCs w:val="20"/>
          <w:color w:val="auto"/>
        </w:rPr>
      </w:pPr>
      <w:r>
        <w:rPr>
          <w:rFonts w:ascii="Arial" w:cs="Arial" w:eastAsia="Arial" w:hAnsi="Arial"/>
          <w:sz w:val="18"/>
          <w:szCs w:val="18"/>
          <w:color w:val="auto"/>
        </w:rPr>
        <w:t>Adjusted net earnings is a non-GAAP economic measure we use to evaluate financial performance each period. Adjusted net earnings is calculated by adjusting net earnings (loss) from continuing operations attributable to common shareholders to eliminate:</w:t>
      </w:r>
    </w:p>
    <w:p>
      <w:pPr>
        <w:jc w:val="both"/>
        <w:ind w:left="20" w:right="300" w:firstLine="6"/>
        <w:spacing w:after="0" w:line="252" w:lineRule="auto"/>
        <w:tabs>
          <w:tab w:leader="none" w:pos="2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Recognized (gains) and losses, net: the impact of net investment gains/losses, including changes in allowance for expected credit losses and other than temporary impairment ("OTTI") losses, recognized in operations; the impact of market volatility on the alternative asset portfolio that differ from management's expectation of returns over the life of these assets; and the effect of changes in fair value of the reinsurance related embedded derivative;</w:t>
      </w:r>
    </w:p>
    <w:p>
      <w:pPr>
        <w:ind w:left="20" w:right="300" w:firstLine="6"/>
        <w:spacing w:after="0" w:line="234" w:lineRule="auto"/>
        <w:tabs>
          <w:tab w:leader="none" w:pos="3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Indexed product related derivatives: the impacts related to changes in the fair value, including both realized and unrealized gains and losses, of index product related derivatives and embedded derivatives, net of hedging cost;</w:t>
      </w:r>
    </w:p>
    <w:p>
      <w:pPr>
        <w:spacing w:after="0" w:line="1" w:lineRule="exact"/>
        <w:rPr>
          <w:rFonts w:ascii="Arial" w:cs="Arial" w:eastAsia="Arial" w:hAnsi="Arial"/>
          <w:sz w:val="18"/>
          <w:szCs w:val="18"/>
          <w:color w:val="auto"/>
        </w:rPr>
      </w:pPr>
    </w:p>
    <w:p>
      <w:pPr>
        <w:ind w:left="20" w:right="300" w:firstLine="6"/>
        <w:spacing w:after="0" w:line="23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 price amortization: the impacts related to the amortization of certain intangibles (internally developed software, trademarks and value of distribution asset ("VODA")) recognized as a result of acquisition activities;</w:t>
      </w:r>
    </w:p>
    <w:p>
      <w:pPr>
        <w:spacing w:after="0" w:line="1" w:lineRule="exact"/>
        <w:rPr>
          <w:rFonts w:ascii="Arial" w:cs="Arial" w:eastAsia="Arial" w:hAnsi="Arial"/>
          <w:sz w:val="18"/>
          <w:szCs w:val="18"/>
          <w:color w:val="auto"/>
        </w:rPr>
      </w:pPr>
    </w:p>
    <w:p>
      <w:pPr>
        <w:ind w:left="340" w:hanging="31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 costs: the impacts related to acquisition, integration and merger related items; and</w:t>
      </w:r>
    </w:p>
    <w:p>
      <w:pPr>
        <w:spacing w:after="0" w:line="22" w:lineRule="exact"/>
        <w:rPr>
          <w:rFonts w:ascii="Arial" w:cs="Arial" w:eastAsia="Arial" w:hAnsi="Arial"/>
          <w:sz w:val="18"/>
          <w:szCs w:val="18"/>
          <w:color w:val="auto"/>
        </w:rPr>
      </w:pPr>
    </w:p>
    <w:p>
      <w:pPr>
        <w:jc w:val="both"/>
        <w:ind w:left="20" w:right="300" w:firstLine="6"/>
        <w:spacing w:after="0" w:line="237" w:lineRule="auto"/>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"non-recurring", "infrequent" or "unusual items": Management excludes certain items determined to be “non-recurring”, “infrequent” or “unusual” from adjusted net earnings when incurred if it is determined these expenses are not a reflection of the core business and when the nature of the item is such that it is not reasonably likely to recur within two years and/or there was not a similar item in the preceding two years.</w:t>
      </w:r>
    </w:p>
    <w:p>
      <w:pPr>
        <w:spacing w:after="0" w:line="109" w:lineRule="exact"/>
        <w:rPr>
          <w:sz w:val="20"/>
          <w:szCs w:val="20"/>
          <w:color w:val="auto"/>
        </w:rPr>
      </w:pPr>
    </w:p>
    <w:p>
      <w:pPr>
        <w:jc w:val="both"/>
        <w:ind w:left="20" w:right="80"/>
        <w:spacing w:after="0" w:line="226" w:lineRule="auto"/>
        <w:rPr>
          <w:sz w:val="20"/>
          <w:szCs w:val="20"/>
          <w:color w:val="auto"/>
        </w:rPr>
      </w:pPr>
      <w:r>
        <w:rPr>
          <w:rFonts w:ascii="Arial" w:cs="Arial" w:eastAsia="Arial" w:hAnsi="Arial"/>
          <w:sz w:val="17"/>
          <w:szCs w:val="17"/>
          <w:color w:val="auto"/>
        </w:rPr>
        <w:t>Adjustments to adjusted net earnings are net of the corresponding impact on amortization of intangibles, as appropriate. The income tax impact related to these adjustments is measured using an effective tax rate, as appropriate by tax jurisdiction. While these adjustments are an integral part of the overall performance of F&amp;G, market conditions and/or the non-operating nature of these items can overshadow the underlying performance of the core business. Accordingly, management considers this to be a useful measure internally and to investors and analysts in analyzing the trends of our operations. Adjusted net earnings should not be used as a substitute for net earnings (loss). However, we believe the adjustments made to net earnings (loss) in order to derive adjusted net earnings provide an understanding of our overall results of operations.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Total Shareholders’ Equity Excluding AOCI</w:t>
      </w:r>
    </w:p>
    <w:p>
      <w:pPr>
        <w:spacing w:after="0" w:line="131" w:lineRule="exact"/>
        <w:rPr>
          <w:sz w:val="20"/>
          <w:szCs w:val="20"/>
          <w:color w:val="auto"/>
        </w:rPr>
      </w:pPr>
    </w:p>
    <w:p>
      <w:pPr>
        <w:jc w:val="both"/>
        <w:ind w:left="20" w:right="80"/>
        <w:spacing w:after="0" w:line="237" w:lineRule="auto"/>
        <w:rPr>
          <w:sz w:val="20"/>
          <w:szCs w:val="20"/>
          <w:color w:val="auto"/>
        </w:rPr>
      </w:pPr>
      <w:r>
        <w:rPr>
          <w:rFonts w:ascii="Arial" w:cs="Arial" w:eastAsia="Arial" w:hAnsi="Arial"/>
          <w:sz w:val="17"/>
          <w:szCs w:val="17"/>
          <w:color w:val="auto"/>
        </w:rPr>
        <w:t>Total Shareholders’ Equity Excluding AOCI is based on Total Shareholders' Equity excluding the effect of AOCI. Since AOCI fluctuates from quarter to quarter due to unrealized changes in the fair value of available for sale investments, Management considers this non-GAAP financial measure to provide useful supplemental information internally and to investors and analysts assessing the level of earned equity on Total Shareholders' Equity.</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Assets Under Management (AUM)</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AUM is calculated as the sum of:</w:t>
      </w:r>
    </w:p>
    <w:p>
      <w:pPr>
        <w:spacing w:after="0" w:line="23" w:lineRule="exact"/>
        <w:rPr>
          <w:sz w:val="20"/>
          <w:szCs w:val="20"/>
          <w:color w:val="auto"/>
        </w:rPr>
      </w:pPr>
    </w:p>
    <w:p>
      <w:pPr>
        <w:ind w:left="560" w:hanging="210"/>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invested assets at amortized cost, excluding derivatives, net of reinsurance qualifying for risk transfer in accordance with GAAP;</w:t>
      </w:r>
    </w:p>
    <w:p>
      <w:pPr>
        <w:spacing w:after="0" w:line="22" w:lineRule="exact"/>
        <w:rPr>
          <w:rFonts w:ascii="Arial" w:cs="Arial" w:eastAsia="Arial" w:hAnsi="Arial"/>
          <w:sz w:val="18"/>
          <w:szCs w:val="18"/>
          <w:color w:val="auto"/>
        </w:rPr>
      </w:pPr>
    </w:p>
    <w:p>
      <w:pPr>
        <w:ind w:left="620" w:hanging="270"/>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related party loans and investments;</w:t>
      </w:r>
    </w:p>
    <w:p>
      <w:pPr>
        <w:spacing w:after="0" w:line="22" w:lineRule="exact"/>
        <w:rPr>
          <w:rFonts w:ascii="Arial" w:cs="Arial" w:eastAsia="Arial" w:hAnsi="Arial"/>
          <w:sz w:val="18"/>
          <w:szCs w:val="18"/>
          <w:color w:val="auto"/>
        </w:rPr>
      </w:pPr>
    </w:p>
    <w:p>
      <w:pPr>
        <w:ind w:left="660" w:hanging="31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accrued investment income;</w:t>
      </w:r>
    </w:p>
    <w:p>
      <w:pPr>
        <w:spacing w:after="0" w:line="22" w:lineRule="exact"/>
        <w:rPr>
          <w:rFonts w:ascii="Arial" w:cs="Arial" w:eastAsia="Arial" w:hAnsi="Arial"/>
          <w:sz w:val="18"/>
          <w:szCs w:val="18"/>
          <w:color w:val="auto"/>
        </w:rPr>
      </w:pPr>
    </w:p>
    <w:p>
      <w:pPr>
        <w:ind w:left="660" w:hanging="31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net payable/receivable for the purchase/sale of investments, and</w:t>
      </w:r>
    </w:p>
    <w:p>
      <w:pPr>
        <w:spacing w:after="0" w:line="22" w:lineRule="exact"/>
        <w:rPr>
          <w:rFonts w:ascii="Arial" w:cs="Arial" w:eastAsia="Arial" w:hAnsi="Arial"/>
          <w:sz w:val="18"/>
          <w:szCs w:val="18"/>
          <w:color w:val="auto"/>
        </w:rPr>
      </w:pPr>
    </w:p>
    <w:p>
      <w:pPr>
        <w:ind w:left="360" w:right="360" w:hanging="10"/>
        <w:spacing w:after="0" w:line="234"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cash equivalents excluding derivative collateral at the beginning of the period and the end of each month in the period, divided by the total number of months in the period plus one.</w:t>
      </w:r>
    </w:p>
    <w:p>
      <w:pPr>
        <w:spacing w:after="0" w:line="1" w:lineRule="exact"/>
        <w:rPr>
          <w:sz w:val="20"/>
          <w:szCs w:val="20"/>
          <w:color w:val="auto"/>
        </w:rPr>
      </w:pPr>
    </w:p>
    <w:p>
      <w:pPr>
        <w:ind w:left="20" w:right="80"/>
        <w:spacing w:after="0" w:line="234" w:lineRule="auto"/>
        <w:rPr>
          <w:sz w:val="20"/>
          <w:szCs w:val="20"/>
          <w:color w:val="auto"/>
        </w:rPr>
      </w:pPr>
      <w:r>
        <w:rPr>
          <w:rFonts w:ascii="Arial" w:cs="Arial" w:eastAsia="Arial" w:hAnsi="Arial"/>
          <w:sz w:val="18"/>
          <w:szCs w:val="18"/>
          <w:color w:val="auto"/>
        </w:rPr>
        <w:t>Management considers this non-GAAP financial measure to be useful internally and to investors and analysts when assessing the rate of return on assets available for reinvestment.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F&amp;G - An Operating Segment of FNF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Supplement -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periods are unaudited)</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Financial Measures Definitions (continued)</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Average Assets Under Management (AAUM)</w:t>
      </w:r>
    </w:p>
    <w:p>
      <w:pPr>
        <w:spacing w:after="0" w:line="131" w:lineRule="exact"/>
        <w:rPr>
          <w:sz w:val="20"/>
          <w:szCs w:val="20"/>
          <w:color w:val="auto"/>
        </w:rPr>
      </w:pPr>
    </w:p>
    <w:p>
      <w:pPr>
        <w:ind w:left="20" w:right="200"/>
        <w:spacing w:after="0" w:line="235" w:lineRule="auto"/>
        <w:rPr>
          <w:sz w:val="20"/>
          <w:szCs w:val="20"/>
          <w:color w:val="auto"/>
        </w:rPr>
      </w:pPr>
      <w:r>
        <w:rPr>
          <w:rFonts w:ascii="Arial" w:cs="Arial" w:eastAsia="Arial" w:hAnsi="Arial"/>
          <w:sz w:val="18"/>
          <w:szCs w:val="18"/>
          <w:color w:val="auto"/>
        </w:rPr>
        <w:t>AAUM is calculated as AUM at the beginning of the period and the end of each month in the period, divided by the total number of months in the period plus one.</w:t>
      </w:r>
    </w:p>
    <w:p>
      <w:pPr>
        <w:jc w:val="both"/>
        <w:ind w:left="20" w:right="80"/>
        <w:spacing w:after="0" w:line="234" w:lineRule="auto"/>
        <w:rPr>
          <w:sz w:val="20"/>
          <w:szCs w:val="20"/>
          <w:color w:val="auto"/>
        </w:rPr>
      </w:pPr>
      <w:r>
        <w:rPr>
          <w:rFonts w:ascii="Arial" w:cs="Arial" w:eastAsia="Arial" w:hAnsi="Arial"/>
          <w:sz w:val="18"/>
          <w:szCs w:val="18"/>
          <w:color w:val="auto"/>
        </w:rPr>
        <w:t>Management considers this non-GAAP financial measure to be useful internally and to investors and analysts when assessing the rate of return on assets available for reinvestment.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Yield on AAUM</w:t>
      </w:r>
    </w:p>
    <w:p>
      <w:pPr>
        <w:spacing w:after="0" w:line="131" w:lineRule="exact"/>
        <w:rPr>
          <w:sz w:val="20"/>
          <w:szCs w:val="20"/>
          <w:color w:val="auto"/>
        </w:rPr>
      </w:pPr>
    </w:p>
    <w:p>
      <w:pPr>
        <w:jc w:val="both"/>
        <w:ind w:left="20" w:right="80"/>
        <w:spacing w:after="0" w:line="235" w:lineRule="auto"/>
        <w:rPr>
          <w:sz w:val="20"/>
          <w:szCs w:val="20"/>
          <w:color w:val="auto"/>
        </w:rPr>
      </w:pPr>
      <w:r>
        <w:rPr>
          <w:rFonts w:ascii="Arial" w:cs="Arial" w:eastAsia="Arial" w:hAnsi="Arial"/>
          <w:sz w:val="18"/>
          <w:szCs w:val="18"/>
          <w:color w:val="auto"/>
        </w:rPr>
        <w:t>Yield on AAUM is calculated by dividing annualized net investment income by AAUM. Management considers this non-GAAP financial measure to be useful internally and to investors and analysts when assessing the level of return earned on AAUM.</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Alternative Investment Yield Adjustment</w:t>
      </w:r>
    </w:p>
    <w:p>
      <w:pPr>
        <w:spacing w:after="0" w:line="131" w:lineRule="exact"/>
        <w:rPr>
          <w:sz w:val="20"/>
          <w:szCs w:val="20"/>
          <w:color w:val="auto"/>
        </w:rPr>
      </w:pPr>
    </w:p>
    <w:p>
      <w:pPr>
        <w:jc w:val="both"/>
        <w:ind w:left="20" w:right="80"/>
        <w:spacing w:after="0" w:line="224" w:lineRule="auto"/>
        <w:rPr>
          <w:sz w:val="20"/>
          <w:szCs w:val="20"/>
          <w:color w:val="auto"/>
        </w:rPr>
      </w:pPr>
      <w:r>
        <w:rPr>
          <w:rFonts w:ascii="Arial" w:cs="Arial" w:eastAsia="Arial" w:hAnsi="Arial"/>
          <w:sz w:val="18"/>
          <w:szCs w:val="18"/>
          <w:color w:val="auto"/>
        </w:rPr>
        <w:t>Alternative investment yield adjustment is the current period yield impact of market volatility on the alternative investment portfolio that differ from management's expectation of returns over the life of these assets. Management considers this non-GAAP financial measure to be useful internally and to investors and analysts when assessing the level of return earned on AAUM.</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Adjusted Yield on AAUM</w:t>
      </w:r>
    </w:p>
    <w:p>
      <w:pPr>
        <w:spacing w:after="0" w:line="131" w:lineRule="exact"/>
        <w:rPr>
          <w:sz w:val="20"/>
          <w:szCs w:val="20"/>
          <w:color w:val="auto"/>
        </w:rPr>
      </w:pPr>
    </w:p>
    <w:p>
      <w:pPr>
        <w:jc w:val="both"/>
        <w:ind w:left="20" w:right="80"/>
        <w:spacing w:after="0" w:line="224" w:lineRule="auto"/>
        <w:rPr>
          <w:sz w:val="20"/>
          <w:szCs w:val="20"/>
          <w:color w:val="auto"/>
        </w:rPr>
      </w:pPr>
      <w:r>
        <w:rPr>
          <w:rFonts w:ascii="Arial" w:cs="Arial" w:eastAsia="Arial" w:hAnsi="Arial"/>
          <w:sz w:val="18"/>
          <w:szCs w:val="18"/>
          <w:color w:val="auto"/>
        </w:rPr>
        <w:t>Adjusted Yield on AAUM is calculated by dividing annualized net investment income by AAUM, plus or minus the alternative investment yield adjustment. Management considers this non-GAAP financial measure to be useful internally and to investors and analysts when assessing the level of return earned on AAUM.</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Investment Spread</w:t>
      </w:r>
    </w:p>
    <w:p>
      <w:pPr>
        <w:spacing w:after="0" w:line="131" w:lineRule="exact"/>
        <w:rPr>
          <w:sz w:val="20"/>
          <w:szCs w:val="20"/>
          <w:color w:val="auto"/>
        </w:rPr>
      </w:pPr>
    </w:p>
    <w:p>
      <w:pPr>
        <w:jc w:val="both"/>
        <w:ind w:left="20" w:right="80"/>
        <w:spacing w:after="0" w:line="219" w:lineRule="auto"/>
        <w:rPr>
          <w:sz w:val="20"/>
          <w:szCs w:val="20"/>
          <w:color w:val="auto"/>
        </w:rPr>
      </w:pPr>
      <w:r>
        <w:rPr>
          <w:rFonts w:ascii="Arial" w:cs="Arial" w:eastAsia="Arial" w:hAnsi="Arial"/>
          <w:sz w:val="18"/>
          <w:szCs w:val="18"/>
          <w:color w:val="auto"/>
        </w:rPr>
        <w:t>Net investment spread is the excess of net investment income, adjusted for market volatility on the alternative asset investment portfolio, earned over the sum of interest credited to policyholders and the cost of hedging our risk on indexed product policies. Management considers this non-GAAP financial measure to be useful internally and to investors and analysts when assessing the performance of the Company’s invested assets against the level of investment return provided to policyholders, inclusive of hedging costs.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Adjusted Return on Assets</w:t>
      </w:r>
    </w:p>
    <w:p>
      <w:pPr>
        <w:spacing w:after="0" w:line="117" w:lineRule="exact"/>
        <w:rPr>
          <w:sz w:val="20"/>
          <w:szCs w:val="20"/>
          <w:color w:val="auto"/>
        </w:rPr>
      </w:pPr>
    </w:p>
    <w:p>
      <w:pPr>
        <w:jc w:val="both"/>
        <w:ind w:left="20" w:right="80"/>
        <w:spacing w:after="0" w:line="289" w:lineRule="auto"/>
        <w:rPr>
          <w:sz w:val="20"/>
          <w:szCs w:val="20"/>
          <w:color w:val="auto"/>
        </w:rPr>
      </w:pPr>
      <w:r>
        <w:rPr>
          <w:rFonts w:ascii="Arial" w:cs="Arial" w:eastAsia="Arial" w:hAnsi="Arial"/>
          <w:sz w:val="16"/>
          <w:szCs w:val="16"/>
          <w:color w:val="auto"/>
        </w:rPr>
        <w:t>Adjusted Return on Assets is calculated by dividing annualized adjusted net earnings by year-to-date AAUM. Management considers this non-GAAP financial measure to be useful internally and to investors and analysts when assessing financial performance and profitability earned on AAUM.</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left="20" w:right="80"/>
        <w:spacing w:after="0" w:line="214" w:lineRule="auto"/>
        <w:rPr>
          <w:sz w:val="20"/>
          <w:szCs w:val="20"/>
          <w:color w:val="auto"/>
        </w:rPr>
      </w:pPr>
      <w:r>
        <w:rPr>
          <w:rFonts w:ascii="Arial" w:cs="Arial" w:eastAsia="Arial" w:hAnsi="Arial"/>
          <w:sz w:val="18"/>
          <w:szCs w:val="18"/>
          <w:color w:val="auto"/>
        </w:rPr>
        <w:t>Annuity, IUL, funding agreement and non-life contingent PRT sales are not derived from any specific GAAP income statement accounts or line items and should not be viewed as a substitute for any financial measure determined in accordance with GAAP. Sales from these products are recorded as deposit liabilities (i.e. contractholder funds) within the Company's consolidated financial statements in accordance with GAAP. Life contingent PRT sales are recorded as premiums in revenues within the consolidated financial statements. Management believes that presentation of sales, as measured for management purposes, enhances the understanding of our business and helps depict longer term trends that may not be apparent in the results of operations due to the timing of sales and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
      <w:numFmt w:val="bullet"/>
      <w:start w:val="1"/>
    </w:lvl>
    <w:lvl w:ilvl="1">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lvl w:ilvl="1">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lowerRoman"/>
      <w:start w:val="1"/>
    </w:lvl>
  </w:abstractNum>
  <w:abstractNum w:abstractNumId="9">
    <w:nsid w:val="1BEFD79F"/>
    <w:multiLevelType w:val="hybridMultilevel"/>
    <w:lvl w:ilvl="0">
      <w:lvlJc w:val="left"/>
      <w:lvlText w:val="%1."/>
      <w:numFmt w:val="lowerRoman"/>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2"/>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2022-08-02T15:44:02Z</dcterms:created>
  <dcterms:modified xsi:type="dcterms:W3CDTF">2022-08-02T15:44:02Z</dcterms:modified>
</cp:coreProperties>
</file>