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D74" w:rsidRPr="00746D9B" w:rsidRDefault="00B4077F" w:rsidP="004A4E3E">
      <w:pPr>
        <w:pStyle w:val="Heading2"/>
        <w:spacing w:line="480" w:lineRule="auto"/>
        <w:ind w:left="-1710" w:right="144"/>
        <w:jc w:val="center"/>
        <w:rPr>
          <w:sz w:val="24"/>
        </w:rPr>
      </w:pPr>
      <w:r w:rsidRPr="00746D9B">
        <w:rPr>
          <w:noProof/>
          <w:sz w:val="24"/>
        </w:rPr>
        <w:t>Fidelity National Financial, Inc.</w:t>
      </w:r>
      <w:r w:rsidRPr="00746D9B">
        <w:rPr>
          <w:sz w:val="24"/>
        </w:rPr>
        <w:t xml:space="preserve"> Reports </w:t>
      </w:r>
      <w:r w:rsidR="00510A71">
        <w:rPr>
          <w:sz w:val="24"/>
        </w:rPr>
        <w:t>F</w:t>
      </w:r>
      <w:r w:rsidR="00A02D15">
        <w:rPr>
          <w:sz w:val="24"/>
        </w:rPr>
        <w:t>irst</w:t>
      </w:r>
      <w:r w:rsidRPr="00746D9B">
        <w:rPr>
          <w:sz w:val="24"/>
        </w:rPr>
        <w:t xml:space="preserve"> Quarter 20</w:t>
      </w:r>
      <w:r w:rsidR="00A43921" w:rsidRPr="00746D9B">
        <w:rPr>
          <w:sz w:val="24"/>
        </w:rPr>
        <w:t>1</w:t>
      </w:r>
      <w:r w:rsidR="00E85E14">
        <w:rPr>
          <w:sz w:val="24"/>
        </w:rPr>
        <w:t>2</w:t>
      </w:r>
      <w:r w:rsidRPr="00746D9B">
        <w:rPr>
          <w:sz w:val="24"/>
        </w:rPr>
        <w:t xml:space="preserve"> EPS of $0.</w:t>
      </w:r>
      <w:r w:rsidR="00B87CDA">
        <w:rPr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152400</wp:posOffset>
            </wp:positionV>
            <wp:extent cx="7772400" cy="1141095"/>
            <wp:effectExtent l="19050" t="0" r="0" b="0"/>
            <wp:wrapTopAndBottom/>
            <wp:docPr id="9" name="Picture 9" descr="press_releas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ess_releas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14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331B">
        <w:rPr>
          <w:sz w:val="24"/>
        </w:rPr>
        <w:t>33</w:t>
      </w:r>
    </w:p>
    <w:p w:rsidR="00C31F04" w:rsidRDefault="00A04D74" w:rsidP="00746D9B">
      <w:pPr>
        <w:pStyle w:val="HTMLPreformatted"/>
        <w:tabs>
          <w:tab w:val="clear" w:pos="8244"/>
          <w:tab w:val="left" w:pos="8010"/>
        </w:tabs>
        <w:ind w:left="-1440" w:right="1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Jacksonville, Fla. -- (</w:t>
      </w:r>
      <w:r w:rsidR="00A02D15">
        <w:rPr>
          <w:rFonts w:ascii="Times New Roman" w:hAnsi="Times New Roman"/>
          <w:sz w:val="24"/>
        </w:rPr>
        <w:t xml:space="preserve">April </w:t>
      </w:r>
      <w:r w:rsidR="00614D15">
        <w:rPr>
          <w:rFonts w:ascii="Times New Roman" w:hAnsi="Times New Roman"/>
          <w:sz w:val="24"/>
        </w:rPr>
        <w:t>2</w:t>
      </w:r>
      <w:r w:rsidR="00E85E14">
        <w:rPr>
          <w:rFonts w:ascii="Times New Roman" w:hAnsi="Times New Roman"/>
          <w:sz w:val="24"/>
        </w:rPr>
        <w:t>5</w:t>
      </w:r>
      <w:r w:rsidR="00FB3EBB">
        <w:rPr>
          <w:rFonts w:ascii="Times New Roman" w:hAnsi="Times New Roman"/>
          <w:sz w:val="24"/>
        </w:rPr>
        <w:t>, 20</w:t>
      </w:r>
      <w:r w:rsidR="00A43921">
        <w:rPr>
          <w:rFonts w:ascii="Times New Roman" w:hAnsi="Times New Roman"/>
          <w:sz w:val="24"/>
        </w:rPr>
        <w:t>1</w:t>
      </w:r>
      <w:r w:rsidR="00E85E14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) -- Fidelity National Financial, Inc. (NYSE:FNF), </w:t>
      </w:r>
      <w:r w:rsidR="00D8422A" w:rsidRPr="008C5C54">
        <w:rPr>
          <w:rFonts w:ascii="Times New Roman" w:hAnsi="Times New Roman" w:cs="Times New Roman"/>
          <w:sz w:val="24"/>
          <w:szCs w:val="24"/>
        </w:rPr>
        <w:t xml:space="preserve">a leading provider of title insurance, </w:t>
      </w:r>
      <w:r w:rsidR="002F457E">
        <w:rPr>
          <w:rFonts w:ascii="Times New Roman" w:hAnsi="Times New Roman" w:cs="Times New Roman"/>
          <w:sz w:val="24"/>
          <w:szCs w:val="24"/>
        </w:rPr>
        <w:t xml:space="preserve">mortgage services </w:t>
      </w:r>
      <w:r w:rsidR="00E85E14">
        <w:rPr>
          <w:rFonts w:ascii="Times New Roman" w:hAnsi="Times New Roman" w:cs="Times New Roman"/>
          <w:sz w:val="24"/>
          <w:szCs w:val="24"/>
        </w:rPr>
        <w:t xml:space="preserve">and other diversified </w:t>
      </w:r>
      <w:r w:rsidR="00D8422A">
        <w:rPr>
          <w:rFonts w:ascii="Times New Roman" w:hAnsi="Times New Roman" w:cs="Times New Roman"/>
          <w:sz w:val="24"/>
          <w:szCs w:val="24"/>
        </w:rPr>
        <w:t>services</w:t>
      </w:r>
      <w:r>
        <w:rPr>
          <w:rFonts w:ascii="Times New Roman" w:hAnsi="Times New Roman"/>
          <w:sz w:val="24"/>
        </w:rPr>
        <w:t xml:space="preserve">, today reported </w:t>
      </w:r>
      <w:r w:rsidR="00044806">
        <w:rPr>
          <w:rFonts w:ascii="Times New Roman" w:hAnsi="Times New Roman"/>
          <w:sz w:val="24"/>
        </w:rPr>
        <w:t>operating results for the three-month</w:t>
      </w:r>
      <w:r w:rsidR="00382966">
        <w:rPr>
          <w:rFonts w:ascii="Times New Roman" w:hAnsi="Times New Roman"/>
          <w:sz w:val="24"/>
        </w:rPr>
        <w:t xml:space="preserve"> </w:t>
      </w:r>
      <w:r w:rsidR="00A02D15">
        <w:rPr>
          <w:rFonts w:ascii="Times New Roman" w:hAnsi="Times New Roman"/>
          <w:sz w:val="24"/>
        </w:rPr>
        <w:t>period</w:t>
      </w:r>
      <w:r w:rsidR="00382966">
        <w:rPr>
          <w:rFonts w:ascii="Times New Roman" w:hAnsi="Times New Roman"/>
          <w:sz w:val="24"/>
        </w:rPr>
        <w:t xml:space="preserve"> ended </w:t>
      </w:r>
      <w:r w:rsidR="00A02D15">
        <w:rPr>
          <w:rFonts w:ascii="Times New Roman" w:hAnsi="Times New Roman"/>
          <w:sz w:val="24"/>
        </w:rPr>
        <w:t>March</w:t>
      </w:r>
      <w:r w:rsidR="00F90339">
        <w:rPr>
          <w:rFonts w:ascii="Times New Roman" w:hAnsi="Times New Roman"/>
          <w:sz w:val="24"/>
        </w:rPr>
        <w:t xml:space="preserve"> </w:t>
      </w:r>
      <w:r w:rsidR="00A16D46">
        <w:rPr>
          <w:rFonts w:ascii="Times New Roman" w:hAnsi="Times New Roman"/>
          <w:sz w:val="24"/>
        </w:rPr>
        <w:t>3</w:t>
      </w:r>
      <w:r w:rsidR="00510A71">
        <w:rPr>
          <w:rFonts w:ascii="Times New Roman" w:hAnsi="Times New Roman"/>
          <w:sz w:val="24"/>
        </w:rPr>
        <w:t>1</w:t>
      </w:r>
      <w:r w:rsidR="000F57D0">
        <w:rPr>
          <w:rFonts w:ascii="Times New Roman" w:hAnsi="Times New Roman"/>
          <w:sz w:val="24"/>
        </w:rPr>
        <w:t>, 20</w:t>
      </w:r>
      <w:r w:rsidR="00A43921">
        <w:rPr>
          <w:rFonts w:ascii="Times New Roman" w:hAnsi="Times New Roman"/>
          <w:sz w:val="24"/>
        </w:rPr>
        <w:t>1</w:t>
      </w:r>
      <w:r w:rsidR="00E85E14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</w:p>
    <w:p w:rsidR="00E85E14" w:rsidRDefault="00E85E14" w:rsidP="00746D9B">
      <w:pPr>
        <w:pStyle w:val="HTMLPreformatted"/>
        <w:tabs>
          <w:tab w:val="clear" w:pos="8244"/>
          <w:tab w:val="left" w:pos="8010"/>
        </w:tabs>
        <w:ind w:left="-1440" w:right="144"/>
        <w:rPr>
          <w:rFonts w:ascii="Times New Roman" w:hAnsi="Times New Roman"/>
          <w:sz w:val="24"/>
        </w:rPr>
      </w:pPr>
    </w:p>
    <w:p w:rsidR="00E85E14" w:rsidRDefault="00E85E14" w:rsidP="00E85E14">
      <w:pPr>
        <w:pStyle w:val="HTMLPreformatted"/>
        <w:numPr>
          <w:ilvl w:val="0"/>
          <w:numId w:val="5"/>
        </w:numPr>
        <w:tabs>
          <w:tab w:val="clear" w:pos="8244"/>
          <w:tab w:val="left" w:pos="8010"/>
        </w:tabs>
        <w:ind w:right="144"/>
        <w:rPr>
          <w:rFonts w:ascii="Times New Roman" w:hAnsi="Times New Roman"/>
          <w:sz w:val="24"/>
        </w:rPr>
      </w:pPr>
      <w:r w:rsidRPr="00995D50">
        <w:rPr>
          <w:rFonts w:ascii="Times New Roman" w:hAnsi="Times New Roman"/>
          <w:sz w:val="24"/>
        </w:rPr>
        <w:t>Pre-tax title margin, excluding realized gains, of 1</w:t>
      </w:r>
      <w:r w:rsidR="00E66E25">
        <w:rPr>
          <w:rFonts w:ascii="Times New Roman" w:hAnsi="Times New Roman"/>
          <w:sz w:val="24"/>
        </w:rPr>
        <w:t>0</w:t>
      </w:r>
      <w:r w:rsidRPr="00995D50">
        <w:rPr>
          <w:rFonts w:ascii="Times New Roman" w:hAnsi="Times New Roman"/>
          <w:sz w:val="24"/>
        </w:rPr>
        <w:t>.</w:t>
      </w:r>
      <w:r w:rsidR="00DF331B">
        <w:rPr>
          <w:rFonts w:ascii="Times New Roman" w:hAnsi="Times New Roman"/>
          <w:sz w:val="24"/>
        </w:rPr>
        <w:t>7</w:t>
      </w:r>
      <w:r w:rsidRPr="00995D50">
        <w:rPr>
          <w:rFonts w:ascii="Times New Roman" w:hAnsi="Times New Roman"/>
          <w:sz w:val="24"/>
        </w:rPr>
        <w:t xml:space="preserve">% versus </w:t>
      </w:r>
      <w:r w:rsidR="00DF331B">
        <w:rPr>
          <w:rFonts w:ascii="Times New Roman" w:hAnsi="Times New Roman"/>
          <w:sz w:val="24"/>
        </w:rPr>
        <w:t>8</w:t>
      </w:r>
      <w:r w:rsidR="00E66E25">
        <w:rPr>
          <w:rFonts w:ascii="Times New Roman" w:hAnsi="Times New Roman"/>
          <w:sz w:val="24"/>
        </w:rPr>
        <w:t>.</w:t>
      </w:r>
      <w:r w:rsidR="00DF331B">
        <w:rPr>
          <w:rFonts w:ascii="Times New Roman" w:hAnsi="Times New Roman"/>
          <w:sz w:val="24"/>
        </w:rPr>
        <w:t>0</w:t>
      </w:r>
      <w:r w:rsidRPr="00995D50">
        <w:rPr>
          <w:rFonts w:ascii="Times New Roman" w:hAnsi="Times New Roman"/>
          <w:sz w:val="24"/>
        </w:rPr>
        <w:t>% in the f</w:t>
      </w:r>
      <w:r w:rsidR="00E66E25">
        <w:rPr>
          <w:rFonts w:ascii="Times New Roman" w:hAnsi="Times New Roman"/>
          <w:sz w:val="24"/>
        </w:rPr>
        <w:t xml:space="preserve">irst </w:t>
      </w:r>
      <w:r w:rsidRPr="00995D50">
        <w:rPr>
          <w:rFonts w:ascii="Times New Roman" w:hAnsi="Times New Roman"/>
          <w:sz w:val="24"/>
        </w:rPr>
        <w:t>quarter of 201</w:t>
      </w:r>
      <w:r w:rsidR="00E66E25">
        <w:rPr>
          <w:rFonts w:ascii="Times New Roman" w:hAnsi="Times New Roman"/>
          <w:sz w:val="24"/>
        </w:rPr>
        <w:t>1</w:t>
      </w:r>
      <w:r w:rsidR="00DF331B">
        <w:rPr>
          <w:rFonts w:ascii="Times New Roman" w:hAnsi="Times New Roman"/>
          <w:sz w:val="24"/>
        </w:rPr>
        <w:t xml:space="preserve">, a </w:t>
      </w:r>
      <w:r w:rsidR="00F72216">
        <w:rPr>
          <w:rFonts w:ascii="Times New Roman" w:hAnsi="Times New Roman"/>
          <w:sz w:val="24"/>
        </w:rPr>
        <w:t xml:space="preserve">270 basis point, or </w:t>
      </w:r>
      <w:r w:rsidR="00DF331B">
        <w:rPr>
          <w:rFonts w:ascii="Times New Roman" w:hAnsi="Times New Roman"/>
          <w:sz w:val="24"/>
        </w:rPr>
        <w:t>34 percent</w:t>
      </w:r>
      <w:r w:rsidR="00F72216">
        <w:rPr>
          <w:rFonts w:ascii="Times New Roman" w:hAnsi="Times New Roman"/>
          <w:sz w:val="24"/>
        </w:rPr>
        <w:t>,</w:t>
      </w:r>
      <w:r w:rsidR="00DF331B">
        <w:rPr>
          <w:rFonts w:ascii="Times New Roman" w:hAnsi="Times New Roman"/>
          <w:sz w:val="24"/>
        </w:rPr>
        <w:t xml:space="preserve"> increase over the prior year</w:t>
      </w:r>
      <w:r w:rsidRPr="00995D50">
        <w:rPr>
          <w:rFonts w:ascii="Times New Roman" w:hAnsi="Times New Roman"/>
          <w:sz w:val="24"/>
        </w:rPr>
        <w:t xml:space="preserve">  </w:t>
      </w:r>
    </w:p>
    <w:p w:rsidR="00E85E14" w:rsidRDefault="00E85E14" w:rsidP="00E85E14">
      <w:pPr>
        <w:pStyle w:val="HTMLPreformatted"/>
        <w:numPr>
          <w:ilvl w:val="0"/>
          <w:numId w:val="5"/>
        </w:numPr>
        <w:tabs>
          <w:tab w:val="clear" w:pos="8244"/>
          <w:tab w:val="left" w:pos="8010"/>
        </w:tabs>
        <w:ind w:right="1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Commercial revenue of $</w:t>
      </w:r>
      <w:r w:rsidR="00A6232E">
        <w:rPr>
          <w:rFonts w:ascii="Times New Roman" w:hAnsi="Times New Roman"/>
          <w:sz w:val="24"/>
        </w:rPr>
        <w:t>79.1</w:t>
      </w:r>
      <w:r>
        <w:rPr>
          <w:rFonts w:ascii="Times New Roman" w:hAnsi="Times New Roman"/>
          <w:sz w:val="24"/>
        </w:rPr>
        <w:t xml:space="preserve"> million; </w:t>
      </w:r>
      <w:r w:rsidR="00A6232E">
        <w:rPr>
          <w:rFonts w:ascii="Times New Roman" w:hAnsi="Times New Roman"/>
          <w:sz w:val="24"/>
        </w:rPr>
        <w:t>19</w:t>
      </w:r>
      <w:r>
        <w:rPr>
          <w:rFonts w:ascii="Times New Roman" w:hAnsi="Times New Roman"/>
          <w:sz w:val="24"/>
        </w:rPr>
        <w:t xml:space="preserve">% growth versus the </w:t>
      </w:r>
      <w:r w:rsidR="00E66E25">
        <w:rPr>
          <w:rFonts w:ascii="Times New Roman" w:hAnsi="Times New Roman"/>
          <w:sz w:val="24"/>
        </w:rPr>
        <w:t>first</w:t>
      </w:r>
      <w:r>
        <w:rPr>
          <w:rFonts w:ascii="Times New Roman" w:hAnsi="Times New Roman"/>
          <w:sz w:val="24"/>
        </w:rPr>
        <w:t xml:space="preserve"> quarter of 201</w:t>
      </w:r>
      <w:r w:rsidR="00E66E25">
        <w:rPr>
          <w:rFonts w:ascii="Times New Roman" w:hAnsi="Times New Roman"/>
          <w:sz w:val="24"/>
        </w:rPr>
        <w:t>1</w:t>
      </w:r>
    </w:p>
    <w:p w:rsidR="00E85E14" w:rsidRPr="00BD4C75" w:rsidRDefault="00527132" w:rsidP="00E85E14">
      <w:pPr>
        <w:pStyle w:val="HTMLPreformatted"/>
        <w:numPr>
          <w:ilvl w:val="0"/>
          <w:numId w:val="5"/>
        </w:numPr>
        <w:tabs>
          <w:tab w:val="clear" w:pos="8244"/>
          <w:tab w:val="left" w:pos="8010"/>
        </w:tabs>
        <w:ind w:right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Open orders of 651,100 for first quarter, an increase of 163,000, or 3</w:t>
      </w:r>
      <w:r w:rsidR="00A96385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%, over the first quarter of 2011</w:t>
      </w:r>
    </w:p>
    <w:p w:rsidR="00E85E14" w:rsidRDefault="00E85E14" w:rsidP="00E85E14">
      <w:pPr>
        <w:pStyle w:val="HTMLPreformatted"/>
        <w:numPr>
          <w:ilvl w:val="0"/>
          <w:numId w:val="5"/>
        </w:numPr>
        <w:tabs>
          <w:tab w:val="clear" w:pos="8244"/>
          <w:tab w:val="left" w:pos="8010"/>
        </w:tabs>
        <w:ind w:right="1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agency commission split was 76% / 24% versus 7</w:t>
      </w:r>
      <w:r w:rsidR="00DF331B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% / 2</w:t>
      </w:r>
      <w:r w:rsidR="00DF331B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% in the f</w:t>
      </w:r>
      <w:r w:rsidR="00DF331B">
        <w:rPr>
          <w:rFonts w:ascii="Times New Roman" w:hAnsi="Times New Roman"/>
          <w:sz w:val="24"/>
        </w:rPr>
        <w:t>irst</w:t>
      </w:r>
      <w:r>
        <w:rPr>
          <w:rFonts w:ascii="Times New Roman" w:hAnsi="Times New Roman"/>
          <w:sz w:val="24"/>
        </w:rPr>
        <w:t xml:space="preserve"> quarter of 201</w:t>
      </w:r>
      <w:r w:rsidR="00DF331B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, an improvement of approximately </w:t>
      </w:r>
      <w:r w:rsidR="00DF331B">
        <w:rPr>
          <w:rFonts w:ascii="Times New Roman" w:hAnsi="Times New Roman"/>
          <w:sz w:val="24"/>
        </w:rPr>
        <w:t>120</w:t>
      </w:r>
      <w:r>
        <w:rPr>
          <w:rFonts w:ascii="Times New Roman" w:hAnsi="Times New Roman"/>
          <w:sz w:val="24"/>
        </w:rPr>
        <w:t xml:space="preserve"> basis points</w:t>
      </w:r>
    </w:p>
    <w:p w:rsidR="00E85E14" w:rsidRDefault="00E85E14" w:rsidP="00E85E14">
      <w:pPr>
        <w:pStyle w:val="HTMLPreformatted"/>
        <w:numPr>
          <w:ilvl w:val="0"/>
          <w:numId w:val="5"/>
        </w:numPr>
        <w:tabs>
          <w:tab w:val="clear" w:pos="8244"/>
          <w:tab w:val="left" w:pos="8010"/>
        </w:tabs>
        <w:ind w:right="1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Total title claims paid of $1</w:t>
      </w:r>
      <w:r w:rsidR="00527132">
        <w:rPr>
          <w:rFonts w:ascii="Times New Roman" w:hAnsi="Times New Roman"/>
          <w:sz w:val="24"/>
        </w:rPr>
        <w:t xml:space="preserve">04 </w:t>
      </w:r>
      <w:r>
        <w:rPr>
          <w:rFonts w:ascii="Times New Roman" w:hAnsi="Times New Roman"/>
          <w:sz w:val="24"/>
        </w:rPr>
        <w:t xml:space="preserve">million, </w:t>
      </w:r>
      <w:r w:rsidR="00527132">
        <w:rPr>
          <w:rFonts w:ascii="Times New Roman" w:hAnsi="Times New Roman"/>
          <w:sz w:val="24"/>
        </w:rPr>
        <w:t>an increase of $15 million over the first quarter of 2011; full-year 2012 total title claims paid are expected to decline versus full-year 2011</w:t>
      </w:r>
    </w:p>
    <w:p w:rsidR="001C4504" w:rsidRDefault="00A6232E" w:rsidP="00E85E14">
      <w:pPr>
        <w:pStyle w:val="HTMLPreformatted"/>
        <w:numPr>
          <w:ilvl w:val="0"/>
          <w:numId w:val="5"/>
        </w:numPr>
        <w:tabs>
          <w:tab w:val="clear" w:pos="8244"/>
          <w:tab w:val="left" w:pos="8010"/>
        </w:tabs>
        <w:ind w:right="1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O’Charley’s</w:t>
      </w:r>
      <w:r w:rsidR="00DF331B">
        <w:rPr>
          <w:rFonts w:ascii="Times New Roman" w:hAnsi="Times New Roman"/>
          <w:sz w:val="24"/>
        </w:rPr>
        <w:t xml:space="preserve"> </w:t>
      </w:r>
      <w:r w:rsidR="00F72216">
        <w:rPr>
          <w:rFonts w:ascii="Times New Roman" w:hAnsi="Times New Roman"/>
          <w:sz w:val="24"/>
        </w:rPr>
        <w:t>tender offer</w:t>
      </w:r>
      <w:r w:rsidR="00DF331B">
        <w:rPr>
          <w:rFonts w:ascii="Times New Roman" w:hAnsi="Times New Roman"/>
          <w:sz w:val="24"/>
        </w:rPr>
        <w:t xml:space="preserve"> closed on April 9; </w:t>
      </w:r>
      <w:r w:rsidR="001C4504">
        <w:rPr>
          <w:rFonts w:ascii="Times New Roman" w:hAnsi="Times New Roman"/>
          <w:sz w:val="24"/>
        </w:rPr>
        <w:t>O’Charley’s will be combined with American Blue Ribbon Holdings</w:t>
      </w:r>
      <w:r w:rsidR="00122EB2">
        <w:rPr>
          <w:rFonts w:ascii="Times New Roman" w:hAnsi="Times New Roman"/>
          <w:sz w:val="24"/>
        </w:rPr>
        <w:t xml:space="preserve"> (“ABRH”)</w:t>
      </w:r>
      <w:r w:rsidR="001C4504">
        <w:rPr>
          <w:rFonts w:ascii="Times New Roman" w:hAnsi="Times New Roman"/>
          <w:sz w:val="24"/>
        </w:rPr>
        <w:t xml:space="preserve"> in May 2012 and second quarter </w:t>
      </w:r>
      <w:r w:rsidR="00DF331B">
        <w:rPr>
          <w:rFonts w:ascii="Times New Roman" w:hAnsi="Times New Roman"/>
          <w:sz w:val="24"/>
        </w:rPr>
        <w:t>financial results will include a new restaurant segment</w:t>
      </w:r>
    </w:p>
    <w:p w:rsidR="00E85E14" w:rsidRDefault="001C4504" w:rsidP="00E85E14">
      <w:pPr>
        <w:pStyle w:val="HTMLPreformatted"/>
        <w:numPr>
          <w:ilvl w:val="0"/>
          <w:numId w:val="5"/>
        </w:numPr>
        <w:tabs>
          <w:tab w:val="clear" w:pos="8244"/>
          <w:tab w:val="left" w:pos="8010"/>
        </w:tabs>
        <w:ind w:right="1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Amended existing credit facility </w:t>
      </w:r>
      <w:r w:rsidR="002A523A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>n April</w:t>
      </w:r>
      <w:r w:rsidR="002A523A">
        <w:rPr>
          <w:rFonts w:ascii="Times New Roman" w:hAnsi="Times New Roman"/>
          <w:sz w:val="24"/>
        </w:rPr>
        <w:t xml:space="preserve"> 16</w:t>
      </w:r>
      <w:r>
        <w:rPr>
          <w:rFonts w:ascii="Times New Roman" w:hAnsi="Times New Roman"/>
          <w:sz w:val="24"/>
        </w:rPr>
        <w:t xml:space="preserve"> with a new maturity date of April 2016 and </w:t>
      </w:r>
      <w:r w:rsidR="002A523A">
        <w:rPr>
          <w:rFonts w:ascii="Times New Roman" w:hAnsi="Times New Roman"/>
          <w:sz w:val="24"/>
        </w:rPr>
        <w:t xml:space="preserve">a 55 basis point reduction in the </w:t>
      </w:r>
      <w:r>
        <w:rPr>
          <w:rFonts w:ascii="Times New Roman" w:hAnsi="Times New Roman"/>
          <w:sz w:val="24"/>
        </w:rPr>
        <w:t xml:space="preserve">borrowing spread over LIBOR </w:t>
      </w:r>
      <w:r w:rsidR="00DF331B">
        <w:rPr>
          <w:rFonts w:ascii="Times New Roman" w:hAnsi="Times New Roman"/>
          <w:sz w:val="24"/>
        </w:rPr>
        <w:t xml:space="preserve"> </w:t>
      </w:r>
    </w:p>
    <w:p w:rsidR="00D01A65" w:rsidRDefault="00D01A65" w:rsidP="00746D9B">
      <w:pPr>
        <w:pStyle w:val="HTMLPreformatted"/>
        <w:tabs>
          <w:tab w:val="clear" w:pos="8244"/>
          <w:tab w:val="left" w:pos="8010"/>
        </w:tabs>
        <w:ind w:left="-1440" w:right="144"/>
        <w:rPr>
          <w:rFonts w:ascii="Times New Roman" w:hAnsi="Times New Roman"/>
          <w:sz w:val="24"/>
        </w:rPr>
      </w:pPr>
    </w:p>
    <w:tbl>
      <w:tblPr>
        <w:tblW w:w="8910" w:type="dxa"/>
        <w:tblInd w:w="-1242" w:type="dxa"/>
        <w:tblLook w:val="0000"/>
      </w:tblPr>
      <w:tblGrid>
        <w:gridCol w:w="3960"/>
        <w:gridCol w:w="2520"/>
        <w:gridCol w:w="2430"/>
      </w:tblGrid>
      <w:tr w:rsidR="00C31F04" w:rsidRPr="008015AD" w:rsidTr="005F5BEA">
        <w:trPr>
          <w:trHeight w:val="673"/>
        </w:trPr>
        <w:tc>
          <w:tcPr>
            <w:tcW w:w="3960" w:type="dxa"/>
            <w:shd w:val="clear" w:color="auto" w:fill="auto"/>
            <w:noWrap/>
            <w:vAlign w:val="center"/>
          </w:tcPr>
          <w:p w:rsidR="00C31F04" w:rsidRPr="008015AD" w:rsidRDefault="00A96385" w:rsidP="008C56C0">
            <w:pPr>
              <w:rPr>
                <w:rFonts w:ascii="Times New Roman" w:eastAsia="Times New Roman" w:hAnsi="Times New Roman"/>
                <w:szCs w:val="24"/>
              </w:rPr>
            </w:pPr>
            <w:r w:rsidRPr="00A96385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E85E14" w:rsidRPr="0046451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Consolidated</w:t>
            </w:r>
            <w:r w:rsidR="00054C3D">
              <w:rPr>
                <w:rFonts w:ascii="Times New Roman" w:hAnsi="Times New Roman"/>
              </w:rPr>
              <w:t xml:space="preserve">  </w:t>
            </w:r>
            <w:r w:rsidR="005A3EE8">
              <w:rPr>
                <w:rFonts w:ascii="Times New Roman" w:hAnsi="Times New Roman"/>
              </w:rPr>
              <w:t xml:space="preserve"> </w:t>
            </w:r>
            <w:r w:rsidR="00D54EB2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C31F04" w:rsidRPr="008015AD" w:rsidRDefault="00C31F04" w:rsidP="00E85E14">
            <w:pPr>
              <w:jc w:val="center"/>
              <w:rPr>
                <w:rFonts w:ascii="Times New Roman" w:eastAsia="Times New Roman" w:hAnsi="Times New Roman"/>
                <w:b/>
                <w:bCs/>
                <w:szCs w:val="24"/>
                <w:u w:val="single"/>
              </w:rPr>
            </w:pPr>
            <w:r w:rsidRPr="005F5BEA">
              <w:rPr>
                <w:rFonts w:ascii="Times New Roman" w:eastAsia="Times New Roman" w:hAnsi="Times New Roman"/>
                <w:b/>
                <w:bCs/>
                <w:szCs w:val="24"/>
              </w:rPr>
              <w:t>Three Months Ended</w:t>
            </w:r>
            <w:r>
              <w:rPr>
                <w:rFonts w:ascii="Times New Roman" w:eastAsia="Times New Roman" w:hAnsi="Times New Roman"/>
                <w:b/>
                <w:bCs/>
                <w:szCs w:val="24"/>
                <w:u w:val="single"/>
              </w:rPr>
              <w:t xml:space="preserve"> </w:t>
            </w:r>
            <w:r w:rsidR="004372B3">
              <w:rPr>
                <w:rFonts w:ascii="Times New Roman" w:eastAsia="Times New Roman" w:hAnsi="Times New Roman"/>
                <w:b/>
                <w:bCs/>
                <w:szCs w:val="24"/>
                <w:u w:val="single"/>
              </w:rPr>
              <w:t xml:space="preserve">March </w:t>
            </w:r>
            <w:r>
              <w:rPr>
                <w:rFonts w:ascii="Times New Roman" w:eastAsia="Times New Roman" w:hAnsi="Times New Roman"/>
                <w:b/>
                <w:bCs/>
                <w:szCs w:val="24"/>
                <w:u w:val="single"/>
              </w:rPr>
              <w:t>3</w:t>
            </w:r>
            <w:r w:rsidR="00510A71">
              <w:rPr>
                <w:rFonts w:ascii="Times New Roman" w:eastAsia="Times New Roman" w:hAnsi="Times New Roman"/>
                <w:b/>
                <w:bCs/>
                <w:szCs w:val="24"/>
                <w:u w:val="single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Cs w:val="24"/>
                <w:u w:val="single"/>
              </w:rPr>
              <w:t>, 20</w:t>
            </w:r>
            <w:r w:rsidR="00A43921">
              <w:rPr>
                <w:rFonts w:ascii="Times New Roman" w:eastAsia="Times New Roman" w:hAnsi="Times New Roman"/>
                <w:b/>
                <w:bCs/>
                <w:szCs w:val="24"/>
                <w:u w:val="single"/>
              </w:rPr>
              <w:t>1</w:t>
            </w:r>
            <w:r w:rsidR="00E85E14">
              <w:rPr>
                <w:rFonts w:ascii="Times New Roman" w:eastAsia="Times New Roman" w:hAnsi="Times New Roman"/>
                <w:b/>
                <w:bCs/>
                <w:szCs w:val="24"/>
                <w:u w:val="single"/>
              </w:rPr>
              <w:t>2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FE5964" w:rsidRPr="00F5534A" w:rsidRDefault="00F5534A" w:rsidP="005F5BEA">
            <w:pPr>
              <w:jc w:val="center"/>
              <w:rPr>
                <w:rFonts w:ascii="Times New Roman" w:eastAsia="Times New Roman" w:hAnsi="Times New Roman"/>
                <w:b/>
                <w:bCs/>
                <w:szCs w:val="24"/>
              </w:rPr>
            </w:pPr>
            <w:r w:rsidRPr="00F5534A">
              <w:rPr>
                <w:rFonts w:ascii="Times New Roman" w:eastAsia="Times New Roman" w:hAnsi="Times New Roman"/>
                <w:b/>
                <w:bCs/>
                <w:szCs w:val="24"/>
              </w:rPr>
              <w:t>Three Months Ended</w:t>
            </w:r>
          </w:p>
          <w:p w:rsidR="00C31F04" w:rsidRPr="008015AD" w:rsidRDefault="003273D4" w:rsidP="003273D4">
            <w:pPr>
              <w:jc w:val="center"/>
              <w:rPr>
                <w:rFonts w:ascii="Times New Roman" w:eastAsia="Times New Roman" w:hAnsi="Times New Roman"/>
                <w:b/>
                <w:bCs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u w:val="single"/>
              </w:rPr>
              <w:t>March</w:t>
            </w:r>
            <w:r w:rsidR="00C31F04">
              <w:rPr>
                <w:rFonts w:ascii="Times New Roman" w:eastAsia="Times New Roman" w:hAnsi="Times New Roman"/>
                <w:b/>
                <w:bCs/>
                <w:szCs w:val="24"/>
                <w:u w:val="single"/>
              </w:rPr>
              <w:t xml:space="preserve"> 3</w:t>
            </w:r>
            <w:r w:rsidR="00510A71">
              <w:rPr>
                <w:rFonts w:ascii="Times New Roman" w:eastAsia="Times New Roman" w:hAnsi="Times New Roman"/>
                <w:b/>
                <w:bCs/>
                <w:szCs w:val="24"/>
                <w:u w:val="single"/>
              </w:rPr>
              <w:t>1</w:t>
            </w:r>
            <w:r w:rsidR="00C31F04">
              <w:rPr>
                <w:rFonts w:ascii="Times New Roman" w:eastAsia="Times New Roman" w:hAnsi="Times New Roman"/>
                <w:b/>
                <w:bCs/>
                <w:szCs w:val="24"/>
                <w:u w:val="single"/>
              </w:rPr>
              <w:t>, 20</w:t>
            </w:r>
            <w:r>
              <w:rPr>
                <w:rFonts w:ascii="Times New Roman" w:eastAsia="Times New Roman" w:hAnsi="Times New Roman"/>
                <w:b/>
                <w:bCs/>
                <w:szCs w:val="24"/>
                <w:u w:val="single"/>
              </w:rPr>
              <w:t>1</w:t>
            </w:r>
            <w:r w:rsidR="00E85E14">
              <w:rPr>
                <w:rFonts w:ascii="Times New Roman" w:eastAsia="Times New Roman" w:hAnsi="Times New Roman"/>
                <w:b/>
                <w:bCs/>
                <w:szCs w:val="24"/>
                <w:u w:val="single"/>
              </w:rPr>
              <w:t>1</w:t>
            </w:r>
          </w:p>
        </w:tc>
      </w:tr>
      <w:tr w:rsidR="00A43921" w:rsidRPr="008015AD" w:rsidTr="005F5BEA">
        <w:trPr>
          <w:trHeight w:val="333"/>
        </w:trPr>
        <w:tc>
          <w:tcPr>
            <w:tcW w:w="3960" w:type="dxa"/>
            <w:shd w:val="clear" w:color="auto" w:fill="auto"/>
            <w:noWrap/>
            <w:vAlign w:val="center"/>
          </w:tcPr>
          <w:p w:rsidR="00A43921" w:rsidRPr="008015AD" w:rsidRDefault="00A43921" w:rsidP="00746D9B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Total revenue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A43921" w:rsidRPr="008015AD" w:rsidRDefault="00A43921" w:rsidP="00DF331B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$1</w:t>
            </w:r>
            <w:r w:rsidR="003273D4">
              <w:rPr>
                <w:rFonts w:ascii="Times New Roman" w:eastAsia="Times New Roman" w:hAnsi="Times New Roman"/>
                <w:szCs w:val="24"/>
              </w:rPr>
              <w:t>.</w:t>
            </w:r>
            <w:r w:rsidR="00DF331B">
              <w:rPr>
                <w:rFonts w:ascii="Times New Roman" w:eastAsia="Times New Roman" w:hAnsi="Times New Roman"/>
                <w:szCs w:val="24"/>
              </w:rPr>
              <w:t>19</w:t>
            </w:r>
            <w:r>
              <w:rPr>
                <w:rFonts w:ascii="Times New Roman" w:eastAsia="Times New Roman" w:hAnsi="Times New Roman"/>
                <w:szCs w:val="24"/>
              </w:rPr>
              <w:t xml:space="preserve"> billion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A43921" w:rsidRPr="008015AD" w:rsidRDefault="00A43921" w:rsidP="000F24EE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$</w:t>
            </w:r>
            <w:r w:rsidR="002026A3">
              <w:rPr>
                <w:rFonts w:ascii="Times New Roman" w:eastAsia="Times New Roman" w:hAnsi="Times New Roman"/>
                <w:szCs w:val="24"/>
              </w:rPr>
              <w:t>1.</w:t>
            </w:r>
            <w:r w:rsidR="00B82116">
              <w:rPr>
                <w:rFonts w:ascii="Times New Roman" w:eastAsia="Times New Roman" w:hAnsi="Times New Roman"/>
                <w:szCs w:val="24"/>
              </w:rPr>
              <w:t>1</w:t>
            </w:r>
            <w:r w:rsidR="000F24EE">
              <w:rPr>
                <w:rFonts w:ascii="Times New Roman" w:eastAsia="Times New Roman" w:hAnsi="Times New Roman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Cs w:val="24"/>
              </w:rPr>
              <w:t xml:space="preserve"> billion</w:t>
            </w:r>
          </w:p>
        </w:tc>
      </w:tr>
      <w:tr w:rsidR="00A43921" w:rsidRPr="008015AD" w:rsidTr="005F5BEA">
        <w:trPr>
          <w:trHeight w:val="333"/>
        </w:trPr>
        <w:tc>
          <w:tcPr>
            <w:tcW w:w="3960" w:type="dxa"/>
            <w:shd w:val="clear" w:color="auto" w:fill="auto"/>
            <w:noWrap/>
            <w:vAlign w:val="center"/>
          </w:tcPr>
          <w:p w:rsidR="00A43921" w:rsidRPr="008015AD" w:rsidRDefault="00A43921" w:rsidP="00746D9B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Net e</w:t>
            </w:r>
            <w:r w:rsidRPr="008015AD">
              <w:rPr>
                <w:rFonts w:ascii="Times New Roman" w:eastAsia="Times New Roman" w:hAnsi="Times New Roman"/>
                <w:szCs w:val="24"/>
              </w:rPr>
              <w:t>arnings</w:t>
            </w:r>
            <w:r>
              <w:rPr>
                <w:rFonts w:ascii="Times New Roman" w:eastAsia="Times New Roman" w:hAnsi="Times New Roman"/>
                <w:szCs w:val="24"/>
              </w:rPr>
              <w:t xml:space="preserve"> attributable to common shareholders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A43921" w:rsidRPr="008015AD" w:rsidRDefault="00A43921" w:rsidP="00DF331B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$</w:t>
            </w:r>
            <w:r w:rsidR="00DF331B">
              <w:rPr>
                <w:rFonts w:ascii="Times New Roman" w:eastAsia="Times New Roman" w:hAnsi="Times New Roman"/>
                <w:szCs w:val="24"/>
              </w:rPr>
              <w:t>74</w:t>
            </w:r>
            <w:r w:rsidR="002F7224">
              <w:rPr>
                <w:rFonts w:ascii="Times New Roman" w:eastAsia="Times New Roman" w:hAnsi="Times New Roman"/>
                <w:szCs w:val="24"/>
              </w:rPr>
              <w:t>.</w:t>
            </w:r>
            <w:r w:rsidR="00DF331B">
              <w:rPr>
                <w:rFonts w:ascii="Times New Roman" w:eastAsia="Times New Roman" w:hAnsi="Times New Roman"/>
                <w:szCs w:val="24"/>
              </w:rPr>
              <w:t>4</w:t>
            </w:r>
            <w:r w:rsidRPr="008015AD">
              <w:rPr>
                <w:rFonts w:ascii="Times New Roman" w:eastAsia="Times New Roman" w:hAnsi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Cs w:val="24"/>
              </w:rPr>
              <w:t>million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A43921" w:rsidRPr="008015AD" w:rsidRDefault="00A43921" w:rsidP="00B82116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$</w:t>
            </w:r>
            <w:r w:rsidR="00B82116">
              <w:rPr>
                <w:rFonts w:ascii="Times New Roman" w:eastAsia="Times New Roman" w:hAnsi="Times New Roman"/>
                <w:szCs w:val="24"/>
              </w:rPr>
              <w:t>42</w:t>
            </w:r>
            <w:r w:rsidR="002026A3">
              <w:rPr>
                <w:rFonts w:ascii="Times New Roman" w:eastAsia="Times New Roman" w:hAnsi="Times New Roman"/>
                <w:szCs w:val="24"/>
              </w:rPr>
              <w:t>.</w:t>
            </w:r>
            <w:r w:rsidR="0001379D">
              <w:rPr>
                <w:rFonts w:ascii="Times New Roman" w:eastAsia="Times New Roman" w:hAnsi="Times New Roman"/>
                <w:szCs w:val="24"/>
              </w:rPr>
              <w:t>5</w:t>
            </w:r>
            <w:r w:rsidRPr="008015AD">
              <w:rPr>
                <w:rFonts w:ascii="Times New Roman" w:eastAsia="Times New Roman" w:hAnsi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Cs w:val="24"/>
              </w:rPr>
              <w:t>million</w:t>
            </w:r>
          </w:p>
        </w:tc>
      </w:tr>
      <w:tr w:rsidR="00A43921" w:rsidRPr="008015AD" w:rsidTr="005F5BEA">
        <w:trPr>
          <w:trHeight w:val="333"/>
        </w:trPr>
        <w:tc>
          <w:tcPr>
            <w:tcW w:w="3960" w:type="dxa"/>
            <w:shd w:val="clear" w:color="auto" w:fill="auto"/>
            <w:noWrap/>
            <w:vAlign w:val="center"/>
          </w:tcPr>
          <w:p w:rsidR="00A43921" w:rsidRPr="008015AD" w:rsidRDefault="00A43921" w:rsidP="00746D9B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Net e</w:t>
            </w:r>
            <w:r w:rsidRPr="008015AD">
              <w:rPr>
                <w:rFonts w:ascii="Times New Roman" w:eastAsia="Times New Roman" w:hAnsi="Times New Roman"/>
                <w:szCs w:val="24"/>
              </w:rPr>
              <w:t>arnings</w:t>
            </w:r>
            <w:r>
              <w:rPr>
                <w:rFonts w:ascii="Times New Roman" w:eastAsia="Times New Roman" w:hAnsi="Times New Roman"/>
                <w:szCs w:val="24"/>
              </w:rPr>
              <w:t xml:space="preserve"> </w:t>
            </w:r>
            <w:r w:rsidRPr="008015AD">
              <w:rPr>
                <w:rFonts w:ascii="Times New Roman" w:eastAsia="Times New Roman" w:hAnsi="Times New Roman"/>
                <w:szCs w:val="24"/>
              </w:rPr>
              <w:t>per diluted share</w:t>
            </w:r>
            <w:r>
              <w:rPr>
                <w:rFonts w:ascii="Times New Roman" w:eastAsia="Times New Roman" w:hAnsi="Times New Roman"/>
                <w:szCs w:val="24"/>
              </w:rPr>
              <w:t xml:space="preserve"> attributable to common shareholders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A43921" w:rsidRPr="008015AD" w:rsidRDefault="00A43921" w:rsidP="00DF331B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$0.</w:t>
            </w:r>
            <w:r w:rsidR="00B82116">
              <w:rPr>
                <w:rFonts w:ascii="Times New Roman" w:eastAsia="Times New Roman" w:hAnsi="Times New Roman"/>
                <w:szCs w:val="24"/>
              </w:rPr>
              <w:t>3</w:t>
            </w:r>
            <w:r w:rsidR="00DF331B">
              <w:rPr>
                <w:rFonts w:ascii="Times New Roman" w:eastAsia="Times New Roman" w:hAnsi="Times New Roman"/>
                <w:szCs w:val="24"/>
              </w:rPr>
              <w:t>3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A43921" w:rsidRPr="008015AD" w:rsidRDefault="00A43921" w:rsidP="00B82116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$0.</w:t>
            </w:r>
            <w:r w:rsidR="00B82116">
              <w:rPr>
                <w:rFonts w:ascii="Times New Roman" w:eastAsia="Times New Roman" w:hAnsi="Times New Roman"/>
                <w:szCs w:val="24"/>
              </w:rPr>
              <w:t>19</w:t>
            </w:r>
          </w:p>
        </w:tc>
      </w:tr>
    </w:tbl>
    <w:p w:rsidR="00F119E2" w:rsidRPr="00510A71" w:rsidRDefault="00F119E2" w:rsidP="00CB3E57">
      <w:pPr>
        <w:pStyle w:val="HTMLPreformatted"/>
        <w:tabs>
          <w:tab w:val="clear" w:pos="8244"/>
          <w:tab w:val="left" w:pos="8100"/>
        </w:tabs>
        <w:spacing w:line="480" w:lineRule="auto"/>
        <w:ind w:left="-1350" w:right="684"/>
        <w:rPr>
          <w:rFonts w:ascii="Times New Roman" w:hAnsi="Times New Roman"/>
          <w:sz w:val="16"/>
          <w:szCs w:val="16"/>
        </w:rPr>
      </w:pPr>
    </w:p>
    <w:p w:rsidR="00386299" w:rsidRPr="00386299" w:rsidRDefault="00386299" w:rsidP="00746D9B">
      <w:pPr>
        <w:pStyle w:val="HTMLPreformatted"/>
        <w:tabs>
          <w:tab w:val="clear" w:pos="8244"/>
          <w:tab w:val="left" w:pos="8100"/>
        </w:tabs>
        <w:ind w:left="-1354" w:right="691" w:firstLine="634"/>
        <w:rPr>
          <w:rFonts w:ascii="Times New Roman" w:hAnsi="Times New Roman"/>
          <w:sz w:val="24"/>
          <w:szCs w:val="24"/>
        </w:rPr>
      </w:pPr>
      <w:r w:rsidRPr="00386299">
        <w:rPr>
          <w:rFonts w:ascii="Times New Roman" w:hAnsi="Times New Roman"/>
          <w:sz w:val="24"/>
          <w:szCs w:val="24"/>
        </w:rPr>
        <w:t xml:space="preserve">The following </w:t>
      </w:r>
      <w:r w:rsidR="00B223B6">
        <w:rPr>
          <w:rFonts w:ascii="Times New Roman" w:hAnsi="Times New Roman"/>
          <w:sz w:val="24"/>
          <w:szCs w:val="24"/>
        </w:rPr>
        <w:t xml:space="preserve">are summary financial </w:t>
      </w:r>
      <w:r w:rsidR="007F697F">
        <w:rPr>
          <w:rFonts w:ascii="Times New Roman" w:hAnsi="Times New Roman"/>
          <w:sz w:val="24"/>
          <w:szCs w:val="24"/>
        </w:rPr>
        <w:t xml:space="preserve">and operational </w:t>
      </w:r>
      <w:r w:rsidR="00B223B6">
        <w:rPr>
          <w:rFonts w:ascii="Times New Roman" w:hAnsi="Times New Roman"/>
          <w:sz w:val="24"/>
          <w:szCs w:val="24"/>
        </w:rPr>
        <w:t>results for the operating segments of FNF for the three-month periods ended</w:t>
      </w:r>
      <w:r w:rsidR="005F5BEA">
        <w:rPr>
          <w:rFonts w:ascii="Times New Roman" w:hAnsi="Times New Roman"/>
          <w:sz w:val="24"/>
          <w:szCs w:val="24"/>
        </w:rPr>
        <w:t xml:space="preserve"> </w:t>
      </w:r>
      <w:r w:rsidR="003273D4">
        <w:rPr>
          <w:rFonts w:ascii="Times New Roman" w:hAnsi="Times New Roman"/>
          <w:sz w:val="24"/>
          <w:szCs w:val="24"/>
        </w:rPr>
        <w:t>March</w:t>
      </w:r>
      <w:r w:rsidR="002F5D2F">
        <w:rPr>
          <w:rFonts w:ascii="Times New Roman" w:hAnsi="Times New Roman"/>
          <w:sz w:val="24"/>
          <w:szCs w:val="24"/>
        </w:rPr>
        <w:t xml:space="preserve"> </w:t>
      </w:r>
      <w:r w:rsidR="00B223B6">
        <w:rPr>
          <w:rFonts w:ascii="Times New Roman" w:hAnsi="Times New Roman"/>
          <w:sz w:val="24"/>
          <w:szCs w:val="24"/>
        </w:rPr>
        <w:t>3</w:t>
      </w:r>
      <w:r w:rsidR="00510A71">
        <w:rPr>
          <w:rFonts w:ascii="Times New Roman" w:hAnsi="Times New Roman"/>
          <w:sz w:val="24"/>
          <w:szCs w:val="24"/>
        </w:rPr>
        <w:t>1</w:t>
      </w:r>
      <w:r w:rsidR="00B223B6">
        <w:rPr>
          <w:rFonts w:ascii="Times New Roman" w:hAnsi="Times New Roman"/>
          <w:sz w:val="24"/>
          <w:szCs w:val="24"/>
        </w:rPr>
        <w:t>, 20</w:t>
      </w:r>
      <w:r w:rsidR="00A43921">
        <w:rPr>
          <w:rFonts w:ascii="Times New Roman" w:hAnsi="Times New Roman"/>
          <w:sz w:val="24"/>
          <w:szCs w:val="24"/>
        </w:rPr>
        <w:t>1</w:t>
      </w:r>
      <w:r w:rsidR="00E85E14">
        <w:rPr>
          <w:rFonts w:ascii="Times New Roman" w:hAnsi="Times New Roman"/>
          <w:sz w:val="24"/>
          <w:szCs w:val="24"/>
        </w:rPr>
        <w:t>2</w:t>
      </w:r>
      <w:r w:rsidR="00B223B6">
        <w:rPr>
          <w:rFonts w:ascii="Times New Roman" w:hAnsi="Times New Roman"/>
          <w:sz w:val="24"/>
          <w:szCs w:val="24"/>
        </w:rPr>
        <w:t xml:space="preserve"> and 20</w:t>
      </w:r>
      <w:r w:rsidR="003273D4">
        <w:rPr>
          <w:rFonts w:ascii="Times New Roman" w:hAnsi="Times New Roman"/>
          <w:sz w:val="24"/>
          <w:szCs w:val="24"/>
        </w:rPr>
        <w:t>1</w:t>
      </w:r>
      <w:r w:rsidR="00E85E14">
        <w:rPr>
          <w:rFonts w:ascii="Times New Roman" w:hAnsi="Times New Roman"/>
          <w:sz w:val="24"/>
          <w:szCs w:val="24"/>
        </w:rPr>
        <w:t>1</w:t>
      </w:r>
      <w:r w:rsidR="00B223B6">
        <w:rPr>
          <w:rFonts w:ascii="Times New Roman" w:hAnsi="Times New Roman"/>
          <w:sz w:val="24"/>
          <w:szCs w:val="24"/>
        </w:rPr>
        <w:t>:</w:t>
      </w:r>
    </w:p>
    <w:p w:rsidR="00A43921" w:rsidRPr="00510A71" w:rsidRDefault="00A43921" w:rsidP="00534199">
      <w:pPr>
        <w:pStyle w:val="HTMLPreformatted"/>
        <w:tabs>
          <w:tab w:val="clear" w:pos="8244"/>
          <w:tab w:val="left" w:pos="8100"/>
        </w:tabs>
        <w:spacing w:line="480" w:lineRule="auto"/>
        <w:ind w:left="-720" w:right="684"/>
        <w:rPr>
          <w:rFonts w:ascii="Times New Roman" w:hAnsi="Times New Roman"/>
          <w:b/>
          <w:sz w:val="8"/>
          <w:szCs w:val="8"/>
          <w:u w:val="single"/>
        </w:rPr>
      </w:pPr>
    </w:p>
    <w:p w:rsidR="00534199" w:rsidRPr="00CF6FB8" w:rsidRDefault="00534199" w:rsidP="00615BF3">
      <w:pPr>
        <w:pStyle w:val="HTMLPreformatted"/>
        <w:tabs>
          <w:tab w:val="clear" w:pos="8244"/>
          <w:tab w:val="left" w:pos="8100"/>
        </w:tabs>
        <w:spacing w:line="480" w:lineRule="auto"/>
        <w:ind w:left="-720" w:right="684"/>
        <w:rPr>
          <w:rFonts w:ascii="Times New Roman" w:hAnsi="Times New Roman"/>
          <w:b/>
          <w:sz w:val="24"/>
          <w:szCs w:val="24"/>
          <w:u w:val="single"/>
        </w:rPr>
      </w:pPr>
      <w:r w:rsidRPr="0089260F">
        <w:rPr>
          <w:rFonts w:ascii="Times New Roman" w:hAnsi="Times New Roman"/>
          <w:b/>
          <w:sz w:val="28"/>
          <w:szCs w:val="28"/>
          <w:u w:val="single"/>
        </w:rPr>
        <w:t>Fidelity National Title Group (“FNT”)</w:t>
      </w:r>
    </w:p>
    <w:tbl>
      <w:tblPr>
        <w:tblW w:w="8910" w:type="dxa"/>
        <w:tblInd w:w="-1242" w:type="dxa"/>
        <w:tblLook w:val="0000"/>
      </w:tblPr>
      <w:tblGrid>
        <w:gridCol w:w="3960"/>
        <w:gridCol w:w="2520"/>
        <w:gridCol w:w="2430"/>
      </w:tblGrid>
      <w:tr w:rsidR="00256D36" w:rsidRPr="008015AD" w:rsidTr="004803A6">
        <w:trPr>
          <w:trHeight w:val="673"/>
        </w:trPr>
        <w:tc>
          <w:tcPr>
            <w:tcW w:w="3960" w:type="dxa"/>
            <w:shd w:val="clear" w:color="auto" w:fill="auto"/>
            <w:noWrap/>
            <w:vAlign w:val="center"/>
          </w:tcPr>
          <w:p w:rsidR="00256D36" w:rsidRPr="008015AD" w:rsidRDefault="00256D36" w:rsidP="00F96B4F">
            <w:pPr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256D36" w:rsidRPr="008015AD" w:rsidRDefault="005F5BEA" w:rsidP="00B82116">
            <w:pPr>
              <w:jc w:val="center"/>
              <w:rPr>
                <w:rFonts w:ascii="Times New Roman" w:eastAsia="Times New Roman" w:hAnsi="Times New Roman"/>
                <w:b/>
                <w:bCs/>
                <w:szCs w:val="24"/>
                <w:u w:val="single"/>
              </w:rPr>
            </w:pPr>
            <w:r w:rsidRPr="005F5BEA">
              <w:rPr>
                <w:rFonts w:ascii="Times New Roman" w:eastAsia="Times New Roman" w:hAnsi="Times New Roman"/>
                <w:b/>
                <w:bCs/>
                <w:szCs w:val="24"/>
              </w:rPr>
              <w:t>Three</w:t>
            </w:r>
            <w:r w:rsidR="00256D36" w:rsidRPr="005F5BEA">
              <w:rPr>
                <w:rFonts w:ascii="Times New Roman" w:eastAsia="Times New Roman" w:hAnsi="Times New Roman"/>
                <w:b/>
                <w:bCs/>
                <w:szCs w:val="24"/>
              </w:rPr>
              <w:t xml:space="preserve"> Months Ended</w:t>
            </w:r>
            <w:r w:rsidR="00256D36">
              <w:rPr>
                <w:rFonts w:ascii="Times New Roman" w:eastAsia="Times New Roman" w:hAnsi="Times New Roman"/>
                <w:b/>
                <w:bCs/>
                <w:szCs w:val="24"/>
                <w:u w:val="single"/>
              </w:rPr>
              <w:t xml:space="preserve"> </w:t>
            </w:r>
            <w:r w:rsidR="003273D4">
              <w:rPr>
                <w:rFonts w:ascii="Times New Roman" w:eastAsia="Times New Roman" w:hAnsi="Times New Roman"/>
                <w:b/>
                <w:bCs/>
                <w:szCs w:val="24"/>
                <w:u w:val="single"/>
              </w:rPr>
              <w:t>March</w:t>
            </w:r>
            <w:r w:rsidR="00382966">
              <w:rPr>
                <w:rFonts w:ascii="Times New Roman" w:eastAsia="Times New Roman" w:hAnsi="Times New Roman"/>
                <w:b/>
                <w:bCs/>
                <w:szCs w:val="24"/>
                <w:u w:val="single"/>
              </w:rPr>
              <w:t xml:space="preserve"> </w:t>
            </w:r>
            <w:r w:rsidR="00256D36">
              <w:rPr>
                <w:rFonts w:ascii="Times New Roman" w:eastAsia="Times New Roman" w:hAnsi="Times New Roman"/>
                <w:b/>
                <w:bCs/>
                <w:szCs w:val="24"/>
                <w:u w:val="single"/>
              </w:rPr>
              <w:t>3</w:t>
            </w:r>
            <w:r w:rsidR="00510A71">
              <w:rPr>
                <w:rFonts w:ascii="Times New Roman" w:eastAsia="Times New Roman" w:hAnsi="Times New Roman"/>
                <w:b/>
                <w:bCs/>
                <w:szCs w:val="24"/>
                <w:u w:val="single"/>
              </w:rPr>
              <w:t>1</w:t>
            </w:r>
            <w:r w:rsidR="00256D36">
              <w:rPr>
                <w:rFonts w:ascii="Times New Roman" w:eastAsia="Times New Roman" w:hAnsi="Times New Roman"/>
                <w:b/>
                <w:bCs/>
                <w:szCs w:val="24"/>
                <w:u w:val="single"/>
              </w:rPr>
              <w:t>, 20</w:t>
            </w:r>
            <w:r w:rsidR="00A43921">
              <w:rPr>
                <w:rFonts w:ascii="Times New Roman" w:eastAsia="Times New Roman" w:hAnsi="Times New Roman"/>
                <w:b/>
                <w:bCs/>
                <w:szCs w:val="24"/>
                <w:u w:val="single"/>
              </w:rPr>
              <w:t>1</w:t>
            </w:r>
            <w:r w:rsidR="00B82116">
              <w:rPr>
                <w:rFonts w:ascii="Times New Roman" w:eastAsia="Times New Roman" w:hAnsi="Times New Roman"/>
                <w:b/>
                <w:bCs/>
                <w:szCs w:val="24"/>
                <w:u w:val="single"/>
              </w:rPr>
              <w:t>2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256D36" w:rsidRPr="008015AD" w:rsidRDefault="00256D36" w:rsidP="00B82116">
            <w:pPr>
              <w:jc w:val="center"/>
              <w:rPr>
                <w:rFonts w:ascii="Times New Roman" w:eastAsia="Times New Roman" w:hAnsi="Times New Roman"/>
                <w:b/>
                <w:bCs/>
                <w:szCs w:val="24"/>
                <w:u w:val="single"/>
              </w:rPr>
            </w:pPr>
            <w:r w:rsidRPr="005F5BEA">
              <w:rPr>
                <w:rFonts w:ascii="Times New Roman" w:eastAsia="Times New Roman" w:hAnsi="Times New Roman"/>
                <w:b/>
                <w:bCs/>
                <w:szCs w:val="24"/>
              </w:rPr>
              <w:t>Three Months Ended</w:t>
            </w:r>
            <w:r>
              <w:rPr>
                <w:rFonts w:ascii="Times New Roman" w:eastAsia="Times New Roman" w:hAnsi="Times New Roman"/>
                <w:b/>
                <w:bCs/>
                <w:szCs w:val="24"/>
                <w:u w:val="single"/>
              </w:rPr>
              <w:t xml:space="preserve"> </w:t>
            </w:r>
            <w:r w:rsidR="003273D4">
              <w:rPr>
                <w:rFonts w:ascii="Times New Roman" w:eastAsia="Times New Roman" w:hAnsi="Times New Roman"/>
                <w:b/>
                <w:bCs/>
                <w:szCs w:val="24"/>
                <w:u w:val="single"/>
              </w:rPr>
              <w:t>March</w:t>
            </w:r>
            <w:r>
              <w:rPr>
                <w:rFonts w:ascii="Times New Roman" w:eastAsia="Times New Roman" w:hAnsi="Times New Roman"/>
                <w:b/>
                <w:bCs/>
                <w:szCs w:val="24"/>
                <w:u w:val="single"/>
              </w:rPr>
              <w:t xml:space="preserve"> </w:t>
            </w:r>
            <w:r w:rsidR="00382966">
              <w:rPr>
                <w:rFonts w:ascii="Times New Roman" w:eastAsia="Times New Roman" w:hAnsi="Times New Roman"/>
                <w:b/>
                <w:bCs/>
                <w:szCs w:val="24"/>
                <w:u w:val="single"/>
              </w:rPr>
              <w:t>3</w:t>
            </w:r>
            <w:r w:rsidR="00510A71">
              <w:rPr>
                <w:rFonts w:ascii="Times New Roman" w:eastAsia="Times New Roman" w:hAnsi="Times New Roman"/>
                <w:b/>
                <w:bCs/>
                <w:szCs w:val="24"/>
                <w:u w:val="single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Cs w:val="24"/>
                <w:u w:val="single"/>
              </w:rPr>
              <w:t>, 20</w:t>
            </w:r>
            <w:r w:rsidR="003273D4">
              <w:rPr>
                <w:rFonts w:ascii="Times New Roman" w:eastAsia="Times New Roman" w:hAnsi="Times New Roman"/>
                <w:b/>
                <w:bCs/>
                <w:szCs w:val="24"/>
                <w:u w:val="single"/>
              </w:rPr>
              <w:t>1</w:t>
            </w:r>
            <w:r w:rsidR="00B82116">
              <w:rPr>
                <w:rFonts w:ascii="Times New Roman" w:eastAsia="Times New Roman" w:hAnsi="Times New Roman"/>
                <w:b/>
                <w:bCs/>
                <w:szCs w:val="24"/>
                <w:u w:val="single"/>
              </w:rPr>
              <w:t>1</w:t>
            </w:r>
          </w:p>
        </w:tc>
      </w:tr>
      <w:tr w:rsidR="00A43921" w:rsidRPr="008015AD" w:rsidTr="004803A6">
        <w:trPr>
          <w:trHeight w:val="333"/>
        </w:trPr>
        <w:tc>
          <w:tcPr>
            <w:tcW w:w="3960" w:type="dxa"/>
            <w:shd w:val="clear" w:color="auto" w:fill="auto"/>
            <w:noWrap/>
            <w:vAlign w:val="center"/>
          </w:tcPr>
          <w:p w:rsidR="00A43921" w:rsidRPr="00C31F04" w:rsidRDefault="00A43921" w:rsidP="00746D9B">
            <w:pPr>
              <w:rPr>
                <w:rFonts w:ascii="Times New Roman" w:eastAsia="Times New Roman" w:hAnsi="Times New Roman"/>
                <w:szCs w:val="24"/>
              </w:rPr>
            </w:pPr>
            <w:r w:rsidRPr="00C31F04">
              <w:rPr>
                <w:rFonts w:ascii="Times New Roman" w:eastAsia="Times New Roman" w:hAnsi="Times New Roman"/>
                <w:szCs w:val="24"/>
              </w:rPr>
              <w:t>Total revenue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A43921" w:rsidRPr="008015AD" w:rsidRDefault="00A43921" w:rsidP="00DF331B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$1.</w:t>
            </w:r>
            <w:r w:rsidR="00DF331B">
              <w:rPr>
                <w:rFonts w:ascii="Times New Roman" w:eastAsia="Times New Roman" w:hAnsi="Times New Roman"/>
                <w:szCs w:val="24"/>
              </w:rPr>
              <w:t>18</w:t>
            </w:r>
            <w:r>
              <w:rPr>
                <w:rFonts w:ascii="Times New Roman" w:eastAsia="Times New Roman" w:hAnsi="Times New Roman"/>
                <w:szCs w:val="24"/>
              </w:rPr>
              <w:t xml:space="preserve"> billion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A43921" w:rsidRPr="008015AD" w:rsidRDefault="00A43921" w:rsidP="000F24EE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$1.</w:t>
            </w:r>
            <w:r w:rsidR="00B82116">
              <w:rPr>
                <w:rFonts w:ascii="Times New Roman" w:eastAsia="Times New Roman" w:hAnsi="Times New Roman"/>
                <w:szCs w:val="24"/>
              </w:rPr>
              <w:t>1</w:t>
            </w:r>
            <w:r w:rsidR="000F24EE">
              <w:rPr>
                <w:rFonts w:ascii="Times New Roman" w:eastAsia="Times New Roman" w:hAnsi="Times New Roman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Cs w:val="24"/>
              </w:rPr>
              <w:t xml:space="preserve"> billion</w:t>
            </w:r>
          </w:p>
        </w:tc>
      </w:tr>
      <w:tr w:rsidR="00A43921" w:rsidRPr="008015AD" w:rsidTr="004803A6">
        <w:trPr>
          <w:trHeight w:val="333"/>
        </w:trPr>
        <w:tc>
          <w:tcPr>
            <w:tcW w:w="3960" w:type="dxa"/>
            <w:shd w:val="clear" w:color="auto" w:fill="auto"/>
            <w:noWrap/>
            <w:vAlign w:val="center"/>
          </w:tcPr>
          <w:p w:rsidR="00A43921" w:rsidRPr="00C31F04" w:rsidRDefault="00A43921" w:rsidP="00746D9B">
            <w:pPr>
              <w:rPr>
                <w:rFonts w:ascii="Times New Roman" w:eastAsia="Times New Roman" w:hAnsi="Times New Roman"/>
                <w:szCs w:val="24"/>
              </w:rPr>
            </w:pPr>
            <w:r w:rsidRPr="00C31F04">
              <w:rPr>
                <w:rFonts w:ascii="Times New Roman" w:eastAsia="Times New Roman" w:hAnsi="Times New Roman"/>
                <w:szCs w:val="24"/>
              </w:rPr>
              <w:t>Pre-tax earnings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A43921" w:rsidRPr="008015AD" w:rsidRDefault="00A43921" w:rsidP="00DF331B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$</w:t>
            </w:r>
            <w:r w:rsidR="00F90066">
              <w:rPr>
                <w:rFonts w:ascii="Times New Roman" w:eastAsia="Times New Roman" w:hAnsi="Times New Roman"/>
                <w:szCs w:val="24"/>
              </w:rPr>
              <w:t>1</w:t>
            </w:r>
            <w:r w:rsidR="00DF331B">
              <w:rPr>
                <w:rFonts w:ascii="Times New Roman" w:eastAsia="Times New Roman" w:hAnsi="Times New Roman"/>
                <w:szCs w:val="24"/>
              </w:rPr>
              <w:t>29.5</w:t>
            </w:r>
            <w:r w:rsidRPr="008015AD">
              <w:rPr>
                <w:rFonts w:ascii="Times New Roman" w:eastAsia="Times New Roman" w:hAnsi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Cs w:val="24"/>
              </w:rPr>
              <w:t>million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A43921" w:rsidRPr="008015AD" w:rsidRDefault="00A43921" w:rsidP="000F24EE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$</w:t>
            </w:r>
            <w:r w:rsidR="00B82116">
              <w:rPr>
                <w:rFonts w:ascii="Times New Roman" w:eastAsia="Times New Roman" w:hAnsi="Times New Roman"/>
                <w:szCs w:val="24"/>
              </w:rPr>
              <w:t>10</w:t>
            </w:r>
            <w:r w:rsidR="000F24EE">
              <w:rPr>
                <w:rFonts w:ascii="Times New Roman" w:eastAsia="Times New Roman" w:hAnsi="Times New Roman"/>
                <w:szCs w:val="24"/>
              </w:rPr>
              <w:t>6</w:t>
            </w:r>
            <w:r w:rsidR="00B82116">
              <w:rPr>
                <w:rFonts w:ascii="Times New Roman" w:eastAsia="Times New Roman" w:hAnsi="Times New Roman"/>
                <w:szCs w:val="24"/>
              </w:rPr>
              <w:t>.</w:t>
            </w:r>
            <w:r w:rsidR="000F24EE">
              <w:rPr>
                <w:rFonts w:ascii="Times New Roman" w:eastAsia="Times New Roman" w:hAnsi="Times New Roman"/>
                <w:szCs w:val="24"/>
              </w:rPr>
              <w:t>3</w:t>
            </w:r>
            <w:r w:rsidRPr="008015AD">
              <w:rPr>
                <w:rFonts w:ascii="Times New Roman" w:eastAsia="Times New Roman" w:hAnsi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Cs w:val="24"/>
              </w:rPr>
              <w:t>million</w:t>
            </w:r>
          </w:p>
        </w:tc>
      </w:tr>
      <w:tr w:rsidR="00E85E14" w:rsidRPr="008015AD" w:rsidTr="004803A6">
        <w:trPr>
          <w:trHeight w:val="333"/>
        </w:trPr>
        <w:tc>
          <w:tcPr>
            <w:tcW w:w="3960" w:type="dxa"/>
            <w:shd w:val="clear" w:color="auto" w:fill="auto"/>
            <w:noWrap/>
            <w:vAlign w:val="center"/>
          </w:tcPr>
          <w:p w:rsidR="00E85E14" w:rsidRPr="00C31F04" w:rsidRDefault="00E85E14" w:rsidP="00B82116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Realized gains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E85E14" w:rsidRDefault="00DF331B" w:rsidP="0001379D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$4.0 </w:t>
            </w:r>
            <w:r w:rsidR="00347987">
              <w:rPr>
                <w:rFonts w:ascii="Times New Roman" w:eastAsia="Times New Roman" w:hAnsi="Times New Roman"/>
                <w:szCs w:val="24"/>
              </w:rPr>
              <w:t>million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E85E14" w:rsidRDefault="00B82116" w:rsidP="003273D4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$18.4 million</w:t>
            </w:r>
          </w:p>
        </w:tc>
      </w:tr>
      <w:tr w:rsidR="00E85E14" w:rsidRPr="008015AD" w:rsidTr="004803A6">
        <w:trPr>
          <w:trHeight w:val="333"/>
        </w:trPr>
        <w:tc>
          <w:tcPr>
            <w:tcW w:w="3960" w:type="dxa"/>
            <w:shd w:val="clear" w:color="auto" w:fill="auto"/>
            <w:noWrap/>
            <w:vAlign w:val="center"/>
          </w:tcPr>
          <w:p w:rsidR="00E85E14" w:rsidRPr="00C31F04" w:rsidRDefault="00E85E14" w:rsidP="00131575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Pre-tax earnings (ex</w:t>
            </w:r>
            <w:r w:rsidR="00131575">
              <w:rPr>
                <w:rFonts w:ascii="Times New Roman" w:eastAsia="Times New Roman" w:hAnsi="Times New Roman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szCs w:val="24"/>
              </w:rPr>
              <w:t>realized gains</w:t>
            </w:r>
            <w:r w:rsidR="00131575">
              <w:rPr>
                <w:rFonts w:ascii="Times New Roman" w:eastAsia="Times New Roman" w:hAnsi="Times New Roman"/>
                <w:szCs w:val="24"/>
              </w:rPr>
              <w:t>)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E85E14" w:rsidRDefault="00DF331B" w:rsidP="0001379D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$125.5 million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E85E14" w:rsidRDefault="00B82116" w:rsidP="000F24EE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$8</w:t>
            </w:r>
            <w:r w:rsidR="000F24EE">
              <w:rPr>
                <w:rFonts w:ascii="Times New Roman" w:eastAsia="Times New Roman" w:hAnsi="Times New Roman"/>
                <w:szCs w:val="24"/>
              </w:rPr>
              <w:t>7</w:t>
            </w:r>
            <w:r>
              <w:rPr>
                <w:rFonts w:ascii="Times New Roman" w:eastAsia="Times New Roman" w:hAnsi="Times New Roman"/>
                <w:szCs w:val="24"/>
              </w:rPr>
              <w:t>.</w:t>
            </w:r>
            <w:r w:rsidR="000F24EE">
              <w:rPr>
                <w:rFonts w:ascii="Times New Roman" w:eastAsia="Times New Roman" w:hAnsi="Times New Roman"/>
                <w:szCs w:val="24"/>
              </w:rPr>
              <w:t>9</w:t>
            </w:r>
            <w:r>
              <w:rPr>
                <w:rFonts w:ascii="Times New Roman" w:eastAsia="Times New Roman" w:hAnsi="Times New Roman"/>
                <w:szCs w:val="24"/>
              </w:rPr>
              <w:t xml:space="preserve"> million</w:t>
            </w:r>
          </w:p>
        </w:tc>
      </w:tr>
      <w:tr w:rsidR="00A43921" w:rsidRPr="008015AD" w:rsidTr="004803A6">
        <w:trPr>
          <w:trHeight w:val="333"/>
        </w:trPr>
        <w:tc>
          <w:tcPr>
            <w:tcW w:w="3960" w:type="dxa"/>
            <w:shd w:val="clear" w:color="auto" w:fill="auto"/>
            <w:noWrap/>
            <w:vAlign w:val="center"/>
          </w:tcPr>
          <w:p w:rsidR="00A43921" w:rsidRPr="00C31F04" w:rsidRDefault="00A43921" w:rsidP="00131575">
            <w:pPr>
              <w:rPr>
                <w:rFonts w:ascii="Times New Roman" w:eastAsia="Times New Roman" w:hAnsi="Times New Roman"/>
                <w:szCs w:val="24"/>
              </w:rPr>
            </w:pPr>
            <w:r w:rsidRPr="00C31F04">
              <w:rPr>
                <w:rFonts w:ascii="Times New Roman" w:eastAsia="Times New Roman" w:hAnsi="Times New Roman"/>
                <w:szCs w:val="24"/>
              </w:rPr>
              <w:t>Pre-tax margin</w:t>
            </w:r>
            <w:r w:rsidR="00E85E14">
              <w:rPr>
                <w:rFonts w:ascii="Times New Roman" w:eastAsia="Times New Roman" w:hAnsi="Times New Roman"/>
                <w:szCs w:val="24"/>
              </w:rPr>
              <w:t xml:space="preserve"> (ex</w:t>
            </w:r>
            <w:r w:rsidR="00131575">
              <w:rPr>
                <w:rFonts w:ascii="Times New Roman" w:eastAsia="Times New Roman" w:hAnsi="Times New Roman"/>
                <w:szCs w:val="24"/>
              </w:rPr>
              <w:t xml:space="preserve">. </w:t>
            </w:r>
            <w:r w:rsidR="00E85E14">
              <w:rPr>
                <w:rFonts w:ascii="Times New Roman" w:eastAsia="Times New Roman" w:hAnsi="Times New Roman"/>
                <w:szCs w:val="24"/>
              </w:rPr>
              <w:t>realized gains</w:t>
            </w:r>
            <w:r w:rsidR="00131575">
              <w:rPr>
                <w:rFonts w:ascii="Times New Roman" w:eastAsia="Times New Roman" w:hAnsi="Times New Roman"/>
                <w:szCs w:val="24"/>
              </w:rPr>
              <w:t>)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A43921" w:rsidRPr="008015AD" w:rsidRDefault="00DF331B" w:rsidP="00DF331B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10</w:t>
            </w:r>
            <w:r w:rsidR="00F90066">
              <w:rPr>
                <w:rFonts w:ascii="Times New Roman" w:eastAsia="Times New Roman" w:hAnsi="Times New Roman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Cs w:val="24"/>
              </w:rPr>
              <w:t>7</w:t>
            </w:r>
            <w:r w:rsidR="00A43921">
              <w:rPr>
                <w:rFonts w:ascii="Times New Roman" w:eastAsia="Times New Roman" w:hAnsi="Times New Roman"/>
                <w:szCs w:val="24"/>
              </w:rPr>
              <w:t>%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A43921" w:rsidRPr="008015AD" w:rsidRDefault="000F24EE" w:rsidP="000F24EE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8</w:t>
            </w:r>
            <w:r w:rsidR="00B82116">
              <w:rPr>
                <w:rFonts w:ascii="Times New Roman" w:eastAsia="Times New Roman" w:hAnsi="Times New Roman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Cs w:val="24"/>
              </w:rPr>
              <w:t>0</w:t>
            </w:r>
            <w:r w:rsidR="00A43921">
              <w:rPr>
                <w:rFonts w:ascii="Times New Roman" w:eastAsia="Times New Roman" w:hAnsi="Times New Roman"/>
                <w:szCs w:val="24"/>
              </w:rPr>
              <w:t>%</w:t>
            </w:r>
          </w:p>
        </w:tc>
      </w:tr>
      <w:tr w:rsidR="00A43921" w:rsidRPr="008015AD" w:rsidTr="004803A6">
        <w:trPr>
          <w:trHeight w:val="333"/>
        </w:trPr>
        <w:tc>
          <w:tcPr>
            <w:tcW w:w="3960" w:type="dxa"/>
            <w:shd w:val="clear" w:color="auto" w:fill="auto"/>
            <w:noWrap/>
            <w:vAlign w:val="center"/>
          </w:tcPr>
          <w:p w:rsidR="00A43921" w:rsidRPr="00C31F04" w:rsidRDefault="00A43921" w:rsidP="00746D9B">
            <w:pPr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A43921" w:rsidRPr="008015AD" w:rsidRDefault="00A43921" w:rsidP="008E3EE4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A43921" w:rsidRPr="008015AD" w:rsidRDefault="00A43921" w:rsidP="00EE6AF5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4803A6" w:rsidRPr="008015AD" w:rsidTr="004803A6">
        <w:trPr>
          <w:trHeight w:val="673"/>
        </w:trPr>
        <w:tc>
          <w:tcPr>
            <w:tcW w:w="3960" w:type="dxa"/>
            <w:shd w:val="clear" w:color="auto" w:fill="auto"/>
            <w:noWrap/>
            <w:vAlign w:val="center"/>
          </w:tcPr>
          <w:p w:rsidR="004803A6" w:rsidRPr="004803A6" w:rsidRDefault="004803A6" w:rsidP="00746D9B">
            <w:pPr>
              <w:rPr>
                <w:rFonts w:ascii="Times New Roman" w:eastAsia="Times New Roman" w:hAnsi="Times New Roman"/>
                <w:b/>
                <w:szCs w:val="24"/>
                <w:u w:val="single"/>
              </w:rPr>
            </w:pPr>
            <w:r w:rsidRPr="004803A6">
              <w:rPr>
                <w:rFonts w:ascii="Times New Roman" w:eastAsia="Times New Roman" w:hAnsi="Times New Roman"/>
                <w:b/>
                <w:szCs w:val="24"/>
                <w:u w:val="single"/>
              </w:rPr>
              <w:lastRenderedPageBreak/>
              <w:t>Month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4803A6" w:rsidRPr="004803A6" w:rsidRDefault="004803A6" w:rsidP="006574E4">
            <w:pPr>
              <w:jc w:val="center"/>
              <w:rPr>
                <w:rFonts w:ascii="Times New Roman" w:eastAsia="Times New Roman" w:hAnsi="Times New Roman"/>
                <w:b/>
                <w:bCs/>
                <w:szCs w:val="24"/>
                <w:u w:val="single"/>
              </w:rPr>
            </w:pPr>
            <w:r w:rsidRPr="004803A6">
              <w:rPr>
                <w:rFonts w:ascii="Times New Roman" w:eastAsia="Times New Roman" w:hAnsi="Times New Roman"/>
                <w:b/>
                <w:bCs/>
                <w:szCs w:val="24"/>
                <w:u w:val="single"/>
              </w:rPr>
              <w:t>Direct Orders Opened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4803A6" w:rsidRPr="004803A6" w:rsidRDefault="004803A6" w:rsidP="006574E4">
            <w:pPr>
              <w:jc w:val="center"/>
              <w:rPr>
                <w:rFonts w:ascii="Times New Roman" w:eastAsia="Times New Roman" w:hAnsi="Times New Roman"/>
                <w:b/>
                <w:bCs/>
                <w:szCs w:val="24"/>
                <w:u w:val="single"/>
              </w:rPr>
            </w:pPr>
            <w:r w:rsidRPr="004803A6">
              <w:rPr>
                <w:rFonts w:ascii="Times New Roman" w:eastAsia="Times New Roman" w:hAnsi="Times New Roman"/>
                <w:b/>
                <w:bCs/>
                <w:szCs w:val="24"/>
                <w:u w:val="single"/>
              </w:rPr>
              <w:t>Direct Orders Closed</w:t>
            </w:r>
          </w:p>
        </w:tc>
      </w:tr>
      <w:tr w:rsidR="004803A6" w:rsidRPr="008015AD" w:rsidTr="004803A6">
        <w:trPr>
          <w:trHeight w:val="333"/>
        </w:trPr>
        <w:tc>
          <w:tcPr>
            <w:tcW w:w="3960" w:type="dxa"/>
            <w:shd w:val="clear" w:color="auto" w:fill="auto"/>
            <w:noWrap/>
            <w:vAlign w:val="center"/>
          </w:tcPr>
          <w:p w:rsidR="004803A6" w:rsidRPr="00C31F04" w:rsidRDefault="00C70140" w:rsidP="00E85E14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January</w:t>
            </w:r>
            <w:r w:rsidR="004803A6">
              <w:rPr>
                <w:rFonts w:ascii="Times New Roman" w:eastAsia="Times New Roman" w:hAnsi="Times New Roman"/>
                <w:szCs w:val="24"/>
              </w:rPr>
              <w:t xml:space="preserve"> 201</w:t>
            </w:r>
            <w:r w:rsidR="00E85E14">
              <w:rPr>
                <w:rFonts w:ascii="Times New Roman" w:eastAsia="Times New Roman" w:hAnsi="Times New Roman"/>
                <w:szCs w:val="24"/>
              </w:rPr>
              <w:t>2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4803A6" w:rsidRPr="008015AD" w:rsidRDefault="008978DF" w:rsidP="008978DF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204</w:t>
            </w:r>
            <w:r w:rsidR="00F90066">
              <w:rPr>
                <w:rFonts w:ascii="Times New Roman" w:eastAsia="Times New Roman" w:hAnsi="Times New Roman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Cs w:val="24"/>
              </w:rPr>
              <w:t>900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4803A6" w:rsidRPr="008015AD" w:rsidRDefault="00527132" w:rsidP="00527132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120</w:t>
            </w:r>
            <w:r w:rsidR="00F90066">
              <w:rPr>
                <w:rFonts w:ascii="Times New Roman" w:eastAsia="Times New Roman" w:hAnsi="Times New Roman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Cs w:val="24"/>
              </w:rPr>
              <w:t>5</w:t>
            </w:r>
            <w:r w:rsidR="00F90066">
              <w:rPr>
                <w:rFonts w:ascii="Times New Roman" w:eastAsia="Times New Roman" w:hAnsi="Times New Roman"/>
                <w:szCs w:val="24"/>
              </w:rPr>
              <w:t>00</w:t>
            </w:r>
          </w:p>
        </w:tc>
      </w:tr>
      <w:tr w:rsidR="004803A6" w:rsidRPr="008015AD" w:rsidTr="004803A6">
        <w:trPr>
          <w:trHeight w:val="333"/>
        </w:trPr>
        <w:tc>
          <w:tcPr>
            <w:tcW w:w="3960" w:type="dxa"/>
            <w:shd w:val="clear" w:color="auto" w:fill="auto"/>
            <w:noWrap/>
            <w:vAlign w:val="center"/>
          </w:tcPr>
          <w:p w:rsidR="004803A6" w:rsidRPr="00C31F04" w:rsidRDefault="00C70140" w:rsidP="00E85E14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February</w:t>
            </w:r>
            <w:r w:rsidR="004803A6">
              <w:rPr>
                <w:rFonts w:ascii="Times New Roman" w:eastAsia="Times New Roman" w:hAnsi="Times New Roman"/>
                <w:szCs w:val="24"/>
              </w:rPr>
              <w:t xml:space="preserve"> 201</w:t>
            </w:r>
            <w:r w:rsidR="00E85E14">
              <w:rPr>
                <w:rFonts w:ascii="Times New Roman" w:eastAsia="Times New Roman" w:hAnsi="Times New Roman"/>
                <w:szCs w:val="24"/>
              </w:rPr>
              <w:t>2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4803A6" w:rsidRPr="008015AD" w:rsidRDefault="008978DF" w:rsidP="008978DF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229</w:t>
            </w:r>
            <w:r w:rsidR="00F90066">
              <w:rPr>
                <w:rFonts w:ascii="Times New Roman" w:eastAsia="Times New Roman" w:hAnsi="Times New Roman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Cs w:val="24"/>
              </w:rPr>
              <w:t>8</w:t>
            </w:r>
            <w:r w:rsidR="00F90066">
              <w:rPr>
                <w:rFonts w:ascii="Times New Roman" w:eastAsia="Times New Roman" w:hAnsi="Times New Roman"/>
                <w:szCs w:val="24"/>
              </w:rPr>
              <w:t>00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4803A6" w:rsidRPr="008015AD" w:rsidRDefault="00527132" w:rsidP="00527132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135</w:t>
            </w:r>
            <w:r w:rsidR="00F90066">
              <w:rPr>
                <w:rFonts w:ascii="Times New Roman" w:eastAsia="Times New Roman" w:hAnsi="Times New Roman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Cs w:val="24"/>
              </w:rPr>
              <w:t>3</w:t>
            </w:r>
            <w:r w:rsidR="00F90066">
              <w:rPr>
                <w:rFonts w:ascii="Times New Roman" w:eastAsia="Times New Roman" w:hAnsi="Times New Roman"/>
                <w:szCs w:val="24"/>
              </w:rPr>
              <w:t>00</w:t>
            </w:r>
          </w:p>
        </w:tc>
      </w:tr>
      <w:tr w:rsidR="004803A6" w:rsidRPr="008015AD" w:rsidTr="004803A6">
        <w:trPr>
          <w:trHeight w:val="333"/>
        </w:trPr>
        <w:tc>
          <w:tcPr>
            <w:tcW w:w="3960" w:type="dxa"/>
            <w:shd w:val="clear" w:color="auto" w:fill="auto"/>
            <w:noWrap/>
            <w:vAlign w:val="center"/>
          </w:tcPr>
          <w:p w:rsidR="004803A6" w:rsidRPr="00C31F04" w:rsidRDefault="00C70140" w:rsidP="00E85E14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March</w:t>
            </w:r>
            <w:r w:rsidR="004803A6">
              <w:rPr>
                <w:rFonts w:ascii="Times New Roman" w:eastAsia="Times New Roman" w:hAnsi="Times New Roman"/>
                <w:szCs w:val="24"/>
              </w:rPr>
              <w:t xml:space="preserve"> 201</w:t>
            </w:r>
            <w:r w:rsidR="00E85E14">
              <w:rPr>
                <w:rFonts w:ascii="Times New Roman" w:eastAsia="Times New Roman" w:hAnsi="Times New Roman"/>
                <w:szCs w:val="24"/>
              </w:rPr>
              <w:t>2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4803A6" w:rsidRPr="004803A6" w:rsidRDefault="008978DF" w:rsidP="008978DF">
            <w:pPr>
              <w:jc w:val="center"/>
              <w:rPr>
                <w:rFonts w:ascii="Times New Roman" w:eastAsia="Times New Roman" w:hAnsi="Times New Roman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Cs w:val="24"/>
                <w:u w:val="single"/>
              </w:rPr>
              <w:t>216</w:t>
            </w:r>
            <w:r w:rsidR="00F90066">
              <w:rPr>
                <w:rFonts w:ascii="Times New Roman" w:eastAsia="Times New Roman" w:hAnsi="Times New Roman"/>
                <w:szCs w:val="24"/>
                <w:u w:val="single"/>
              </w:rPr>
              <w:t>,</w:t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>4</w:t>
            </w:r>
            <w:r w:rsidR="00F90066">
              <w:rPr>
                <w:rFonts w:ascii="Times New Roman" w:eastAsia="Times New Roman" w:hAnsi="Times New Roman"/>
                <w:szCs w:val="24"/>
                <w:u w:val="single"/>
              </w:rPr>
              <w:t>00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4803A6" w:rsidRPr="004552F5" w:rsidRDefault="00527132" w:rsidP="00527132">
            <w:pPr>
              <w:jc w:val="center"/>
              <w:rPr>
                <w:rFonts w:ascii="Times New Roman" w:eastAsia="Times New Roman" w:hAnsi="Times New Roman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Cs w:val="24"/>
                <w:u w:val="single"/>
              </w:rPr>
              <w:t>153</w:t>
            </w:r>
            <w:r w:rsidR="00F90066">
              <w:rPr>
                <w:rFonts w:ascii="Times New Roman" w:eastAsia="Times New Roman" w:hAnsi="Times New Roman"/>
                <w:szCs w:val="24"/>
                <w:u w:val="single"/>
              </w:rPr>
              <w:t>,</w:t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>7</w:t>
            </w:r>
            <w:r w:rsidR="00F90066">
              <w:rPr>
                <w:rFonts w:ascii="Times New Roman" w:eastAsia="Times New Roman" w:hAnsi="Times New Roman"/>
                <w:szCs w:val="24"/>
                <w:u w:val="single"/>
              </w:rPr>
              <w:t>00</w:t>
            </w:r>
          </w:p>
        </w:tc>
      </w:tr>
      <w:tr w:rsidR="004803A6" w:rsidRPr="008015AD" w:rsidTr="004803A6">
        <w:trPr>
          <w:trHeight w:val="333"/>
        </w:trPr>
        <w:tc>
          <w:tcPr>
            <w:tcW w:w="3960" w:type="dxa"/>
            <w:shd w:val="clear" w:color="auto" w:fill="auto"/>
            <w:noWrap/>
            <w:vAlign w:val="center"/>
          </w:tcPr>
          <w:p w:rsidR="004803A6" w:rsidRPr="00746D9B" w:rsidRDefault="00C70140" w:rsidP="00E85E14">
            <w:pPr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First Quarter 201</w:t>
            </w:r>
            <w:r w:rsidR="00E85E14">
              <w:rPr>
                <w:rFonts w:ascii="Times New Roman" w:eastAsia="Times New Roman" w:hAnsi="Times New Roman"/>
                <w:b/>
                <w:szCs w:val="24"/>
              </w:rPr>
              <w:t>2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4803A6" w:rsidRPr="00746D9B" w:rsidRDefault="008978DF" w:rsidP="008978DF">
            <w:pPr>
              <w:jc w:val="center"/>
              <w:rPr>
                <w:rFonts w:ascii="Times New Roman" w:eastAsia="Times New Roman" w:hAnsi="Times New Roman"/>
                <w:b/>
                <w:szCs w:val="24"/>
                <w:u w:val="double"/>
              </w:rPr>
            </w:pPr>
            <w:r>
              <w:rPr>
                <w:rFonts w:ascii="Times New Roman" w:eastAsia="Times New Roman" w:hAnsi="Times New Roman"/>
                <w:b/>
                <w:szCs w:val="24"/>
                <w:u w:val="double"/>
              </w:rPr>
              <w:t>651</w:t>
            </w:r>
            <w:r w:rsidR="008A6FE2">
              <w:rPr>
                <w:rFonts w:ascii="Times New Roman" w:eastAsia="Times New Roman" w:hAnsi="Times New Roman"/>
                <w:b/>
                <w:szCs w:val="24"/>
                <w:u w:val="double"/>
              </w:rPr>
              <w:t>,</w:t>
            </w:r>
            <w:r>
              <w:rPr>
                <w:rFonts w:ascii="Times New Roman" w:eastAsia="Times New Roman" w:hAnsi="Times New Roman"/>
                <w:b/>
                <w:szCs w:val="24"/>
                <w:u w:val="double"/>
              </w:rPr>
              <w:t>1</w:t>
            </w:r>
            <w:r w:rsidR="008A6FE2">
              <w:rPr>
                <w:rFonts w:ascii="Times New Roman" w:eastAsia="Times New Roman" w:hAnsi="Times New Roman"/>
                <w:b/>
                <w:szCs w:val="24"/>
                <w:u w:val="double"/>
              </w:rPr>
              <w:t>00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4803A6" w:rsidRPr="00746D9B" w:rsidRDefault="00527132" w:rsidP="00527132">
            <w:pPr>
              <w:jc w:val="center"/>
              <w:rPr>
                <w:rFonts w:ascii="Times New Roman" w:eastAsia="Times New Roman" w:hAnsi="Times New Roman"/>
                <w:b/>
                <w:szCs w:val="24"/>
                <w:u w:val="double"/>
              </w:rPr>
            </w:pPr>
            <w:r>
              <w:rPr>
                <w:rFonts w:ascii="Times New Roman" w:eastAsia="Times New Roman" w:hAnsi="Times New Roman"/>
                <w:b/>
                <w:szCs w:val="24"/>
                <w:u w:val="double"/>
              </w:rPr>
              <w:t>409</w:t>
            </w:r>
            <w:r w:rsidR="008A6FE2">
              <w:rPr>
                <w:rFonts w:ascii="Times New Roman" w:eastAsia="Times New Roman" w:hAnsi="Times New Roman"/>
                <w:b/>
                <w:szCs w:val="24"/>
                <w:u w:val="double"/>
              </w:rPr>
              <w:t>,</w:t>
            </w:r>
            <w:r>
              <w:rPr>
                <w:rFonts w:ascii="Times New Roman" w:eastAsia="Times New Roman" w:hAnsi="Times New Roman"/>
                <w:b/>
                <w:szCs w:val="24"/>
                <w:u w:val="double"/>
              </w:rPr>
              <w:t>5</w:t>
            </w:r>
            <w:r w:rsidR="008A6FE2">
              <w:rPr>
                <w:rFonts w:ascii="Times New Roman" w:eastAsia="Times New Roman" w:hAnsi="Times New Roman"/>
                <w:b/>
                <w:szCs w:val="24"/>
                <w:u w:val="double"/>
              </w:rPr>
              <w:t>00</w:t>
            </w:r>
          </w:p>
        </w:tc>
      </w:tr>
      <w:tr w:rsidR="004803A6" w:rsidRPr="008015AD" w:rsidTr="004803A6">
        <w:trPr>
          <w:trHeight w:val="333"/>
        </w:trPr>
        <w:tc>
          <w:tcPr>
            <w:tcW w:w="3960" w:type="dxa"/>
            <w:shd w:val="clear" w:color="auto" w:fill="auto"/>
            <w:noWrap/>
            <w:vAlign w:val="center"/>
          </w:tcPr>
          <w:p w:rsidR="004803A6" w:rsidRPr="00C31F04" w:rsidRDefault="004803A6" w:rsidP="006574E4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4803A6" w:rsidRPr="008015AD" w:rsidRDefault="004803A6" w:rsidP="006574E4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4803A6" w:rsidRPr="008015AD" w:rsidRDefault="004803A6" w:rsidP="006574E4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B82116" w:rsidRPr="008015AD" w:rsidTr="004803A6">
        <w:trPr>
          <w:trHeight w:val="333"/>
        </w:trPr>
        <w:tc>
          <w:tcPr>
            <w:tcW w:w="3960" w:type="dxa"/>
            <w:shd w:val="clear" w:color="auto" w:fill="auto"/>
            <w:noWrap/>
            <w:vAlign w:val="center"/>
          </w:tcPr>
          <w:p w:rsidR="00B82116" w:rsidRPr="00C31F04" w:rsidRDefault="00B82116" w:rsidP="00C70140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January 2011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B82116" w:rsidRPr="008015AD" w:rsidRDefault="00B82116" w:rsidP="00A6232E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154,300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B82116" w:rsidRPr="008015AD" w:rsidRDefault="00B82116" w:rsidP="00A6232E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127,400</w:t>
            </w:r>
          </w:p>
        </w:tc>
      </w:tr>
      <w:tr w:rsidR="00B82116" w:rsidRPr="008015AD" w:rsidTr="004803A6">
        <w:trPr>
          <w:trHeight w:val="333"/>
        </w:trPr>
        <w:tc>
          <w:tcPr>
            <w:tcW w:w="3960" w:type="dxa"/>
            <w:shd w:val="clear" w:color="auto" w:fill="auto"/>
            <w:noWrap/>
            <w:vAlign w:val="center"/>
          </w:tcPr>
          <w:p w:rsidR="00B82116" w:rsidRPr="00C31F04" w:rsidRDefault="00B82116" w:rsidP="00E85E14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February 2011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B82116" w:rsidRPr="008015AD" w:rsidRDefault="00B82116" w:rsidP="00A6232E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143,600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B82116" w:rsidRPr="008015AD" w:rsidRDefault="00B82116" w:rsidP="00A6232E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111,800</w:t>
            </w:r>
          </w:p>
        </w:tc>
      </w:tr>
      <w:tr w:rsidR="00B82116" w:rsidRPr="008015AD" w:rsidTr="004803A6">
        <w:trPr>
          <w:trHeight w:val="333"/>
        </w:trPr>
        <w:tc>
          <w:tcPr>
            <w:tcW w:w="3960" w:type="dxa"/>
            <w:shd w:val="clear" w:color="auto" w:fill="auto"/>
            <w:noWrap/>
            <w:vAlign w:val="center"/>
          </w:tcPr>
          <w:p w:rsidR="00B82116" w:rsidRPr="00C31F04" w:rsidRDefault="00B82116" w:rsidP="00E85E14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March 2011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B82116" w:rsidRPr="004803A6" w:rsidRDefault="00B82116" w:rsidP="00A6232E">
            <w:pPr>
              <w:jc w:val="center"/>
              <w:rPr>
                <w:rFonts w:ascii="Times New Roman" w:eastAsia="Times New Roman" w:hAnsi="Times New Roman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Cs w:val="24"/>
                <w:u w:val="single"/>
              </w:rPr>
              <w:t>190,200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B82116" w:rsidRPr="004552F5" w:rsidRDefault="00B82116" w:rsidP="00A6232E">
            <w:pPr>
              <w:jc w:val="center"/>
              <w:rPr>
                <w:rFonts w:ascii="Times New Roman" w:eastAsia="Times New Roman" w:hAnsi="Times New Roman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Cs w:val="24"/>
                <w:u w:val="single"/>
              </w:rPr>
              <w:t>131,600</w:t>
            </w:r>
          </w:p>
        </w:tc>
      </w:tr>
      <w:tr w:rsidR="00B82116" w:rsidRPr="008015AD" w:rsidTr="004803A6">
        <w:trPr>
          <w:trHeight w:val="333"/>
        </w:trPr>
        <w:tc>
          <w:tcPr>
            <w:tcW w:w="3960" w:type="dxa"/>
            <w:shd w:val="clear" w:color="auto" w:fill="auto"/>
            <w:noWrap/>
            <w:vAlign w:val="center"/>
          </w:tcPr>
          <w:p w:rsidR="00B82116" w:rsidRPr="00746D9B" w:rsidRDefault="00B82116" w:rsidP="00E85E14">
            <w:pPr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First</w:t>
            </w:r>
            <w:r w:rsidRPr="00746D9B">
              <w:rPr>
                <w:rFonts w:ascii="Times New Roman" w:eastAsia="Times New Roman" w:hAnsi="Times New Roman"/>
                <w:b/>
                <w:szCs w:val="24"/>
              </w:rPr>
              <w:t xml:space="preserve"> Quarter 20</w:t>
            </w:r>
            <w:r>
              <w:rPr>
                <w:rFonts w:ascii="Times New Roman" w:eastAsia="Times New Roman" w:hAnsi="Times New Roman"/>
                <w:b/>
                <w:szCs w:val="24"/>
              </w:rPr>
              <w:t>11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B82116" w:rsidRPr="00746D9B" w:rsidRDefault="00B82116" w:rsidP="00A6232E">
            <w:pPr>
              <w:jc w:val="center"/>
              <w:rPr>
                <w:rFonts w:ascii="Times New Roman" w:eastAsia="Times New Roman" w:hAnsi="Times New Roman"/>
                <w:b/>
                <w:szCs w:val="24"/>
                <w:u w:val="double"/>
              </w:rPr>
            </w:pPr>
            <w:r>
              <w:rPr>
                <w:rFonts w:ascii="Times New Roman" w:eastAsia="Times New Roman" w:hAnsi="Times New Roman"/>
                <w:b/>
                <w:szCs w:val="24"/>
                <w:u w:val="double"/>
              </w:rPr>
              <w:t>488,100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B82116" w:rsidRPr="00746D9B" w:rsidRDefault="00B82116" w:rsidP="00A6232E">
            <w:pPr>
              <w:jc w:val="center"/>
              <w:rPr>
                <w:rFonts w:ascii="Times New Roman" w:eastAsia="Times New Roman" w:hAnsi="Times New Roman"/>
                <w:b/>
                <w:szCs w:val="24"/>
                <w:u w:val="double"/>
              </w:rPr>
            </w:pPr>
            <w:r>
              <w:rPr>
                <w:rFonts w:ascii="Times New Roman" w:eastAsia="Times New Roman" w:hAnsi="Times New Roman"/>
                <w:b/>
                <w:szCs w:val="24"/>
                <w:u w:val="double"/>
              </w:rPr>
              <w:t>370,800</w:t>
            </w:r>
          </w:p>
        </w:tc>
      </w:tr>
    </w:tbl>
    <w:p w:rsidR="004803A6" w:rsidRDefault="004803A6" w:rsidP="000D329F">
      <w:pPr>
        <w:pStyle w:val="HTMLPreformatted"/>
        <w:tabs>
          <w:tab w:val="clear" w:pos="8244"/>
          <w:tab w:val="left" w:pos="8100"/>
        </w:tabs>
        <w:spacing w:line="480" w:lineRule="auto"/>
        <w:ind w:left="-1350" w:right="414" w:hanging="90"/>
        <w:rPr>
          <w:rFonts w:ascii="Times New Roman" w:hAnsi="Times New Roman"/>
        </w:rPr>
      </w:pPr>
    </w:p>
    <w:p w:rsidR="003273D4" w:rsidRPr="004803A6" w:rsidRDefault="003273D4" w:rsidP="000D329F">
      <w:pPr>
        <w:pStyle w:val="HTMLPreformatted"/>
        <w:tabs>
          <w:tab w:val="clear" w:pos="8244"/>
          <w:tab w:val="left" w:pos="8100"/>
        </w:tabs>
        <w:spacing w:line="480" w:lineRule="auto"/>
        <w:ind w:left="-1350" w:right="414" w:hanging="90"/>
        <w:rPr>
          <w:rFonts w:ascii="Times New Roman" w:hAnsi="Times New Roman"/>
          <w:sz w:val="8"/>
          <w:szCs w:val="8"/>
        </w:rPr>
      </w:pPr>
    </w:p>
    <w:tbl>
      <w:tblPr>
        <w:tblW w:w="8910" w:type="dxa"/>
        <w:tblInd w:w="-1242" w:type="dxa"/>
        <w:tblLook w:val="01E0"/>
      </w:tblPr>
      <w:tblGrid>
        <w:gridCol w:w="2070"/>
        <w:gridCol w:w="1620"/>
        <w:gridCol w:w="1710"/>
        <w:gridCol w:w="1890"/>
        <w:gridCol w:w="1620"/>
      </w:tblGrid>
      <w:tr w:rsidR="00AD49C4" w:rsidTr="00CF6FB8">
        <w:trPr>
          <w:trHeight w:val="728"/>
        </w:trPr>
        <w:tc>
          <w:tcPr>
            <w:tcW w:w="2070" w:type="dxa"/>
          </w:tcPr>
          <w:p w:rsidR="004803A6" w:rsidRDefault="004803A6" w:rsidP="000A0319">
            <w:pPr>
              <w:jc w:val="center"/>
            </w:pPr>
          </w:p>
          <w:p w:rsidR="00AD49C4" w:rsidRDefault="00AD49C4" w:rsidP="000A0319">
            <w:pPr>
              <w:jc w:val="center"/>
            </w:pPr>
          </w:p>
        </w:tc>
        <w:tc>
          <w:tcPr>
            <w:tcW w:w="1620" w:type="dxa"/>
          </w:tcPr>
          <w:p w:rsidR="00AD49C4" w:rsidRPr="000A0319" w:rsidRDefault="00AD49C4" w:rsidP="000A0319">
            <w:pPr>
              <w:jc w:val="center"/>
              <w:rPr>
                <w:b/>
              </w:rPr>
            </w:pPr>
            <w:r w:rsidRPr="000A0319">
              <w:rPr>
                <w:b/>
              </w:rPr>
              <w:t xml:space="preserve">Open Commercial </w:t>
            </w:r>
            <w:r w:rsidRPr="000A0319">
              <w:rPr>
                <w:b/>
                <w:u w:val="single"/>
              </w:rPr>
              <w:t>Orders</w:t>
            </w:r>
          </w:p>
        </w:tc>
        <w:tc>
          <w:tcPr>
            <w:tcW w:w="1710" w:type="dxa"/>
          </w:tcPr>
          <w:p w:rsidR="00AD49C4" w:rsidRPr="000A0319" w:rsidRDefault="00AD49C4" w:rsidP="000A0319">
            <w:pPr>
              <w:jc w:val="center"/>
              <w:rPr>
                <w:b/>
              </w:rPr>
            </w:pPr>
            <w:r w:rsidRPr="000A0319">
              <w:rPr>
                <w:b/>
              </w:rPr>
              <w:t xml:space="preserve">Closed Commercial </w:t>
            </w:r>
            <w:r w:rsidRPr="000A0319">
              <w:rPr>
                <w:b/>
                <w:u w:val="single"/>
              </w:rPr>
              <w:t>Orders</w:t>
            </w:r>
          </w:p>
        </w:tc>
        <w:tc>
          <w:tcPr>
            <w:tcW w:w="1890" w:type="dxa"/>
          </w:tcPr>
          <w:p w:rsidR="00AD49C4" w:rsidRPr="000A0319" w:rsidRDefault="00AD49C4" w:rsidP="000A0319">
            <w:pPr>
              <w:jc w:val="center"/>
              <w:rPr>
                <w:b/>
              </w:rPr>
            </w:pPr>
            <w:r w:rsidRPr="000A0319">
              <w:rPr>
                <w:b/>
              </w:rPr>
              <w:t xml:space="preserve">Commercial Revenue </w:t>
            </w:r>
          </w:p>
          <w:p w:rsidR="00AD49C4" w:rsidRPr="000A0319" w:rsidRDefault="00AD49C4" w:rsidP="00A96385">
            <w:pPr>
              <w:jc w:val="center"/>
              <w:rPr>
                <w:b/>
              </w:rPr>
            </w:pPr>
            <w:r w:rsidRPr="000A0319">
              <w:rPr>
                <w:b/>
                <w:u w:val="single"/>
              </w:rPr>
              <w:t>(</w:t>
            </w:r>
            <w:r w:rsidR="00B97915">
              <w:rPr>
                <w:b/>
                <w:u w:val="single"/>
              </w:rPr>
              <w:t>million</w:t>
            </w:r>
            <w:r w:rsidRPr="000A0319">
              <w:rPr>
                <w:b/>
                <w:u w:val="single"/>
              </w:rPr>
              <w:t>s)</w:t>
            </w:r>
          </w:p>
        </w:tc>
        <w:tc>
          <w:tcPr>
            <w:tcW w:w="1620" w:type="dxa"/>
          </w:tcPr>
          <w:p w:rsidR="00AD49C4" w:rsidRPr="000A0319" w:rsidRDefault="00AD49C4" w:rsidP="000A0319">
            <w:pPr>
              <w:jc w:val="center"/>
              <w:rPr>
                <w:b/>
              </w:rPr>
            </w:pPr>
          </w:p>
          <w:p w:rsidR="00AD49C4" w:rsidRPr="000A0319" w:rsidRDefault="00AD49C4" w:rsidP="00A96385">
            <w:pPr>
              <w:jc w:val="center"/>
              <w:rPr>
                <w:b/>
              </w:rPr>
            </w:pPr>
            <w:r w:rsidRPr="000A0319">
              <w:rPr>
                <w:b/>
              </w:rPr>
              <w:t xml:space="preserve">Commercial </w:t>
            </w:r>
            <w:r w:rsidRPr="000A0319">
              <w:rPr>
                <w:b/>
                <w:u w:val="single"/>
              </w:rPr>
              <w:t>Fee Per File</w:t>
            </w:r>
            <w:r w:rsidR="00A96385">
              <w:rPr>
                <w:b/>
                <w:u w:val="single"/>
              </w:rPr>
              <w:t xml:space="preserve"> </w:t>
            </w:r>
          </w:p>
        </w:tc>
      </w:tr>
      <w:tr w:rsidR="00AD49C4" w:rsidTr="00CF6FB8">
        <w:trPr>
          <w:trHeight w:val="602"/>
        </w:trPr>
        <w:tc>
          <w:tcPr>
            <w:tcW w:w="2070" w:type="dxa"/>
          </w:tcPr>
          <w:p w:rsidR="00AD49C4" w:rsidRDefault="003273D4" w:rsidP="00E85E14">
            <w:r>
              <w:t>1st</w:t>
            </w:r>
            <w:r w:rsidR="00AD49C4">
              <w:t xml:space="preserve"> Quarter 20</w:t>
            </w:r>
            <w:r w:rsidR="00A43921">
              <w:t>1</w:t>
            </w:r>
            <w:r w:rsidR="00E85E14">
              <w:t>2</w:t>
            </w:r>
          </w:p>
        </w:tc>
        <w:tc>
          <w:tcPr>
            <w:tcW w:w="1620" w:type="dxa"/>
          </w:tcPr>
          <w:p w:rsidR="00AD49C4" w:rsidRDefault="00A6232E" w:rsidP="00657365">
            <w:pPr>
              <w:jc w:val="center"/>
            </w:pPr>
            <w:r>
              <w:t>19,200</w:t>
            </w:r>
          </w:p>
        </w:tc>
        <w:tc>
          <w:tcPr>
            <w:tcW w:w="1710" w:type="dxa"/>
          </w:tcPr>
          <w:p w:rsidR="00AD49C4" w:rsidRDefault="00A6232E" w:rsidP="000A0319">
            <w:pPr>
              <w:jc w:val="center"/>
            </w:pPr>
            <w:r>
              <w:t>11,100</w:t>
            </w:r>
          </w:p>
        </w:tc>
        <w:tc>
          <w:tcPr>
            <w:tcW w:w="1890" w:type="dxa"/>
          </w:tcPr>
          <w:p w:rsidR="00AD49C4" w:rsidRDefault="00A96385" w:rsidP="00657365">
            <w:pPr>
              <w:jc w:val="center"/>
            </w:pPr>
            <w:r>
              <w:t>$</w:t>
            </w:r>
            <w:r w:rsidR="00A6232E">
              <w:t>79.1</w:t>
            </w:r>
          </w:p>
        </w:tc>
        <w:tc>
          <w:tcPr>
            <w:tcW w:w="1620" w:type="dxa"/>
          </w:tcPr>
          <w:p w:rsidR="00AD49C4" w:rsidRDefault="00A96385" w:rsidP="00657365">
            <w:pPr>
              <w:jc w:val="center"/>
            </w:pPr>
            <w:r>
              <w:t>$</w:t>
            </w:r>
            <w:r w:rsidR="00A6232E">
              <w:t>7,100</w:t>
            </w:r>
          </w:p>
        </w:tc>
      </w:tr>
      <w:tr w:rsidR="00A43921" w:rsidTr="00CF6FB8">
        <w:trPr>
          <w:trHeight w:val="638"/>
        </w:trPr>
        <w:tc>
          <w:tcPr>
            <w:tcW w:w="2070" w:type="dxa"/>
          </w:tcPr>
          <w:p w:rsidR="00A43921" w:rsidRDefault="003273D4" w:rsidP="00E85E14">
            <w:r>
              <w:t>1st</w:t>
            </w:r>
            <w:r w:rsidR="00A43921">
              <w:t xml:space="preserve"> Quarter 20</w:t>
            </w:r>
            <w:r>
              <w:t>1</w:t>
            </w:r>
            <w:r w:rsidR="00E85E14">
              <w:t>1</w:t>
            </w:r>
          </w:p>
        </w:tc>
        <w:tc>
          <w:tcPr>
            <w:tcW w:w="1620" w:type="dxa"/>
          </w:tcPr>
          <w:p w:rsidR="00A43921" w:rsidRDefault="008A6FE2" w:rsidP="00B82116">
            <w:pPr>
              <w:jc w:val="center"/>
            </w:pPr>
            <w:r>
              <w:t>1</w:t>
            </w:r>
            <w:r w:rsidR="00B82116">
              <w:t>8</w:t>
            </w:r>
            <w:r>
              <w:t>,</w:t>
            </w:r>
            <w:r w:rsidR="00B82116">
              <w:t>5</w:t>
            </w:r>
            <w:r>
              <w:t>00</w:t>
            </w:r>
          </w:p>
        </w:tc>
        <w:tc>
          <w:tcPr>
            <w:tcW w:w="1710" w:type="dxa"/>
          </w:tcPr>
          <w:p w:rsidR="00A43921" w:rsidRDefault="00B82116" w:rsidP="00B82116">
            <w:pPr>
              <w:jc w:val="center"/>
            </w:pPr>
            <w:r>
              <w:t>10</w:t>
            </w:r>
            <w:r w:rsidR="008A6FE2">
              <w:t>,</w:t>
            </w:r>
            <w:r>
              <w:t>6</w:t>
            </w:r>
            <w:r w:rsidR="008A6FE2">
              <w:t>00</w:t>
            </w:r>
          </w:p>
        </w:tc>
        <w:tc>
          <w:tcPr>
            <w:tcW w:w="1890" w:type="dxa"/>
          </w:tcPr>
          <w:p w:rsidR="00A43921" w:rsidRDefault="00A96385" w:rsidP="00A6232E">
            <w:pPr>
              <w:jc w:val="center"/>
            </w:pPr>
            <w:r>
              <w:t>$</w:t>
            </w:r>
            <w:r w:rsidR="00B82116">
              <w:t>6</w:t>
            </w:r>
            <w:r w:rsidR="00A6232E">
              <w:t>6</w:t>
            </w:r>
            <w:r w:rsidR="00B82116">
              <w:t>.</w:t>
            </w:r>
            <w:r w:rsidR="00A6232E">
              <w:t>5</w:t>
            </w:r>
          </w:p>
        </w:tc>
        <w:tc>
          <w:tcPr>
            <w:tcW w:w="1620" w:type="dxa"/>
          </w:tcPr>
          <w:p w:rsidR="00A43921" w:rsidRDefault="00A96385" w:rsidP="00A6232E">
            <w:pPr>
              <w:jc w:val="center"/>
            </w:pPr>
            <w:r>
              <w:t>$</w:t>
            </w:r>
            <w:r w:rsidR="00B82116">
              <w:t>6</w:t>
            </w:r>
            <w:r w:rsidR="008A6FE2">
              <w:t>,</w:t>
            </w:r>
            <w:r w:rsidR="00A6232E">
              <w:t>3</w:t>
            </w:r>
            <w:r w:rsidR="008A6FE2">
              <w:t>00</w:t>
            </w:r>
          </w:p>
        </w:tc>
      </w:tr>
    </w:tbl>
    <w:p w:rsidR="00EC2726" w:rsidRPr="00714362" w:rsidRDefault="00EC2726" w:rsidP="00746D9B">
      <w:pPr>
        <w:pStyle w:val="HTMLPreformatted"/>
        <w:tabs>
          <w:tab w:val="clear" w:pos="8244"/>
          <w:tab w:val="left" w:pos="8100"/>
        </w:tabs>
        <w:ind w:left="-1440" w:right="14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714362">
        <w:rPr>
          <w:rFonts w:ascii="Times New Roman" w:hAnsi="Times New Roman"/>
          <w:sz w:val="22"/>
          <w:szCs w:val="22"/>
        </w:rPr>
        <w:t xml:space="preserve">The preceding table </w:t>
      </w:r>
      <w:r>
        <w:rPr>
          <w:rFonts w:ascii="Times New Roman" w:hAnsi="Times New Roman"/>
          <w:sz w:val="22"/>
          <w:szCs w:val="22"/>
        </w:rPr>
        <w:t xml:space="preserve">only </w:t>
      </w:r>
      <w:r w:rsidRPr="00714362">
        <w:rPr>
          <w:rFonts w:ascii="Times New Roman" w:hAnsi="Times New Roman"/>
          <w:sz w:val="22"/>
          <w:szCs w:val="22"/>
        </w:rPr>
        <w:t xml:space="preserve">includes commercial activity from FNF’s </w:t>
      </w:r>
      <w:r>
        <w:rPr>
          <w:rFonts w:ascii="Times New Roman" w:hAnsi="Times New Roman"/>
          <w:sz w:val="22"/>
          <w:szCs w:val="22"/>
        </w:rPr>
        <w:t xml:space="preserve">commercial offices in the </w:t>
      </w:r>
      <w:r w:rsidRPr="00714362">
        <w:rPr>
          <w:rFonts w:ascii="Times New Roman" w:hAnsi="Times New Roman"/>
          <w:sz w:val="22"/>
          <w:szCs w:val="22"/>
        </w:rPr>
        <w:t xml:space="preserve">national commercial division and does not </w:t>
      </w:r>
      <w:r>
        <w:rPr>
          <w:rFonts w:ascii="Times New Roman" w:hAnsi="Times New Roman"/>
          <w:sz w:val="22"/>
          <w:szCs w:val="22"/>
        </w:rPr>
        <w:t xml:space="preserve">attempt to </w:t>
      </w:r>
      <w:r w:rsidRPr="00714362">
        <w:rPr>
          <w:rFonts w:ascii="Times New Roman" w:hAnsi="Times New Roman"/>
          <w:sz w:val="22"/>
          <w:szCs w:val="22"/>
        </w:rPr>
        <w:t>capture potential commercial activity in</w:t>
      </w:r>
      <w:r>
        <w:rPr>
          <w:rFonts w:ascii="Times New Roman" w:hAnsi="Times New Roman"/>
          <w:sz w:val="22"/>
          <w:szCs w:val="22"/>
        </w:rPr>
        <w:t xml:space="preserve"> our</w:t>
      </w:r>
      <w:r w:rsidRPr="00714362">
        <w:rPr>
          <w:rFonts w:ascii="Times New Roman" w:hAnsi="Times New Roman"/>
          <w:sz w:val="22"/>
          <w:szCs w:val="22"/>
        </w:rPr>
        <w:t xml:space="preserve"> local offices</w:t>
      </w:r>
      <w:r>
        <w:rPr>
          <w:rFonts w:ascii="Times New Roman" w:hAnsi="Times New Roman"/>
          <w:sz w:val="22"/>
          <w:szCs w:val="22"/>
        </w:rPr>
        <w:t>.</w:t>
      </w:r>
    </w:p>
    <w:p w:rsidR="00EA2449" w:rsidRDefault="00EA2449" w:rsidP="00614DD2">
      <w:pPr>
        <w:pStyle w:val="HTMLPreformatted"/>
        <w:tabs>
          <w:tab w:val="clear" w:pos="8244"/>
          <w:tab w:val="left" w:pos="8010"/>
        </w:tabs>
        <w:spacing w:line="480" w:lineRule="auto"/>
        <w:ind w:left="-1440" w:right="144" w:firstLine="720"/>
        <w:rPr>
          <w:rFonts w:ascii="Times New Roman" w:hAnsi="Times New Roman"/>
          <w:sz w:val="8"/>
          <w:szCs w:val="8"/>
        </w:rPr>
      </w:pPr>
    </w:p>
    <w:p w:rsidR="00122EB2" w:rsidRDefault="00122EB2" w:rsidP="00614DD2">
      <w:pPr>
        <w:pStyle w:val="HTMLPreformatted"/>
        <w:tabs>
          <w:tab w:val="clear" w:pos="8244"/>
          <w:tab w:val="left" w:pos="8010"/>
        </w:tabs>
        <w:spacing w:line="480" w:lineRule="auto"/>
        <w:ind w:left="-1440" w:right="144" w:firstLine="720"/>
        <w:rPr>
          <w:rFonts w:ascii="Times New Roman" w:hAnsi="Times New Roman"/>
          <w:sz w:val="8"/>
          <w:szCs w:val="8"/>
        </w:rPr>
      </w:pPr>
    </w:p>
    <w:p w:rsidR="001C4504" w:rsidRDefault="001C4504" w:rsidP="001C4504">
      <w:pPr>
        <w:pStyle w:val="Pa9"/>
        <w:spacing w:before="0" w:line="240" w:lineRule="auto"/>
        <w:ind w:left="-1440" w:right="144" w:firstLine="720"/>
      </w:pPr>
      <w:r w:rsidRPr="00AD2700">
        <w:t xml:space="preserve"> </w:t>
      </w:r>
      <w:r w:rsidR="002071DC" w:rsidRPr="00AD2700">
        <w:t>“</w:t>
      </w:r>
      <w:r>
        <w:t>This was a great start to 2012 and our strongest first quarter performance in a number of years,</w:t>
      </w:r>
      <w:r w:rsidR="007735E8">
        <w:t>”</w:t>
      </w:r>
      <w:r w:rsidR="00E85E14">
        <w:t xml:space="preserve"> </w:t>
      </w:r>
      <w:r>
        <w:t>s</w:t>
      </w:r>
      <w:r w:rsidR="00E85E14">
        <w:t>aid Chief Executive Officer George P. Scanlon</w:t>
      </w:r>
      <w:r>
        <w:t>.  “</w:t>
      </w:r>
      <w:r w:rsidR="00131575">
        <w:t xml:space="preserve">Net </w:t>
      </w:r>
      <w:r w:rsidR="00704172">
        <w:t>earnings of $</w:t>
      </w:r>
      <w:r w:rsidR="00131575">
        <w:t>74</w:t>
      </w:r>
      <w:r w:rsidR="00704172">
        <w:t xml:space="preserve"> million increased </w:t>
      </w:r>
      <w:r w:rsidR="00131575">
        <w:t>$32 million, or 75</w:t>
      </w:r>
      <w:r w:rsidR="00704172">
        <w:t>%</w:t>
      </w:r>
      <w:r w:rsidR="00131575">
        <w:t>,</w:t>
      </w:r>
      <w:r w:rsidR="00704172">
        <w:t xml:space="preserve"> versus the first quarter of 20</w:t>
      </w:r>
      <w:r w:rsidR="00131575">
        <w:t>11 on just a 5</w:t>
      </w:r>
      <w:r w:rsidR="00704172">
        <w:t>% increase in total revenue</w:t>
      </w:r>
      <w:r w:rsidR="00131575">
        <w:t xml:space="preserve"> and title pre-tax earnings of $130 million gre</w:t>
      </w:r>
      <w:r w:rsidR="00374152">
        <w:t>w</w:t>
      </w:r>
      <w:r w:rsidR="00131575">
        <w:t xml:space="preserve"> by $</w:t>
      </w:r>
      <w:r w:rsidR="002A523A">
        <w:t>23</w:t>
      </w:r>
      <w:r w:rsidR="00131575">
        <w:t xml:space="preserve"> million, or </w:t>
      </w:r>
      <w:r w:rsidR="00374152">
        <w:t xml:space="preserve">22%, despite only a 6% increase in total title and escrow revenue. </w:t>
      </w:r>
      <w:r w:rsidR="00131575">
        <w:t xml:space="preserve"> Our commercial title business continued to perform</w:t>
      </w:r>
      <w:r w:rsidR="00374152">
        <w:t xml:space="preserve"> well</w:t>
      </w:r>
      <w:r w:rsidR="00131575">
        <w:t>, as revenue of $79 million grew by 1</w:t>
      </w:r>
      <w:r w:rsidR="00374152">
        <w:t>9</w:t>
      </w:r>
      <w:r w:rsidR="00131575">
        <w:t>% over the first quarter of 2011</w:t>
      </w:r>
      <w:r w:rsidR="00374152">
        <w:t>, with an increase in orders opened, orders closed and fee per file</w:t>
      </w:r>
      <w:r w:rsidR="00131575">
        <w:t>.</w:t>
      </w:r>
      <w:r w:rsidR="00131575" w:rsidRPr="00131575">
        <w:t xml:space="preserve"> </w:t>
      </w:r>
      <w:r w:rsidR="00131575">
        <w:t xml:space="preserve"> </w:t>
      </w:r>
      <w:r w:rsidR="00374152">
        <w:t>Overall, o</w:t>
      </w:r>
      <w:r w:rsidR="00131575">
        <w:t xml:space="preserve">ur pre-tax title margin, excluding realized gains, </w:t>
      </w:r>
      <w:r w:rsidR="00EE5231">
        <w:t xml:space="preserve">was </w:t>
      </w:r>
      <w:r w:rsidR="00131575">
        <w:t>10.7%</w:t>
      </w:r>
      <w:r w:rsidR="00EE5231">
        <w:t xml:space="preserve">, an </w:t>
      </w:r>
      <w:r w:rsidR="00131575">
        <w:t>increase</w:t>
      </w:r>
      <w:r w:rsidR="00EE5231">
        <w:t xml:space="preserve"> of</w:t>
      </w:r>
      <w:r w:rsidR="00131575">
        <w:t xml:space="preserve"> 270 basis points ve</w:t>
      </w:r>
      <w:r w:rsidR="00374152">
        <w:t>rsus the first quarter of 2011</w:t>
      </w:r>
      <w:r w:rsidR="00EE5231">
        <w:t>.  We c</w:t>
      </w:r>
      <w:r w:rsidR="00374152">
        <w:t xml:space="preserve">ontinue to perform above our </w:t>
      </w:r>
      <w:r w:rsidR="009E54BB">
        <w:t xml:space="preserve">difficult market </w:t>
      </w:r>
      <w:r w:rsidR="00374152">
        <w:t>pre-tax title margin goal of 8%-10%</w:t>
      </w:r>
      <w:r w:rsidR="00596B4F">
        <w:t xml:space="preserve"> </w:t>
      </w:r>
      <w:r w:rsidR="00EE5231">
        <w:t xml:space="preserve">and </w:t>
      </w:r>
      <w:r w:rsidR="00374152">
        <w:t xml:space="preserve">remain confident that we will produce a mid-to-high teen pre-tax title margin when we see </w:t>
      </w:r>
      <w:r w:rsidR="00EE5231">
        <w:t>further stabilization</w:t>
      </w:r>
      <w:r w:rsidR="00374152">
        <w:t xml:space="preserve"> in the residential resale market.”</w:t>
      </w:r>
    </w:p>
    <w:p w:rsidR="00EE5231" w:rsidRDefault="001C4504" w:rsidP="001C4504">
      <w:pPr>
        <w:pStyle w:val="Pa9"/>
        <w:spacing w:before="0" w:line="240" w:lineRule="auto"/>
        <w:ind w:left="-1440" w:right="144" w:firstLine="720"/>
      </w:pPr>
      <w:r w:rsidRPr="00FD6198">
        <w:t>“</w:t>
      </w:r>
      <w:r w:rsidR="00F72216">
        <w:t>We closed the O’Charley’s tender in early April</w:t>
      </w:r>
      <w:r>
        <w:t>,</w:t>
      </w:r>
      <w:r w:rsidRPr="00D94449">
        <w:t>”</w:t>
      </w:r>
      <w:r w:rsidRPr="00FD6198">
        <w:t xml:space="preserve"> said Chairman William P. Foley, II</w:t>
      </w:r>
      <w:r>
        <w:t>.  “</w:t>
      </w:r>
      <w:r w:rsidR="00F72216">
        <w:t>We currently own 95% of the outstanding shares of O’Charley’s and expect to have 100% ownership at the conclusion of a short-form merger under Tennessee law in May</w:t>
      </w:r>
      <w:r>
        <w:t>.</w:t>
      </w:r>
      <w:r w:rsidR="00F72216">
        <w:t xml:space="preserve">  We then</w:t>
      </w:r>
      <w:r w:rsidR="00041917">
        <w:t xml:space="preserve"> intend to </w:t>
      </w:r>
      <w:r w:rsidR="00F72216">
        <w:t xml:space="preserve">merge </w:t>
      </w:r>
      <w:proofErr w:type="spellStart"/>
      <w:r w:rsidR="00F72216">
        <w:t>O’Charley’s</w:t>
      </w:r>
      <w:proofErr w:type="spellEnd"/>
      <w:r w:rsidR="00F72216">
        <w:t xml:space="preserve"> into our existing restaurant operation, American Blue Ribbon Holdings</w:t>
      </w:r>
      <w:r w:rsidR="00041917">
        <w:t>,</w:t>
      </w:r>
      <w:r w:rsidR="00F72216">
        <w:t xml:space="preserve"> and FNF will own a majority</w:t>
      </w:r>
      <w:r w:rsidR="00806E52">
        <w:t xml:space="preserve"> </w:t>
      </w:r>
      <w:r w:rsidR="00F72216">
        <w:t>stake in th</w:t>
      </w:r>
      <w:r w:rsidR="00041917">
        <w:t xml:space="preserve">is </w:t>
      </w:r>
      <w:r w:rsidR="00F72216">
        <w:t xml:space="preserve">larger </w:t>
      </w:r>
      <w:r w:rsidR="00806E52">
        <w:t xml:space="preserve">ABRH.  </w:t>
      </w:r>
      <w:r w:rsidR="00E1670B">
        <w:t xml:space="preserve">After the merger, </w:t>
      </w:r>
      <w:r w:rsidR="00806E52">
        <w:t xml:space="preserve">FNF will have a total </w:t>
      </w:r>
      <w:r w:rsidR="00BE0EFB">
        <w:t xml:space="preserve">cash </w:t>
      </w:r>
      <w:r w:rsidR="00806E52">
        <w:t>investment of</w:t>
      </w:r>
      <w:r w:rsidR="00BE0EFB">
        <w:t xml:space="preserve"> approximately</w:t>
      </w:r>
      <w:r w:rsidR="00806E52">
        <w:t xml:space="preserve"> $1</w:t>
      </w:r>
      <w:r w:rsidR="00674ED3">
        <w:t>20</w:t>
      </w:r>
      <w:r w:rsidR="00806E52">
        <w:t xml:space="preserve"> million for 55% ownership in the ABRH restaurant company that will have approximately $1.</w:t>
      </w:r>
      <w:r w:rsidR="00BE0EFB">
        <w:t xml:space="preserve">25 </w:t>
      </w:r>
      <w:r w:rsidR="00806E52">
        <w:t xml:space="preserve">billion in annual revenue, $65 million in </w:t>
      </w:r>
      <w:r w:rsidR="000225A0">
        <w:t xml:space="preserve">current </w:t>
      </w:r>
      <w:r w:rsidR="00806E52">
        <w:t xml:space="preserve">annual EBITDA and an </w:t>
      </w:r>
      <w:r w:rsidR="00122EB2">
        <w:t xml:space="preserve">expected </w:t>
      </w:r>
      <w:r w:rsidR="00806E52">
        <w:t xml:space="preserve">additional $20 million in cost synergies.  </w:t>
      </w:r>
      <w:r w:rsidR="00EE5231">
        <w:t xml:space="preserve">Our focus will be on integrating O’Charley’s into ABRH and moving the O’Charley’s margins closer to those of ABRH.  </w:t>
      </w:r>
      <w:r w:rsidR="00806E52">
        <w:t xml:space="preserve">We believe ABRH </w:t>
      </w:r>
      <w:r w:rsidR="00EE5231">
        <w:t xml:space="preserve">can </w:t>
      </w:r>
      <w:r w:rsidR="00806E52">
        <w:t xml:space="preserve">create significant value for </w:t>
      </w:r>
      <w:r w:rsidR="00E46055">
        <w:t xml:space="preserve">our </w:t>
      </w:r>
      <w:r w:rsidR="00806E52">
        <w:t xml:space="preserve">shareholders in the future. </w:t>
      </w:r>
      <w:r w:rsidR="00EE5231">
        <w:t xml:space="preserve"> </w:t>
      </w:r>
    </w:p>
    <w:p w:rsidR="001C4504" w:rsidRDefault="003F5E13" w:rsidP="001C4504">
      <w:pPr>
        <w:pStyle w:val="Pa9"/>
        <w:spacing w:before="0" w:line="240" w:lineRule="auto"/>
        <w:ind w:left="-1440" w:right="144" w:firstLine="720"/>
      </w:pPr>
      <w:r>
        <w:t>“</w:t>
      </w:r>
      <w:r w:rsidR="00EC5C44">
        <w:t>Also</w:t>
      </w:r>
      <w:r w:rsidR="005B1263">
        <w:t xml:space="preserve">, </w:t>
      </w:r>
      <w:r w:rsidR="00D85DD9">
        <w:t xml:space="preserve">we expect to close on the sale of the 85% interest in our personal lines business on </w:t>
      </w:r>
      <w:r w:rsidR="003F0270">
        <w:t>May 1</w:t>
      </w:r>
      <w:r w:rsidR="00D85DD9">
        <w:t>.</w:t>
      </w:r>
      <w:r w:rsidR="00122EB2">
        <w:t xml:space="preserve">  </w:t>
      </w:r>
      <w:r w:rsidR="009007CF">
        <w:t>R</w:t>
      </w:r>
      <w:r w:rsidR="00122EB2">
        <w:t>egulatory approval is pending</w:t>
      </w:r>
      <w:r w:rsidR="009007CF">
        <w:t xml:space="preserve">, which </w:t>
      </w:r>
      <w:r w:rsidR="00122EB2">
        <w:t xml:space="preserve">we hope to have in time for the </w:t>
      </w:r>
      <w:r w:rsidR="003F0270">
        <w:t>May</w:t>
      </w:r>
      <w:r w:rsidR="004F3251">
        <w:t xml:space="preserve"> </w:t>
      </w:r>
      <w:r w:rsidR="003F0270">
        <w:t>1</w:t>
      </w:r>
      <w:r w:rsidR="00122EB2">
        <w:t xml:space="preserve"> closing.  FNF will receive $119 million in proceeds from the personal lines sale.  Combined with the </w:t>
      </w:r>
      <w:r w:rsidR="00C504E5">
        <w:lastRenderedPageBreak/>
        <w:t>recent</w:t>
      </w:r>
      <w:r w:rsidR="00122EB2">
        <w:t xml:space="preserve"> flood business sale, FNF generated $254 million in cash and a $75 million, 8% seller note due in May 2013, as well as </w:t>
      </w:r>
      <w:r w:rsidR="00EE5231">
        <w:t>a</w:t>
      </w:r>
      <w:r w:rsidR="00F56EF5">
        <w:t>n</w:t>
      </w:r>
      <w:r w:rsidR="00EE5231">
        <w:t xml:space="preserve"> </w:t>
      </w:r>
      <w:r w:rsidR="00122EB2">
        <w:t>$</w:t>
      </w:r>
      <w:r w:rsidR="00F56EF5">
        <w:t>86</w:t>
      </w:r>
      <w:r w:rsidR="00122EB2">
        <w:t xml:space="preserve"> million </w:t>
      </w:r>
      <w:r w:rsidR="00F56EF5">
        <w:t xml:space="preserve">after-tax </w:t>
      </w:r>
      <w:r w:rsidR="00122EB2">
        <w:t xml:space="preserve">gain from the two divestitures.” </w:t>
      </w:r>
    </w:p>
    <w:p w:rsidR="00EE5231" w:rsidRDefault="00EE5231" w:rsidP="00004BF1">
      <w:pPr>
        <w:pStyle w:val="Pa9"/>
        <w:spacing w:before="0" w:line="240" w:lineRule="auto"/>
        <w:ind w:left="-1440" w:right="144" w:firstLine="720"/>
        <w:rPr>
          <w:rFonts w:ascii="Times New Roman" w:hAnsi="Times New Roman"/>
          <w:b/>
          <w:u w:val="single"/>
        </w:rPr>
      </w:pPr>
    </w:p>
    <w:p w:rsidR="00004BF1" w:rsidRPr="002314A7" w:rsidRDefault="00004BF1" w:rsidP="00004BF1">
      <w:pPr>
        <w:pStyle w:val="Pa9"/>
        <w:spacing w:before="0" w:line="240" w:lineRule="auto"/>
        <w:ind w:left="-1440" w:right="144" w:firstLine="72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Conference Call</w:t>
      </w:r>
    </w:p>
    <w:p w:rsidR="00004BF1" w:rsidRDefault="00004BF1" w:rsidP="00004BF1">
      <w:pPr>
        <w:pStyle w:val="Pa9"/>
        <w:spacing w:before="0" w:line="240" w:lineRule="auto"/>
        <w:ind w:left="-1440" w:right="144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FNF will host a call with investors and analysts to discuss </w:t>
      </w:r>
      <w:r w:rsidR="00510A71">
        <w:rPr>
          <w:rFonts w:ascii="Times New Roman" w:hAnsi="Times New Roman"/>
        </w:rPr>
        <w:t>f</w:t>
      </w:r>
      <w:r w:rsidR="00C70140">
        <w:rPr>
          <w:rFonts w:ascii="Times New Roman" w:hAnsi="Times New Roman"/>
        </w:rPr>
        <w:t>irst</w:t>
      </w:r>
      <w:r>
        <w:rPr>
          <w:rFonts w:ascii="Times New Roman" w:hAnsi="Times New Roman"/>
        </w:rPr>
        <w:t xml:space="preserve"> quarter 201</w:t>
      </w:r>
      <w:r w:rsidR="00E85E14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results on </w:t>
      </w:r>
      <w:r w:rsidR="00E85E14">
        <w:rPr>
          <w:rFonts w:ascii="Times New Roman" w:hAnsi="Times New Roman"/>
        </w:rPr>
        <w:t>Thurs</w:t>
      </w:r>
      <w:r w:rsidR="00510A71">
        <w:rPr>
          <w:rFonts w:ascii="Times New Roman" w:hAnsi="Times New Roman"/>
        </w:rPr>
        <w:t>day</w:t>
      </w:r>
      <w:r>
        <w:rPr>
          <w:rFonts w:ascii="Times New Roman" w:hAnsi="Times New Roman"/>
        </w:rPr>
        <w:t xml:space="preserve">, </w:t>
      </w:r>
      <w:r w:rsidR="00C70140">
        <w:rPr>
          <w:rFonts w:ascii="Times New Roman" w:hAnsi="Times New Roman"/>
        </w:rPr>
        <w:t xml:space="preserve">April </w:t>
      </w:r>
      <w:r w:rsidR="00132AE9">
        <w:rPr>
          <w:rFonts w:ascii="Times New Roman" w:hAnsi="Times New Roman"/>
        </w:rPr>
        <w:t>2</w:t>
      </w:r>
      <w:r w:rsidR="00E85E14">
        <w:rPr>
          <w:rFonts w:ascii="Times New Roman" w:hAnsi="Times New Roman"/>
        </w:rPr>
        <w:t>6</w:t>
      </w:r>
      <w:r>
        <w:rPr>
          <w:rFonts w:ascii="Times New Roman" w:hAnsi="Times New Roman"/>
        </w:rPr>
        <w:t>, 201</w:t>
      </w:r>
      <w:r w:rsidR="00510A71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, beginning at </w:t>
      </w:r>
      <w:r w:rsidR="00510A71">
        <w:rPr>
          <w:rFonts w:ascii="Times New Roman" w:hAnsi="Times New Roman"/>
        </w:rPr>
        <w:t>1</w:t>
      </w:r>
      <w:r w:rsidR="00E85E14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:00 a.m. Eastern Time.  A live webcast of the conference call will be available on the Events and Multimedia page of the FNF Investor Relations website at </w:t>
      </w:r>
      <w:hyperlink r:id="rId9" w:history="1">
        <w:r w:rsidRPr="00115BE8">
          <w:rPr>
            <w:rStyle w:val="Hyperlink"/>
            <w:rFonts w:ascii="Times New Roman" w:hAnsi="Times New Roman"/>
            <w:u w:val="none"/>
          </w:rPr>
          <w:t>www.fnf.com</w:t>
        </w:r>
      </w:hyperlink>
      <w:r w:rsidRPr="00115BE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The conference call replay will be available via webcast through the FNF Investor Relations website at </w:t>
      </w:r>
      <w:hyperlink r:id="rId10" w:history="1">
        <w:r w:rsidRPr="00115BE8">
          <w:rPr>
            <w:rStyle w:val="Hyperlink"/>
            <w:rFonts w:ascii="Times New Roman" w:hAnsi="Times New Roman"/>
            <w:u w:val="none"/>
          </w:rPr>
          <w:t>www.fnf.com</w:t>
        </w:r>
      </w:hyperlink>
      <w:r>
        <w:rPr>
          <w:rFonts w:ascii="Times New Roman" w:hAnsi="Times New Roman"/>
        </w:rPr>
        <w:t>.  The telephone replay will be available from 1</w:t>
      </w:r>
      <w:r w:rsidR="00E85E14">
        <w:rPr>
          <w:rFonts w:ascii="Times New Roman" w:hAnsi="Times New Roman"/>
        </w:rPr>
        <w:t>2</w:t>
      </w:r>
      <w:r>
        <w:rPr>
          <w:rFonts w:ascii="Times New Roman" w:hAnsi="Times New Roman"/>
        </w:rPr>
        <w:t>:</w:t>
      </w:r>
      <w:r w:rsidR="00AD2700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0 </w:t>
      </w:r>
      <w:r w:rsidR="00F87C08">
        <w:rPr>
          <w:rFonts w:ascii="Times New Roman" w:hAnsi="Times New Roman"/>
        </w:rPr>
        <w:t>p</w:t>
      </w:r>
      <w:r>
        <w:rPr>
          <w:rFonts w:ascii="Times New Roman" w:hAnsi="Times New Roman"/>
        </w:rPr>
        <w:t xml:space="preserve">.m. Eastern time </w:t>
      </w:r>
      <w:r w:rsidR="00F87C08">
        <w:rPr>
          <w:rFonts w:ascii="Times New Roman" w:hAnsi="Times New Roman"/>
        </w:rPr>
        <w:t xml:space="preserve">on </w:t>
      </w:r>
      <w:r w:rsidR="00AD2700">
        <w:rPr>
          <w:rFonts w:ascii="Times New Roman" w:hAnsi="Times New Roman"/>
        </w:rPr>
        <w:t xml:space="preserve">April </w:t>
      </w:r>
      <w:r w:rsidR="00F87C08">
        <w:rPr>
          <w:rFonts w:ascii="Times New Roman" w:hAnsi="Times New Roman"/>
        </w:rPr>
        <w:t>2</w:t>
      </w:r>
      <w:r w:rsidR="00E85E14">
        <w:rPr>
          <w:rFonts w:ascii="Times New Roman" w:hAnsi="Times New Roman"/>
        </w:rPr>
        <w:t>6</w:t>
      </w:r>
      <w:r w:rsidR="00F87C08">
        <w:rPr>
          <w:rFonts w:ascii="Times New Roman" w:hAnsi="Times New Roman"/>
        </w:rPr>
        <w:t>, 201</w:t>
      </w:r>
      <w:r w:rsidR="004F3251">
        <w:rPr>
          <w:rFonts w:ascii="Times New Roman" w:hAnsi="Times New Roman"/>
        </w:rPr>
        <w:t>2</w:t>
      </w:r>
      <w:r w:rsidR="00F87C0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through </w:t>
      </w:r>
      <w:r w:rsidR="00AD2700">
        <w:rPr>
          <w:rFonts w:ascii="Times New Roman" w:hAnsi="Times New Roman"/>
        </w:rPr>
        <w:t xml:space="preserve">May </w:t>
      </w:r>
      <w:r w:rsidR="00E85E14">
        <w:rPr>
          <w:rFonts w:ascii="Times New Roman" w:hAnsi="Times New Roman"/>
        </w:rPr>
        <w:t>3</w:t>
      </w:r>
      <w:r w:rsidR="00F87C08">
        <w:rPr>
          <w:rFonts w:ascii="Times New Roman" w:hAnsi="Times New Roman"/>
        </w:rPr>
        <w:t>, 201</w:t>
      </w:r>
      <w:r w:rsidR="00E85E14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, by dialing 800-475-6701 (USA) or 320-365-3844 (International).  The access code will be </w:t>
      </w:r>
      <w:r w:rsidR="00E85E14">
        <w:rPr>
          <w:rFonts w:ascii="Times New Roman" w:hAnsi="Times New Roman"/>
        </w:rPr>
        <w:t>243617</w:t>
      </w:r>
      <w:r>
        <w:rPr>
          <w:rFonts w:ascii="Times New Roman" w:hAnsi="Times New Roman"/>
        </w:rPr>
        <w:t>.</w:t>
      </w:r>
    </w:p>
    <w:p w:rsidR="002071DC" w:rsidRDefault="002071DC" w:rsidP="00746D9B">
      <w:pPr>
        <w:pStyle w:val="Pa9"/>
        <w:spacing w:before="0" w:line="240" w:lineRule="auto"/>
        <w:ind w:left="-1440" w:right="144" w:firstLine="720"/>
        <w:rPr>
          <w:rFonts w:ascii="Times New Roman" w:hAnsi="Times New Roman"/>
          <w:b/>
          <w:u w:val="single"/>
        </w:rPr>
      </w:pPr>
    </w:p>
    <w:p w:rsidR="002314A7" w:rsidRPr="002314A7" w:rsidRDefault="002314A7" w:rsidP="00746D9B">
      <w:pPr>
        <w:pStyle w:val="Pa9"/>
        <w:spacing w:before="0" w:line="240" w:lineRule="auto"/>
        <w:ind w:left="-1440" w:right="144" w:firstLine="72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About FNF</w:t>
      </w:r>
    </w:p>
    <w:p w:rsidR="00FD6198" w:rsidRPr="00122EB2" w:rsidRDefault="00774BD5" w:rsidP="002314A7">
      <w:pPr>
        <w:pStyle w:val="HTMLPreformatted"/>
        <w:ind w:left="-1440"/>
        <w:rPr>
          <w:rFonts w:ascii="Times New Roman" w:hAnsi="Times New Roman" w:cs="Times New Roman"/>
          <w:sz w:val="24"/>
          <w:szCs w:val="24"/>
        </w:rPr>
      </w:pPr>
      <w:r w:rsidRPr="00122EB2">
        <w:rPr>
          <w:rFonts w:ascii="Times New Roman" w:hAnsi="Times New Roman"/>
          <w:sz w:val="24"/>
          <w:szCs w:val="24"/>
        </w:rPr>
        <w:t xml:space="preserve">            </w:t>
      </w:r>
      <w:r w:rsidR="00122EB2" w:rsidRPr="00122EB2">
        <w:rPr>
          <w:rFonts w:ascii="Times New Roman" w:hAnsi="Times New Roman"/>
          <w:sz w:val="24"/>
          <w:szCs w:val="24"/>
        </w:rPr>
        <w:t xml:space="preserve">Fidelity National Financial, Inc. (NYSE:FNF), is a leading provider of title insurance, mortgage services and diversified services.  FNF is the nation’s largest title insurance company through its title insurance underwriters - Fidelity National Title, Chicago Title, Commonwealth Land Title and Alamo Title - that collectively issue more title insurance policies than any other title company in the United States.  FNF also owns a majority interest in O’Charley’s Inc., </w:t>
      </w:r>
      <w:r w:rsidR="00122EB2" w:rsidRPr="00122EB2">
        <w:rPr>
          <w:rFonts w:ascii="Times New Roman" w:hAnsi="Times New Roman"/>
          <w:color w:val="000000"/>
          <w:sz w:val="24"/>
          <w:szCs w:val="24"/>
        </w:rPr>
        <w:t xml:space="preserve">a multi-concept restaurant company that operates or franchises restaurants under the O’Charley’s, Ninety Nine Restaurant, and Stoney River Legendary Steaks concepts.  </w:t>
      </w:r>
      <w:r w:rsidR="00122EB2" w:rsidRPr="00122EB2">
        <w:rPr>
          <w:rFonts w:ascii="Times New Roman" w:hAnsi="Times New Roman"/>
          <w:sz w:val="24"/>
          <w:szCs w:val="24"/>
        </w:rPr>
        <w:t>In addition, among other operations, FNF owns minority interests in Ceridian Corporation, a leading provider of</w:t>
      </w:r>
      <w:r w:rsidR="00122EB2" w:rsidRPr="00122EB2">
        <w:rPr>
          <w:rFonts w:ascii="Arial" w:hAnsi="Arial" w:cs="Arial"/>
          <w:sz w:val="24"/>
          <w:szCs w:val="24"/>
        </w:rPr>
        <w:t xml:space="preserve"> </w:t>
      </w:r>
      <w:r w:rsidR="00122EB2" w:rsidRPr="00122EB2">
        <w:rPr>
          <w:rFonts w:ascii="Times New Roman" w:hAnsi="Times New Roman"/>
          <w:sz w:val="24"/>
          <w:szCs w:val="24"/>
        </w:rPr>
        <w:t>global human capital management and payment solutions, Remy International, Inc., a leading designer, manufacturer, remanufacturer, marketer and distributor of aftermarket and original equipment electrical components for automobiles, light trucks, heavy-duty trucks and other vehicles and American Blue Ribbon Holdings, LLC, an owner and operator of the Village Inn, Bakers Square and Max &amp; Erma’s restaurants.  More information about FNF can be found at www.fnf.com</w:t>
      </w:r>
      <w:r w:rsidRPr="00122EB2">
        <w:rPr>
          <w:rFonts w:ascii="Times New Roman" w:hAnsi="Times New Roman"/>
          <w:sz w:val="24"/>
          <w:szCs w:val="24"/>
        </w:rPr>
        <w:t>.</w:t>
      </w:r>
    </w:p>
    <w:p w:rsidR="003A6458" w:rsidRDefault="003A6458" w:rsidP="00746D9B">
      <w:pPr>
        <w:pStyle w:val="HTMLPreformatted"/>
        <w:ind w:left="-1440"/>
        <w:rPr>
          <w:rFonts w:ascii="Times New Roman" w:hAnsi="Times New Roman"/>
          <w:sz w:val="24"/>
        </w:rPr>
      </w:pPr>
    </w:p>
    <w:p w:rsidR="00860AF6" w:rsidRPr="00B80EDF" w:rsidRDefault="00860AF6" w:rsidP="00860AF6">
      <w:pPr>
        <w:pStyle w:val="HTMLPreformatted"/>
        <w:ind w:left="-1440" w:firstLine="9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0EDF">
        <w:rPr>
          <w:rFonts w:ascii="Times New Roman" w:hAnsi="Times New Roman" w:cs="Times New Roman"/>
          <w:b/>
          <w:sz w:val="24"/>
          <w:szCs w:val="24"/>
          <w:u w:val="single"/>
        </w:rPr>
        <w:t>Forward Looking Statements</w:t>
      </w:r>
    </w:p>
    <w:p w:rsidR="00860AF6" w:rsidRDefault="00860AF6" w:rsidP="00860AF6">
      <w:pPr>
        <w:pStyle w:val="HTMLPreformatted"/>
        <w:ind w:left="-1440"/>
        <w:rPr>
          <w:rFonts w:ascii="Times New Roman" w:hAnsi="Times New Roman"/>
          <w:sz w:val="24"/>
        </w:rPr>
      </w:pPr>
      <w:r w:rsidRPr="00292B1D">
        <w:rPr>
          <w:rFonts w:ascii="Times New Roman" w:hAnsi="Times New Roman" w:cs="Times New Roman"/>
          <w:sz w:val="24"/>
          <w:szCs w:val="24"/>
        </w:rPr>
        <w:t xml:space="preserve">This press release contains forward-looking statements that involve a number of risks and uncertainties. Statements that are not historical facts, including statements </w:t>
      </w:r>
      <w:r>
        <w:rPr>
          <w:rFonts w:ascii="Times New Roman" w:hAnsi="Times New Roman" w:cs="Times New Roman"/>
          <w:sz w:val="24"/>
          <w:szCs w:val="24"/>
        </w:rPr>
        <w:t xml:space="preserve">regarding our expectations, hopes, intentions or strategies regarding the future </w:t>
      </w:r>
      <w:r w:rsidRPr="00292B1D">
        <w:rPr>
          <w:rFonts w:ascii="Times New Roman" w:hAnsi="Times New Roman" w:cs="Times New Roman"/>
          <w:sz w:val="24"/>
          <w:szCs w:val="24"/>
        </w:rPr>
        <w:t xml:space="preserve">are forward-looking statements. Forward-looking statements are based on management's beliefs, as well as assumptions made by, and information currently available to, management. Because such statements are based on expectations as to future </w:t>
      </w:r>
      <w:r>
        <w:rPr>
          <w:rFonts w:ascii="Times New Roman" w:hAnsi="Times New Roman" w:cs="Times New Roman"/>
          <w:sz w:val="24"/>
          <w:szCs w:val="24"/>
        </w:rPr>
        <w:t>financial and operating results</w:t>
      </w:r>
      <w:r w:rsidRPr="00292B1D">
        <w:rPr>
          <w:rFonts w:ascii="Times New Roman" w:hAnsi="Times New Roman" w:cs="Times New Roman"/>
          <w:sz w:val="24"/>
          <w:szCs w:val="24"/>
        </w:rPr>
        <w:t xml:space="preserve"> and are not statements of fact, actual results may differ materially from those projected. We undertake no obligation to update any forward-looking statements, whether as a result of new information, future events or otherwise.  The risks and uncertainties which forward-looking statements are subject to include, but are not limited 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B1D">
        <w:rPr>
          <w:rFonts w:ascii="Times New Roman" w:hAnsi="Times New Roman" w:cs="Times New Roman"/>
          <w:sz w:val="24"/>
          <w:szCs w:val="24"/>
        </w:rPr>
        <w:t xml:space="preserve">changes in general economic, business and political conditions, including changes in the financial markets; </w:t>
      </w:r>
      <w:r>
        <w:rPr>
          <w:rFonts w:ascii="Times New Roman" w:hAnsi="Times New Roman" w:cs="Times New Roman"/>
          <w:sz w:val="24"/>
          <w:szCs w:val="24"/>
        </w:rPr>
        <w:t xml:space="preserve">weakness or </w:t>
      </w:r>
      <w:r w:rsidRPr="00292B1D">
        <w:rPr>
          <w:rFonts w:ascii="Times New Roman" w:hAnsi="Times New Roman" w:cs="Times New Roman"/>
          <w:sz w:val="24"/>
          <w:szCs w:val="24"/>
        </w:rPr>
        <w:t xml:space="preserve">adverse changes in the level of real estate activity, which may be caused by, among other things, high or increasing interest rates, a limited supply of mortgage funding or a weak U. S. economy; our potential inability to find suitable acquisition candidates, acquisitions in lines of business that will not necessarily be limited to our traditional areas of focus, or difficulties in integrating acquisitions; our dependence on </w:t>
      </w:r>
      <w:r>
        <w:rPr>
          <w:rFonts w:ascii="Times New Roman" w:hAnsi="Times New Roman" w:cs="Times New Roman"/>
          <w:sz w:val="24"/>
          <w:szCs w:val="24"/>
        </w:rPr>
        <w:t>distributions from our title insurance underwriters as a main source of cash flow</w:t>
      </w:r>
      <w:r w:rsidRPr="00292B1D">
        <w:rPr>
          <w:rFonts w:ascii="Times New Roman" w:hAnsi="Times New Roman" w:cs="Times New Roman"/>
          <w:sz w:val="24"/>
          <w:szCs w:val="24"/>
        </w:rPr>
        <w:t>; significant competition that our operating subsidiaries face; compliance with extensive government regulation of our operating subsidiaries; and other risks detailed in the “Statement Regarding Forward-Looking Information,” “Risk Factors” and other sections of the Company’s Form 10-K and other filings with the Securities and Exchange Commission.</w:t>
      </w:r>
    </w:p>
    <w:p w:rsidR="00860AF6" w:rsidRDefault="00860AF6" w:rsidP="00746D9B">
      <w:pPr>
        <w:pStyle w:val="HTMLPreformatted"/>
        <w:ind w:left="-1440"/>
        <w:rPr>
          <w:rFonts w:ascii="Times New Roman" w:hAnsi="Times New Roman"/>
          <w:sz w:val="24"/>
        </w:rPr>
      </w:pPr>
    </w:p>
    <w:p w:rsidR="00A04D74" w:rsidRDefault="00A04D74" w:rsidP="00746D9B">
      <w:pPr>
        <w:pStyle w:val="HTMLPreformatted"/>
        <w:ind w:left="-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SOURCE:  Fidelity National Financial, Inc.</w:t>
      </w:r>
    </w:p>
    <w:p w:rsidR="00C94F4B" w:rsidRDefault="00A04D74" w:rsidP="00746D9B">
      <w:pPr>
        <w:ind w:left="-1440"/>
        <w:rPr>
          <w:rFonts w:ascii="Times New Roman" w:hAnsi="Times New Roman"/>
        </w:rPr>
      </w:pPr>
      <w:r>
        <w:rPr>
          <w:rFonts w:ascii="Times New Roman" w:hAnsi="Times New Roman"/>
        </w:rPr>
        <w:t>CONTACT: Daniel Kennedy Murphy, Senior Vice President</w:t>
      </w:r>
      <w:r w:rsidR="00C7536A">
        <w:rPr>
          <w:rFonts w:ascii="Times New Roman" w:hAnsi="Times New Roman"/>
        </w:rPr>
        <w:t xml:space="preserve"> and Treasurer</w:t>
      </w:r>
      <w:r>
        <w:rPr>
          <w:rFonts w:ascii="Times New Roman" w:hAnsi="Times New Roman"/>
        </w:rPr>
        <w:t xml:space="preserve">, 904-854-8120, </w:t>
      </w:r>
      <w:hyperlink r:id="rId11" w:history="1">
        <w:r>
          <w:rPr>
            <w:rStyle w:val="Hyperlink"/>
            <w:rFonts w:ascii="Times New Roman" w:hAnsi="Times New Roman"/>
            <w:u w:val="none"/>
          </w:rPr>
          <w:t>dkmurphy@fnf.com</w:t>
        </w:r>
      </w:hyperlink>
    </w:p>
    <w:p w:rsidR="00B87CDA" w:rsidRDefault="00860AF6" w:rsidP="002028FA">
      <w:pPr>
        <w:ind w:left="-1440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lastRenderedPageBreak/>
        <w:t>F</w:t>
      </w:r>
      <w:r w:rsidR="00AA1ADA">
        <w:rPr>
          <w:rFonts w:ascii="Times New Roman" w:hAnsi="Times New Roman"/>
        </w:rPr>
        <w:t>IDELITY NATIONAL FINANCIAL, INC.</w:t>
      </w:r>
      <w:proofErr w:type="gramEnd"/>
    </w:p>
    <w:p w:rsidR="00AA1ADA" w:rsidRPr="00AA1ADA" w:rsidRDefault="00AA1ADA" w:rsidP="002028FA">
      <w:pPr>
        <w:ind w:left="-1440"/>
        <w:jc w:val="center"/>
        <w:rPr>
          <w:rFonts w:ascii="Times New Roman" w:hAnsi="Times New Roman"/>
          <w:b/>
        </w:rPr>
      </w:pPr>
      <w:r w:rsidRPr="00AA1ADA">
        <w:rPr>
          <w:rFonts w:ascii="Times New Roman" w:hAnsi="Times New Roman"/>
          <w:b/>
        </w:rPr>
        <w:t>SUMMARY OF EARNINGS</w:t>
      </w:r>
    </w:p>
    <w:p w:rsidR="00AA1ADA" w:rsidRDefault="00AA1ADA" w:rsidP="002028FA">
      <w:pPr>
        <w:ind w:left="-14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(In millions, except per share amounts</w:t>
      </w:r>
      <w:r w:rsidR="001931A7">
        <w:rPr>
          <w:rFonts w:ascii="Times New Roman" w:hAnsi="Times New Roman"/>
        </w:rPr>
        <w:t xml:space="preserve"> and fee per file</w:t>
      </w:r>
      <w:r>
        <w:rPr>
          <w:rFonts w:ascii="Times New Roman" w:hAnsi="Times New Roman"/>
        </w:rPr>
        <w:t>)</w:t>
      </w:r>
    </w:p>
    <w:tbl>
      <w:tblPr>
        <w:tblpPr w:leftFromText="180" w:rightFromText="180" w:vertAnchor="text" w:horzAnchor="margin" w:tblpX="-576" w:tblpY="314"/>
        <w:tblW w:w="4522" w:type="pct"/>
        <w:tblLayout w:type="fixed"/>
        <w:tblLook w:val="0000"/>
      </w:tblPr>
      <w:tblGrid>
        <w:gridCol w:w="4193"/>
        <w:gridCol w:w="1459"/>
        <w:gridCol w:w="395"/>
        <w:gridCol w:w="1441"/>
      </w:tblGrid>
      <w:tr w:rsidR="00D22B79" w:rsidRPr="0062596F" w:rsidTr="00D22B79">
        <w:trPr>
          <w:trHeight w:val="288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2B79" w:rsidRPr="0062596F" w:rsidRDefault="00D22B79" w:rsidP="00D22B79">
            <w:pPr>
              <w:rPr>
                <w:rFonts w:ascii="Times New Roman" w:eastAsia="Times New Roman" w:hAnsi="Times New Roman"/>
                <w:sz w:val="20"/>
              </w:rPr>
            </w:pPr>
            <w:r w:rsidRPr="0062596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22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2B79" w:rsidRPr="0062596F" w:rsidRDefault="00D22B79" w:rsidP="00D22B7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62596F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Three months ended</w:t>
            </w:r>
          </w:p>
        </w:tc>
      </w:tr>
      <w:tr w:rsidR="00D22B79" w:rsidRPr="0062596F" w:rsidTr="00D22B79">
        <w:trPr>
          <w:trHeight w:val="288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2B79" w:rsidRPr="0062596F" w:rsidRDefault="00D22B79" w:rsidP="00D22B79">
            <w:pPr>
              <w:rPr>
                <w:rFonts w:ascii="Times New Roman" w:eastAsia="Times New Roman" w:hAnsi="Times New Roman"/>
                <w:sz w:val="20"/>
              </w:rPr>
            </w:pPr>
            <w:r w:rsidRPr="0062596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22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22B79" w:rsidRPr="00D22B79" w:rsidRDefault="00D22B79" w:rsidP="00D22B7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D22B79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March 31,</w:t>
            </w:r>
          </w:p>
        </w:tc>
      </w:tr>
      <w:tr w:rsidR="00D22B79" w:rsidRPr="0062596F" w:rsidTr="00D22B79">
        <w:trPr>
          <w:trHeight w:val="288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2B79" w:rsidRPr="0062596F" w:rsidRDefault="00D22B79" w:rsidP="00D22B79">
            <w:pPr>
              <w:rPr>
                <w:rFonts w:ascii="Times New Roman" w:eastAsia="Times New Roman" w:hAnsi="Times New Roman"/>
                <w:sz w:val="20"/>
              </w:rPr>
            </w:pPr>
            <w:r w:rsidRPr="0062596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22B79" w:rsidRPr="00D22B79" w:rsidRDefault="00D22B79" w:rsidP="00774BD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u w:val="single"/>
              </w:rPr>
            </w:pPr>
            <w:r w:rsidRPr="00D22B79">
              <w:rPr>
                <w:rFonts w:ascii="Times New Roman" w:eastAsia="Times New Roman" w:hAnsi="Times New Roman"/>
                <w:b/>
                <w:bCs/>
                <w:color w:val="000000"/>
                <w:sz w:val="20"/>
                <w:u w:val="single"/>
              </w:rPr>
              <w:t>201</w:t>
            </w:r>
            <w:r w:rsidR="00774BD5">
              <w:rPr>
                <w:rFonts w:ascii="Times New Roman" w:eastAsia="Times New Roman" w:hAnsi="Times New Roman"/>
                <w:b/>
                <w:bCs/>
                <w:color w:val="000000"/>
                <w:sz w:val="20"/>
                <w:u w:val="single"/>
              </w:rPr>
              <w:t>2</w:t>
            </w:r>
          </w:p>
        </w:tc>
        <w:tc>
          <w:tcPr>
            <w:tcW w:w="26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22B79" w:rsidRPr="00D22B79" w:rsidRDefault="00D22B79" w:rsidP="00D22B79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D22B79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22B79" w:rsidRPr="00D22B79" w:rsidRDefault="00D22B79" w:rsidP="00774BD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u w:val="single"/>
              </w:rPr>
            </w:pPr>
            <w:r w:rsidRPr="00D22B79">
              <w:rPr>
                <w:rFonts w:ascii="Times New Roman" w:eastAsia="Times New Roman" w:hAnsi="Times New Roman"/>
                <w:b/>
                <w:bCs/>
                <w:color w:val="000000"/>
                <w:sz w:val="20"/>
                <w:u w:val="single"/>
              </w:rPr>
              <w:t>20</w:t>
            </w:r>
            <w:r w:rsidR="0001379D">
              <w:rPr>
                <w:rFonts w:ascii="Times New Roman" w:eastAsia="Times New Roman" w:hAnsi="Times New Roman"/>
                <w:b/>
                <w:bCs/>
                <w:color w:val="000000"/>
                <w:sz w:val="20"/>
                <w:u w:val="single"/>
              </w:rPr>
              <w:t>1</w:t>
            </w:r>
            <w:r w:rsidR="00774BD5">
              <w:rPr>
                <w:rFonts w:ascii="Times New Roman" w:eastAsia="Times New Roman" w:hAnsi="Times New Roman"/>
                <w:b/>
                <w:bCs/>
                <w:color w:val="000000"/>
                <w:sz w:val="20"/>
                <w:u w:val="single"/>
              </w:rPr>
              <w:t>1</w:t>
            </w:r>
          </w:p>
        </w:tc>
      </w:tr>
      <w:tr w:rsidR="00D22B79" w:rsidRPr="0062596F" w:rsidTr="00D22B79">
        <w:trPr>
          <w:trHeight w:val="288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2B79" w:rsidRPr="0062596F" w:rsidRDefault="00D22B79" w:rsidP="00D22B79">
            <w:pPr>
              <w:rPr>
                <w:rFonts w:ascii="Times New Roman" w:eastAsia="Times New Roman" w:hAnsi="Times New Roman"/>
                <w:sz w:val="20"/>
              </w:rPr>
            </w:pPr>
            <w:r w:rsidRPr="0062596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2200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2B79" w:rsidRPr="0062596F" w:rsidRDefault="00D22B79" w:rsidP="00D22B79">
            <w:pPr>
              <w:rPr>
                <w:rFonts w:ascii="Times New Roman" w:eastAsia="Times New Roman" w:hAnsi="Times New Roman"/>
                <w:sz w:val="20"/>
              </w:rPr>
            </w:pPr>
            <w:r w:rsidRPr="0062596F">
              <w:rPr>
                <w:rFonts w:ascii="Times New Roman" w:eastAsia="Times New Roman" w:hAnsi="Times New Roman"/>
                <w:sz w:val="20"/>
              </w:rPr>
              <w:t xml:space="preserve">   </w:t>
            </w:r>
            <w:r>
              <w:rPr>
                <w:rFonts w:ascii="Times New Roman" w:eastAsia="Times New Roman" w:hAnsi="Times New Roman"/>
                <w:sz w:val="20"/>
              </w:rPr>
              <w:t xml:space="preserve">                      (</w:t>
            </w:r>
            <w:r w:rsidRPr="0062596F">
              <w:rPr>
                <w:rFonts w:ascii="Times New Roman" w:eastAsia="Times New Roman" w:hAnsi="Times New Roman"/>
                <w:sz w:val="20"/>
              </w:rPr>
              <w:t>Unaudited)</w:t>
            </w:r>
          </w:p>
        </w:tc>
      </w:tr>
      <w:tr w:rsidR="000F24EE" w:rsidRPr="0062596F" w:rsidTr="00D22B79">
        <w:trPr>
          <w:trHeight w:val="288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rPr>
                <w:rFonts w:ascii="Times New Roman" w:eastAsia="Times New Roman" w:hAnsi="Times New Roman"/>
                <w:sz w:val="20"/>
              </w:rPr>
            </w:pPr>
            <w:r w:rsidRPr="0062596F">
              <w:rPr>
                <w:rFonts w:ascii="Times New Roman" w:eastAsia="Times New Roman" w:hAnsi="Times New Roman"/>
                <w:sz w:val="20"/>
              </w:rPr>
              <w:t>Direct title premiums</w:t>
            </w:r>
          </w:p>
        </w:tc>
        <w:tc>
          <w:tcPr>
            <w:tcW w:w="97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DF331B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62596F">
              <w:rPr>
                <w:rFonts w:ascii="Times New Roman" w:eastAsia="Times New Roman" w:hAnsi="Times New Roman"/>
                <w:sz w:val="20"/>
              </w:rPr>
              <w:t>$</w:t>
            </w:r>
            <w:r w:rsidR="00DF331B">
              <w:rPr>
                <w:rFonts w:ascii="Times New Roman" w:eastAsia="Times New Roman" w:hAnsi="Times New Roman"/>
                <w:sz w:val="20"/>
              </w:rPr>
              <w:t>354.0</w:t>
            </w:r>
          </w:p>
        </w:tc>
        <w:tc>
          <w:tcPr>
            <w:tcW w:w="26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62596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62596F">
              <w:rPr>
                <w:rFonts w:ascii="Times New Roman" w:eastAsia="Times New Roman" w:hAnsi="Times New Roman"/>
                <w:sz w:val="20"/>
              </w:rPr>
              <w:t>$</w:t>
            </w:r>
            <w:r>
              <w:rPr>
                <w:rFonts w:ascii="Times New Roman" w:eastAsia="Times New Roman" w:hAnsi="Times New Roman"/>
                <w:sz w:val="20"/>
              </w:rPr>
              <w:t>322.9</w:t>
            </w:r>
          </w:p>
        </w:tc>
      </w:tr>
      <w:tr w:rsidR="000F24EE" w:rsidRPr="0062596F" w:rsidTr="00D22B79">
        <w:trPr>
          <w:trHeight w:val="288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rPr>
                <w:rFonts w:ascii="Times New Roman" w:eastAsia="Times New Roman" w:hAnsi="Times New Roman"/>
                <w:sz w:val="20"/>
              </w:rPr>
            </w:pPr>
            <w:r w:rsidRPr="0062596F">
              <w:rPr>
                <w:rFonts w:ascii="Times New Roman" w:eastAsia="Times New Roman" w:hAnsi="Times New Roman"/>
                <w:sz w:val="20"/>
              </w:rPr>
              <w:t>Agency title premiums</w:t>
            </w:r>
          </w:p>
        </w:tc>
        <w:tc>
          <w:tcPr>
            <w:tcW w:w="97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D22B79" w:rsidRDefault="000F24EE" w:rsidP="00DF331B">
            <w:pPr>
              <w:jc w:val="right"/>
              <w:rPr>
                <w:rFonts w:ascii="Times New Roman" w:eastAsia="Times New Roman" w:hAnsi="Times New Roman"/>
                <w:sz w:val="20"/>
                <w:u w:val="single"/>
              </w:rPr>
            </w:pPr>
            <w:r>
              <w:rPr>
                <w:rFonts w:ascii="Times New Roman" w:eastAsia="Times New Roman" w:hAnsi="Times New Roman"/>
                <w:sz w:val="20"/>
                <w:u w:val="single"/>
              </w:rPr>
              <w:t>4</w:t>
            </w:r>
            <w:r w:rsidR="00DF331B">
              <w:rPr>
                <w:rFonts w:ascii="Times New Roman" w:eastAsia="Times New Roman" w:hAnsi="Times New Roman"/>
                <w:sz w:val="20"/>
                <w:u w:val="single"/>
              </w:rPr>
              <w:t>1</w:t>
            </w:r>
            <w:r>
              <w:rPr>
                <w:rFonts w:ascii="Times New Roman" w:eastAsia="Times New Roman" w:hAnsi="Times New Roman"/>
                <w:sz w:val="20"/>
                <w:u w:val="single"/>
              </w:rPr>
              <w:t>3.</w:t>
            </w:r>
            <w:r w:rsidR="00DF331B">
              <w:rPr>
                <w:rFonts w:ascii="Times New Roman" w:eastAsia="Times New Roman" w:hAnsi="Times New Roman"/>
                <w:sz w:val="20"/>
                <w:u w:val="single"/>
              </w:rPr>
              <w:t>9</w:t>
            </w:r>
          </w:p>
        </w:tc>
        <w:tc>
          <w:tcPr>
            <w:tcW w:w="26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62596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D22B79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  <w:u w:val="single"/>
              </w:rPr>
            </w:pPr>
            <w:r>
              <w:rPr>
                <w:rFonts w:ascii="Times New Roman" w:eastAsia="Times New Roman" w:hAnsi="Times New Roman"/>
                <w:sz w:val="20"/>
                <w:u w:val="single"/>
              </w:rPr>
              <w:t>423.3</w:t>
            </w:r>
          </w:p>
        </w:tc>
      </w:tr>
      <w:tr w:rsidR="000F24EE" w:rsidRPr="0062596F" w:rsidTr="00D22B79">
        <w:trPr>
          <w:trHeight w:val="288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rPr>
                <w:rFonts w:ascii="Times New Roman" w:eastAsia="Times New Roman" w:hAnsi="Times New Roman"/>
                <w:sz w:val="20"/>
              </w:rPr>
            </w:pPr>
            <w:r w:rsidRPr="0062596F">
              <w:rPr>
                <w:rFonts w:ascii="Times New Roman" w:eastAsia="Times New Roman" w:hAnsi="Times New Roman"/>
                <w:sz w:val="20"/>
              </w:rPr>
              <w:t xml:space="preserve">  Total title premiums</w:t>
            </w:r>
          </w:p>
        </w:tc>
        <w:tc>
          <w:tcPr>
            <w:tcW w:w="974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DF331B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76</w:t>
            </w:r>
            <w:r w:rsidR="00DF331B">
              <w:rPr>
                <w:rFonts w:ascii="Times New Roman" w:eastAsia="Times New Roman" w:hAnsi="Times New Roman"/>
                <w:sz w:val="20"/>
              </w:rPr>
              <w:t>7</w:t>
            </w:r>
            <w:r>
              <w:rPr>
                <w:rFonts w:ascii="Times New Roman" w:eastAsia="Times New Roman" w:hAnsi="Times New Roman"/>
                <w:sz w:val="20"/>
              </w:rPr>
              <w:t>.</w:t>
            </w:r>
            <w:r w:rsidR="00DF331B">
              <w:rPr>
                <w:rFonts w:ascii="Times New Roman" w:eastAsia="Times New Roman" w:hAnsi="Times New Roman"/>
                <w:sz w:val="20"/>
              </w:rPr>
              <w:t>9</w:t>
            </w:r>
          </w:p>
        </w:tc>
        <w:tc>
          <w:tcPr>
            <w:tcW w:w="264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62596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962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746.2</w:t>
            </w:r>
          </w:p>
        </w:tc>
      </w:tr>
      <w:tr w:rsidR="000F24EE" w:rsidRPr="0062596F" w:rsidTr="00D22B79">
        <w:trPr>
          <w:trHeight w:val="288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rPr>
                <w:rFonts w:ascii="Times New Roman" w:eastAsia="Times New Roman" w:hAnsi="Times New Roman"/>
                <w:sz w:val="20"/>
              </w:rPr>
            </w:pPr>
            <w:r w:rsidRPr="0062596F">
              <w:rPr>
                <w:rFonts w:ascii="Times New Roman" w:eastAsia="Times New Roman" w:hAnsi="Times New Roman"/>
                <w:sz w:val="20"/>
              </w:rPr>
              <w:t>Escrow, title-related and other fees</w:t>
            </w:r>
          </w:p>
        </w:tc>
        <w:tc>
          <w:tcPr>
            <w:tcW w:w="97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D22B79" w:rsidRDefault="000F24EE" w:rsidP="00DF331B">
            <w:pPr>
              <w:jc w:val="right"/>
              <w:rPr>
                <w:rFonts w:ascii="Times New Roman" w:eastAsia="Times New Roman" w:hAnsi="Times New Roman"/>
                <w:sz w:val="20"/>
                <w:u w:val="single"/>
              </w:rPr>
            </w:pPr>
            <w:r>
              <w:rPr>
                <w:rFonts w:ascii="Times New Roman" w:eastAsia="Times New Roman" w:hAnsi="Times New Roman"/>
                <w:sz w:val="20"/>
                <w:u w:val="single"/>
              </w:rPr>
              <w:t>3</w:t>
            </w:r>
            <w:r w:rsidR="00DF331B">
              <w:rPr>
                <w:rFonts w:ascii="Times New Roman" w:eastAsia="Times New Roman" w:hAnsi="Times New Roman"/>
                <w:sz w:val="20"/>
                <w:u w:val="single"/>
              </w:rPr>
              <w:t>81</w:t>
            </w:r>
            <w:r>
              <w:rPr>
                <w:rFonts w:ascii="Times New Roman" w:eastAsia="Times New Roman" w:hAnsi="Times New Roman"/>
                <w:sz w:val="20"/>
                <w:u w:val="single"/>
              </w:rPr>
              <w:t>.</w:t>
            </w:r>
            <w:r w:rsidR="00DF331B">
              <w:rPr>
                <w:rFonts w:ascii="Times New Roman" w:eastAsia="Times New Roman" w:hAnsi="Times New Roman"/>
                <w:sz w:val="20"/>
                <w:u w:val="single"/>
              </w:rPr>
              <w:t>6</w:t>
            </w:r>
          </w:p>
        </w:tc>
        <w:tc>
          <w:tcPr>
            <w:tcW w:w="26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7F7B16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7F7B1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D22B79" w:rsidRDefault="000F24EE" w:rsidP="00EE5231">
            <w:pPr>
              <w:jc w:val="right"/>
              <w:rPr>
                <w:rFonts w:ascii="Times New Roman" w:eastAsia="Times New Roman" w:hAnsi="Times New Roman"/>
                <w:sz w:val="20"/>
                <w:u w:val="single"/>
              </w:rPr>
            </w:pPr>
            <w:r>
              <w:rPr>
                <w:rFonts w:ascii="Times New Roman" w:eastAsia="Times New Roman" w:hAnsi="Times New Roman"/>
                <w:sz w:val="20"/>
                <w:u w:val="single"/>
              </w:rPr>
              <w:t>3</w:t>
            </w:r>
            <w:r w:rsidR="00EE5231">
              <w:rPr>
                <w:rFonts w:ascii="Times New Roman" w:eastAsia="Times New Roman" w:hAnsi="Times New Roman"/>
                <w:sz w:val="20"/>
                <w:u w:val="single"/>
              </w:rPr>
              <w:t>32</w:t>
            </w:r>
            <w:r>
              <w:rPr>
                <w:rFonts w:ascii="Times New Roman" w:eastAsia="Times New Roman" w:hAnsi="Times New Roman"/>
                <w:sz w:val="20"/>
                <w:u w:val="single"/>
              </w:rPr>
              <w:t>.</w:t>
            </w:r>
            <w:r w:rsidR="00EE5231">
              <w:rPr>
                <w:rFonts w:ascii="Times New Roman" w:eastAsia="Times New Roman" w:hAnsi="Times New Roman"/>
                <w:sz w:val="20"/>
                <w:u w:val="single"/>
              </w:rPr>
              <w:t>5</w:t>
            </w:r>
          </w:p>
        </w:tc>
      </w:tr>
      <w:tr w:rsidR="000F24EE" w:rsidRPr="0062596F" w:rsidTr="00D22B79">
        <w:trPr>
          <w:trHeight w:val="288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rPr>
                <w:rFonts w:ascii="Times New Roman" w:eastAsia="Times New Roman" w:hAnsi="Times New Roman"/>
                <w:sz w:val="20"/>
              </w:rPr>
            </w:pPr>
            <w:r w:rsidRPr="0062596F">
              <w:rPr>
                <w:rFonts w:ascii="Times New Roman" w:eastAsia="Times New Roman" w:hAnsi="Times New Roman"/>
                <w:sz w:val="20"/>
              </w:rPr>
              <w:t xml:space="preserve">  Total title and escrow</w:t>
            </w:r>
          </w:p>
        </w:tc>
        <w:tc>
          <w:tcPr>
            <w:tcW w:w="97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DF331B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1,</w:t>
            </w:r>
            <w:r w:rsidR="00DF331B">
              <w:rPr>
                <w:rFonts w:ascii="Times New Roman" w:eastAsia="Times New Roman" w:hAnsi="Times New Roman"/>
                <w:sz w:val="20"/>
              </w:rPr>
              <w:t>14</w:t>
            </w:r>
            <w:r>
              <w:rPr>
                <w:rFonts w:ascii="Times New Roman" w:eastAsia="Times New Roman" w:hAnsi="Times New Roman"/>
                <w:sz w:val="20"/>
              </w:rPr>
              <w:t>9.</w:t>
            </w:r>
            <w:r w:rsidR="00DF331B">
              <w:rPr>
                <w:rFonts w:ascii="Times New Roman" w:eastAsia="Times New Roman" w:hAnsi="Times New Roman"/>
                <w:sz w:val="20"/>
              </w:rPr>
              <w:t>5</w:t>
            </w:r>
          </w:p>
        </w:tc>
        <w:tc>
          <w:tcPr>
            <w:tcW w:w="26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7F7B16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7F7B1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96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EE5231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1,07</w:t>
            </w:r>
            <w:r w:rsidR="00EE5231">
              <w:rPr>
                <w:rFonts w:ascii="Times New Roman" w:eastAsia="Times New Roman" w:hAnsi="Times New Roman"/>
                <w:sz w:val="20"/>
              </w:rPr>
              <w:t>8</w:t>
            </w:r>
            <w:r>
              <w:rPr>
                <w:rFonts w:ascii="Times New Roman" w:eastAsia="Times New Roman" w:hAnsi="Times New Roman"/>
                <w:sz w:val="20"/>
              </w:rPr>
              <w:t>.</w:t>
            </w:r>
            <w:r w:rsidR="00EE5231">
              <w:rPr>
                <w:rFonts w:ascii="Times New Roman" w:eastAsia="Times New Roman" w:hAnsi="Times New Roman"/>
                <w:sz w:val="20"/>
              </w:rPr>
              <w:t>7</w:t>
            </w:r>
          </w:p>
        </w:tc>
      </w:tr>
      <w:tr w:rsidR="000F24EE" w:rsidRPr="0062596F" w:rsidTr="00D22B79">
        <w:trPr>
          <w:trHeight w:val="288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rPr>
                <w:rFonts w:ascii="Times New Roman" w:eastAsia="Times New Roman" w:hAnsi="Times New Roman"/>
                <w:sz w:val="20"/>
              </w:rPr>
            </w:pPr>
            <w:r w:rsidRPr="0062596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7F7B16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7F7B1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0F24EE" w:rsidRPr="0062596F" w:rsidTr="00D22B79">
        <w:trPr>
          <w:trHeight w:val="288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rPr>
                <w:rFonts w:ascii="Times New Roman" w:eastAsia="Times New Roman" w:hAnsi="Times New Roman"/>
                <w:sz w:val="20"/>
              </w:rPr>
            </w:pPr>
            <w:r w:rsidRPr="0062596F">
              <w:rPr>
                <w:rFonts w:ascii="Times New Roman" w:eastAsia="Times New Roman" w:hAnsi="Times New Roman"/>
                <w:sz w:val="20"/>
              </w:rPr>
              <w:t>Interest and investment income</w:t>
            </w:r>
          </w:p>
        </w:tc>
        <w:tc>
          <w:tcPr>
            <w:tcW w:w="97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DF331B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36.</w:t>
            </w:r>
            <w:r w:rsidR="00DF331B">
              <w:rPr>
                <w:rFonts w:ascii="Times New Roman" w:eastAsia="Times New Roman" w:hAnsi="Times New Roman"/>
                <w:sz w:val="20"/>
              </w:rPr>
              <w:t>4</w:t>
            </w:r>
          </w:p>
        </w:tc>
        <w:tc>
          <w:tcPr>
            <w:tcW w:w="26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7F7B16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7F7B1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EE5231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33.</w:t>
            </w:r>
            <w:r w:rsidR="00EE5231">
              <w:rPr>
                <w:rFonts w:ascii="Times New Roman" w:eastAsia="Times New Roman" w:hAnsi="Times New Roman"/>
                <w:sz w:val="20"/>
              </w:rPr>
              <w:t>7</w:t>
            </w:r>
          </w:p>
        </w:tc>
      </w:tr>
      <w:tr w:rsidR="000F24EE" w:rsidRPr="0062596F" w:rsidTr="00D22B79">
        <w:trPr>
          <w:trHeight w:val="288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rPr>
                <w:rFonts w:ascii="Times New Roman" w:eastAsia="Times New Roman" w:hAnsi="Times New Roman"/>
                <w:sz w:val="20"/>
              </w:rPr>
            </w:pPr>
            <w:r w:rsidRPr="0062596F">
              <w:rPr>
                <w:rFonts w:ascii="Times New Roman" w:eastAsia="Times New Roman" w:hAnsi="Times New Roman"/>
                <w:sz w:val="20"/>
              </w:rPr>
              <w:t>Realized gains and losses</w:t>
            </w:r>
          </w:p>
        </w:tc>
        <w:tc>
          <w:tcPr>
            <w:tcW w:w="97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D22B79" w:rsidRDefault="00DF331B" w:rsidP="000F24EE">
            <w:pPr>
              <w:jc w:val="right"/>
              <w:rPr>
                <w:rFonts w:ascii="Times New Roman" w:eastAsia="Times New Roman" w:hAnsi="Times New Roman"/>
                <w:sz w:val="20"/>
                <w:u w:val="single"/>
              </w:rPr>
            </w:pPr>
            <w:r>
              <w:rPr>
                <w:rFonts w:ascii="Times New Roman" w:eastAsia="Times New Roman" w:hAnsi="Times New Roman"/>
                <w:sz w:val="20"/>
                <w:u w:val="single"/>
              </w:rPr>
              <w:t>4.0</w:t>
            </w:r>
          </w:p>
        </w:tc>
        <w:tc>
          <w:tcPr>
            <w:tcW w:w="26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7F7B16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7F7B1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D22B79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  <w:u w:val="single"/>
              </w:rPr>
            </w:pPr>
            <w:r>
              <w:rPr>
                <w:rFonts w:ascii="Times New Roman" w:eastAsia="Times New Roman" w:hAnsi="Times New Roman"/>
                <w:sz w:val="20"/>
                <w:u w:val="single"/>
              </w:rPr>
              <w:t>19.5</w:t>
            </w:r>
          </w:p>
        </w:tc>
      </w:tr>
      <w:tr w:rsidR="000F24EE" w:rsidRPr="0062596F" w:rsidTr="00D22B79">
        <w:trPr>
          <w:trHeight w:val="288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rPr>
                <w:rFonts w:ascii="Times New Roman" w:eastAsia="Times New Roman" w:hAnsi="Times New Roman"/>
                <w:sz w:val="20"/>
              </w:rPr>
            </w:pPr>
            <w:r w:rsidRPr="0062596F">
              <w:rPr>
                <w:rFonts w:ascii="Times New Roman" w:eastAsia="Times New Roman" w:hAnsi="Times New Roman"/>
                <w:sz w:val="20"/>
              </w:rPr>
              <w:t xml:space="preserve">  Total revenue</w:t>
            </w:r>
          </w:p>
        </w:tc>
        <w:tc>
          <w:tcPr>
            <w:tcW w:w="97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DF331B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1,</w:t>
            </w:r>
            <w:r w:rsidR="00DF331B">
              <w:rPr>
                <w:rFonts w:ascii="Times New Roman" w:eastAsia="Times New Roman" w:hAnsi="Times New Roman"/>
                <w:sz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</w:rPr>
              <w:t>8</w:t>
            </w:r>
            <w:r w:rsidR="00DF331B">
              <w:rPr>
                <w:rFonts w:ascii="Times New Roman" w:eastAsia="Times New Roman" w:hAnsi="Times New Roman"/>
                <w:sz w:val="20"/>
              </w:rPr>
              <w:t>9</w:t>
            </w:r>
            <w:r>
              <w:rPr>
                <w:rFonts w:ascii="Times New Roman" w:eastAsia="Times New Roman" w:hAnsi="Times New Roman"/>
                <w:sz w:val="20"/>
              </w:rPr>
              <w:t>.</w:t>
            </w:r>
            <w:r w:rsidR="00DF331B">
              <w:rPr>
                <w:rFonts w:ascii="Times New Roman" w:eastAsia="Times New Roman" w:hAnsi="Times New Roman"/>
                <w:sz w:val="20"/>
              </w:rPr>
              <w:t>9</w:t>
            </w:r>
          </w:p>
        </w:tc>
        <w:tc>
          <w:tcPr>
            <w:tcW w:w="26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7F7B16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7F7B1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96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EE5231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1,1</w:t>
            </w:r>
            <w:r w:rsidR="00EE5231">
              <w:rPr>
                <w:rFonts w:ascii="Times New Roman" w:eastAsia="Times New Roman" w:hAnsi="Times New Roman"/>
                <w:sz w:val="20"/>
              </w:rPr>
              <w:t>31</w:t>
            </w:r>
            <w:r>
              <w:rPr>
                <w:rFonts w:ascii="Times New Roman" w:eastAsia="Times New Roman" w:hAnsi="Times New Roman"/>
                <w:sz w:val="20"/>
              </w:rPr>
              <w:t>.</w:t>
            </w:r>
            <w:r w:rsidR="00EE5231">
              <w:rPr>
                <w:rFonts w:ascii="Times New Roman" w:eastAsia="Times New Roman" w:hAnsi="Times New Roman"/>
                <w:sz w:val="20"/>
              </w:rPr>
              <w:t>9</w:t>
            </w:r>
          </w:p>
        </w:tc>
      </w:tr>
      <w:tr w:rsidR="000F24EE" w:rsidRPr="0062596F" w:rsidTr="00D22B79">
        <w:trPr>
          <w:trHeight w:val="288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rPr>
                <w:rFonts w:ascii="Times New Roman" w:eastAsia="Times New Roman" w:hAnsi="Times New Roman"/>
                <w:sz w:val="20"/>
              </w:rPr>
            </w:pPr>
            <w:r w:rsidRPr="0062596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7F7B16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7F7B1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0F24EE" w:rsidRPr="0062596F" w:rsidTr="00D22B79">
        <w:trPr>
          <w:trHeight w:val="288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rPr>
                <w:rFonts w:ascii="Times New Roman" w:eastAsia="Times New Roman" w:hAnsi="Times New Roman"/>
                <w:sz w:val="20"/>
              </w:rPr>
            </w:pPr>
            <w:r w:rsidRPr="0062596F">
              <w:rPr>
                <w:rFonts w:ascii="Times New Roman" w:eastAsia="Times New Roman" w:hAnsi="Times New Roman"/>
                <w:sz w:val="20"/>
              </w:rPr>
              <w:t>Personnel costs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DF331B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407.6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7F7B16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7F7B1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EE5231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</w:t>
            </w:r>
            <w:r w:rsidR="00EE5231">
              <w:rPr>
                <w:rFonts w:ascii="Times New Roman" w:eastAsia="Times New Roman" w:hAnsi="Times New Roman"/>
                <w:sz w:val="20"/>
              </w:rPr>
              <w:t>83</w:t>
            </w:r>
            <w:r>
              <w:rPr>
                <w:rFonts w:ascii="Times New Roman" w:eastAsia="Times New Roman" w:hAnsi="Times New Roman"/>
                <w:sz w:val="20"/>
              </w:rPr>
              <w:t>.</w:t>
            </w:r>
            <w:r w:rsidR="00EE5231">
              <w:rPr>
                <w:rFonts w:ascii="Times New Roman" w:eastAsia="Times New Roman" w:hAnsi="Times New Roman"/>
                <w:sz w:val="20"/>
              </w:rPr>
              <w:t>6</w:t>
            </w:r>
          </w:p>
        </w:tc>
      </w:tr>
      <w:tr w:rsidR="000F24EE" w:rsidRPr="0062596F" w:rsidTr="00D22B79">
        <w:trPr>
          <w:trHeight w:val="288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rPr>
                <w:rFonts w:ascii="Times New Roman" w:eastAsia="Times New Roman" w:hAnsi="Times New Roman"/>
                <w:sz w:val="20"/>
              </w:rPr>
            </w:pPr>
            <w:r w:rsidRPr="0062596F">
              <w:rPr>
                <w:rFonts w:ascii="Times New Roman" w:eastAsia="Times New Roman" w:hAnsi="Times New Roman"/>
                <w:sz w:val="20"/>
              </w:rPr>
              <w:t>Other operating expenses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DF331B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</w:t>
            </w:r>
            <w:r w:rsidR="00DF331B">
              <w:rPr>
                <w:rFonts w:ascii="Times New Roman" w:eastAsia="Times New Roman" w:hAnsi="Times New Roman"/>
                <w:sz w:val="20"/>
              </w:rPr>
              <w:t>7</w:t>
            </w:r>
            <w:r>
              <w:rPr>
                <w:rFonts w:ascii="Times New Roman" w:eastAsia="Times New Roman" w:hAnsi="Times New Roman"/>
                <w:sz w:val="20"/>
              </w:rPr>
              <w:t>5.</w:t>
            </w:r>
            <w:r w:rsidR="00DF331B">
              <w:rPr>
                <w:rFonts w:ascii="Times New Roman" w:eastAsia="Times New Roman" w:hAnsi="Times New Roman"/>
                <w:sz w:val="20"/>
              </w:rPr>
              <w:t>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7F7B16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7F7B1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EE5231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</w:t>
            </w:r>
            <w:r w:rsidR="00EE5231">
              <w:rPr>
                <w:rFonts w:ascii="Times New Roman" w:eastAsia="Times New Roman" w:hAnsi="Times New Roman"/>
                <w:sz w:val="20"/>
              </w:rPr>
              <w:t>58</w:t>
            </w:r>
            <w:r>
              <w:rPr>
                <w:rFonts w:ascii="Times New Roman" w:eastAsia="Times New Roman" w:hAnsi="Times New Roman"/>
                <w:sz w:val="20"/>
              </w:rPr>
              <w:t>.</w:t>
            </w:r>
            <w:r w:rsidR="00EE5231">
              <w:rPr>
                <w:rFonts w:ascii="Times New Roman" w:eastAsia="Times New Roman" w:hAnsi="Times New Roman"/>
                <w:sz w:val="20"/>
              </w:rPr>
              <w:t>7</w:t>
            </w:r>
          </w:p>
        </w:tc>
      </w:tr>
      <w:tr w:rsidR="000F24EE" w:rsidRPr="0062596F" w:rsidTr="00D22B79">
        <w:trPr>
          <w:trHeight w:val="288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rPr>
                <w:rFonts w:ascii="Times New Roman" w:eastAsia="Times New Roman" w:hAnsi="Times New Roman"/>
                <w:sz w:val="20"/>
              </w:rPr>
            </w:pPr>
            <w:r w:rsidRPr="0062596F">
              <w:rPr>
                <w:rFonts w:ascii="Times New Roman" w:eastAsia="Times New Roman" w:hAnsi="Times New Roman"/>
                <w:sz w:val="20"/>
              </w:rPr>
              <w:t>Agent commissions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DF331B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315.6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7F7B16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7F7B1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327.7</w:t>
            </w:r>
          </w:p>
        </w:tc>
      </w:tr>
      <w:tr w:rsidR="000F24EE" w:rsidRPr="0062596F" w:rsidTr="00D22B79">
        <w:trPr>
          <w:trHeight w:val="288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rPr>
                <w:rFonts w:ascii="Times New Roman" w:eastAsia="Times New Roman" w:hAnsi="Times New Roman"/>
                <w:sz w:val="20"/>
              </w:rPr>
            </w:pPr>
            <w:r w:rsidRPr="0062596F">
              <w:rPr>
                <w:rFonts w:ascii="Times New Roman" w:eastAsia="Times New Roman" w:hAnsi="Times New Roman"/>
                <w:sz w:val="20"/>
              </w:rPr>
              <w:t>Depreciation and amortization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DF331B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17.0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7F7B16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7F7B1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EE5231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19.</w:t>
            </w:r>
            <w:r w:rsidR="00EE5231">
              <w:rPr>
                <w:rFonts w:ascii="Times New Roman" w:eastAsia="Times New Roman" w:hAnsi="Times New Roman"/>
                <w:sz w:val="20"/>
              </w:rPr>
              <w:t>7</w:t>
            </w:r>
          </w:p>
        </w:tc>
      </w:tr>
      <w:tr w:rsidR="000F24EE" w:rsidRPr="0062596F" w:rsidTr="00D22B79">
        <w:trPr>
          <w:trHeight w:val="288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rPr>
                <w:rFonts w:ascii="Times New Roman" w:eastAsia="Times New Roman" w:hAnsi="Times New Roman"/>
                <w:sz w:val="20"/>
              </w:rPr>
            </w:pPr>
            <w:r w:rsidRPr="0062596F">
              <w:rPr>
                <w:rFonts w:ascii="Times New Roman" w:eastAsia="Times New Roman" w:hAnsi="Times New Roman"/>
                <w:sz w:val="20"/>
              </w:rPr>
              <w:t>Claim loss expense</w:t>
            </w:r>
          </w:p>
        </w:tc>
        <w:tc>
          <w:tcPr>
            <w:tcW w:w="97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DF331B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53.8</w:t>
            </w:r>
          </w:p>
        </w:tc>
        <w:tc>
          <w:tcPr>
            <w:tcW w:w="26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7F7B16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7F7B1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50.8</w:t>
            </w:r>
          </w:p>
        </w:tc>
      </w:tr>
      <w:tr w:rsidR="000F24EE" w:rsidRPr="0062596F" w:rsidTr="00D22B79">
        <w:trPr>
          <w:trHeight w:val="288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rPr>
                <w:rFonts w:ascii="Times New Roman" w:eastAsia="Times New Roman" w:hAnsi="Times New Roman"/>
                <w:sz w:val="20"/>
              </w:rPr>
            </w:pPr>
            <w:r w:rsidRPr="0062596F">
              <w:rPr>
                <w:rFonts w:ascii="Times New Roman" w:eastAsia="Times New Roman" w:hAnsi="Times New Roman"/>
                <w:sz w:val="20"/>
              </w:rPr>
              <w:t>Interest expense</w:t>
            </w:r>
          </w:p>
        </w:tc>
        <w:tc>
          <w:tcPr>
            <w:tcW w:w="97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D22B79" w:rsidRDefault="00DF331B" w:rsidP="000F24EE">
            <w:pPr>
              <w:jc w:val="right"/>
              <w:rPr>
                <w:rFonts w:ascii="Times New Roman" w:eastAsia="Times New Roman" w:hAnsi="Times New Roman"/>
                <w:sz w:val="20"/>
                <w:u w:val="single"/>
              </w:rPr>
            </w:pPr>
            <w:r>
              <w:rPr>
                <w:rFonts w:ascii="Times New Roman" w:eastAsia="Times New Roman" w:hAnsi="Times New Roman"/>
                <w:sz w:val="20"/>
                <w:u w:val="single"/>
              </w:rPr>
              <w:t>15.1</w:t>
            </w:r>
          </w:p>
        </w:tc>
        <w:tc>
          <w:tcPr>
            <w:tcW w:w="26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7F7B16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7F7B1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D22B79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  <w:u w:val="single"/>
              </w:rPr>
            </w:pPr>
            <w:r>
              <w:rPr>
                <w:rFonts w:ascii="Times New Roman" w:eastAsia="Times New Roman" w:hAnsi="Times New Roman"/>
                <w:sz w:val="20"/>
                <w:u w:val="single"/>
              </w:rPr>
              <w:t>14.3</w:t>
            </w:r>
          </w:p>
        </w:tc>
      </w:tr>
      <w:tr w:rsidR="000F24EE" w:rsidRPr="0062596F" w:rsidTr="00D22B79">
        <w:trPr>
          <w:trHeight w:val="288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rPr>
                <w:rFonts w:ascii="Times New Roman" w:eastAsia="Times New Roman" w:hAnsi="Times New Roman"/>
                <w:sz w:val="20"/>
              </w:rPr>
            </w:pPr>
            <w:r w:rsidRPr="0062596F">
              <w:rPr>
                <w:rFonts w:ascii="Times New Roman" w:eastAsia="Times New Roman" w:hAnsi="Times New Roman"/>
                <w:sz w:val="20"/>
              </w:rPr>
              <w:t xml:space="preserve">  Total expenses</w:t>
            </w:r>
          </w:p>
        </w:tc>
        <w:tc>
          <w:tcPr>
            <w:tcW w:w="97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DF331B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1,</w:t>
            </w:r>
            <w:r w:rsidR="00DF331B">
              <w:rPr>
                <w:rFonts w:ascii="Times New Roman" w:eastAsia="Times New Roman" w:hAnsi="Times New Roman"/>
                <w:sz w:val="20"/>
              </w:rPr>
              <w:t>084</w:t>
            </w:r>
            <w:r>
              <w:rPr>
                <w:rFonts w:ascii="Times New Roman" w:eastAsia="Times New Roman" w:hAnsi="Times New Roman"/>
                <w:sz w:val="20"/>
              </w:rPr>
              <w:t>.</w:t>
            </w:r>
            <w:r w:rsidR="00DF331B">
              <w:rPr>
                <w:rFonts w:ascii="Times New Roman" w:eastAsia="Times New Roman" w:hAnsi="Times New Roman"/>
                <w:sz w:val="20"/>
              </w:rPr>
              <w:t>3</w:t>
            </w:r>
          </w:p>
        </w:tc>
        <w:tc>
          <w:tcPr>
            <w:tcW w:w="26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7F7B16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7F7B1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96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1,054.8</w:t>
            </w:r>
          </w:p>
        </w:tc>
      </w:tr>
      <w:tr w:rsidR="000F24EE" w:rsidRPr="0062596F" w:rsidTr="00D22B79">
        <w:trPr>
          <w:trHeight w:val="288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ind w:left="180"/>
              <w:rPr>
                <w:rFonts w:ascii="Times New Roman" w:eastAsia="Times New Roman" w:hAnsi="Times New Roman"/>
                <w:sz w:val="20"/>
              </w:rPr>
            </w:pPr>
            <w:r w:rsidRPr="0062596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7F7B16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7F7B1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0F24EE" w:rsidRPr="0062596F" w:rsidTr="00D22B79">
        <w:trPr>
          <w:trHeight w:val="288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ind w:left="180" w:hanging="180"/>
              <w:rPr>
                <w:rFonts w:ascii="Times New Roman" w:eastAsia="Times New Roman" w:hAnsi="Times New Roman"/>
                <w:sz w:val="20"/>
              </w:rPr>
            </w:pPr>
            <w:r w:rsidRPr="0062596F">
              <w:rPr>
                <w:rFonts w:ascii="Times New Roman" w:eastAsia="Times New Roman" w:hAnsi="Times New Roman"/>
                <w:sz w:val="20"/>
              </w:rPr>
              <w:t>Earnings</w:t>
            </w:r>
            <w:r>
              <w:rPr>
                <w:rFonts w:ascii="Times New Roman" w:eastAsia="Times New Roman" w:hAnsi="Times New Roman"/>
                <w:sz w:val="20"/>
              </w:rPr>
              <w:t xml:space="preserve"> from continuing operations </w:t>
            </w:r>
            <w:r w:rsidRPr="0062596F">
              <w:rPr>
                <w:rFonts w:ascii="Times New Roman" w:eastAsia="Times New Roman" w:hAnsi="Times New Roman"/>
                <w:sz w:val="20"/>
              </w:rPr>
              <w:t xml:space="preserve">before taxes </w:t>
            </w:r>
          </w:p>
        </w:tc>
        <w:tc>
          <w:tcPr>
            <w:tcW w:w="97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DF331B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105.6</w:t>
            </w:r>
          </w:p>
        </w:tc>
        <w:tc>
          <w:tcPr>
            <w:tcW w:w="26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7F7B16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7F7B1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77.1</w:t>
            </w:r>
          </w:p>
        </w:tc>
      </w:tr>
      <w:tr w:rsidR="000F24EE" w:rsidRPr="0062596F" w:rsidTr="00D22B79">
        <w:trPr>
          <w:trHeight w:val="288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ind w:left="180" w:hanging="180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Income tax expense </w:t>
            </w:r>
          </w:p>
        </w:tc>
        <w:tc>
          <w:tcPr>
            <w:tcW w:w="97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D22B79" w:rsidRDefault="00DF331B" w:rsidP="000F24EE">
            <w:pPr>
              <w:jc w:val="right"/>
              <w:rPr>
                <w:rFonts w:ascii="Times New Roman" w:eastAsia="Times New Roman" w:hAnsi="Times New Roman"/>
                <w:sz w:val="20"/>
                <w:u w:val="single"/>
              </w:rPr>
            </w:pPr>
            <w:r>
              <w:rPr>
                <w:rFonts w:ascii="Times New Roman" w:eastAsia="Times New Roman" w:hAnsi="Times New Roman"/>
                <w:sz w:val="20"/>
                <w:u w:val="single"/>
              </w:rPr>
              <w:t>36.9</w:t>
            </w:r>
          </w:p>
        </w:tc>
        <w:tc>
          <w:tcPr>
            <w:tcW w:w="26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7F7B16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7F7B1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D22B79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  <w:u w:val="single"/>
              </w:rPr>
            </w:pPr>
            <w:r>
              <w:rPr>
                <w:rFonts w:ascii="Times New Roman" w:eastAsia="Times New Roman" w:hAnsi="Times New Roman"/>
                <w:sz w:val="20"/>
                <w:u w:val="single"/>
              </w:rPr>
              <w:t>28.0</w:t>
            </w:r>
          </w:p>
        </w:tc>
      </w:tr>
      <w:tr w:rsidR="000F24EE" w:rsidRPr="0062596F" w:rsidTr="00D22B79">
        <w:trPr>
          <w:trHeight w:val="288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ind w:left="180" w:hanging="180"/>
              <w:rPr>
                <w:rFonts w:ascii="Times New Roman" w:eastAsia="Times New Roman" w:hAnsi="Times New Roman"/>
                <w:sz w:val="20"/>
              </w:rPr>
            </w:pPr>
            <w:r w:rsidRPr="0062596F">
              <w:rPr>
                <w:rFonts w:ascii="Times New Roman" w:eastAsia="Times New Roman" w:hAnsi="Times New Roman"/>
                <w:sz w:val="20"/>
              </w:rPr>
              <w:t>Earnings</w:t>
            </w:r>
            <w:r>
              <w:rPr>
                <w:rFonts w:ascii="Times New Roman" w:eastAsia="Times New Roman" w:hAnsi="Times New Roman"/>
                <w:sz w:val="20"/>
              </w:rPr>
              <w:t xml:space="preserve"> from continuing operations </w:t>
            </w:r>
            <w:r w:rsidRPr="0062596F">
              <w:rPr>
                <w:rFonts w:ascii="Times New Roman" w:eastAsia="Times New Roman" w:hAnsi="Times New Roman"/>
                <w:sz w:val="20"/>
              </w:rPr>
              <w:t>before equity investments</w:t>
            </w:r>
          </w:p>
        </w:tc>
        <w:tc>
          <w:tcPr>
            <w:tcW w:w="974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80686D" w:rsidRDefault="00CD2B1F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68.7</w:t>
            </w:r>
          </w:p>
        </w:tc>
        <w:tc>
          <w:tcPr>
            <w:tcW w:w="264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7F7B16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62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80686D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49</w:t>
            </w:r>
            <w:r w:rsidRPr="0080686D"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1</w:t>
            </w:r>
          </w:p>
        </w:tc>
      </w:tr>
      <w:tr w:rsidR="000F24EE" w:rsidRPr="0062596F" w:rsidTr="00D22B79">
        <w:trPr>
          <w:trHeight w:val="288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Earnings (loss)</w:t>
            </w:r>
            <w:r w:rsidRPr="0062596F">
              <w:rPr>
                <w:rFonts w:ascii="Times New Roman" w:eastAsia="Times New Roman" w:hAnsi="Times New Roman"/>
                <w:sz w:val="20"/>
              </w:rPr>
              <w:t xml:space="preserve"> from equity investments</w:t>
            </w:r>
          </w:p>
        </w:tc>
        <w:tc>
          <w:tcPr>
            <w:tcW w:w="974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D22B79" w:rsidRDefault="00CD2B1F" w:rsidP="00CD2B1F">
            <w:pPr>
              <w:jc w:val="right"/>
              <w:rPr>
                <w:rFonts w:ascii="Times New Roman" w:eastAsia="Times New Roman" w:hAnsi="Times New Roman"/>
                <w:sz w:val="20"/>
                <w:u w:val="single"/>
              </w:rPr>
            </w:pPr>
            <w:r>
              <w:rPr>
                <w:rFonts w:ascii="Times New Roman" w:eastAsia="Times New Roman" w:hAnsi="Times New Roman"/>
                <w:sz w:val="20"/>
                <w:u w:val="single"/>
              </w:rPr>
              <w:t>5</w:t>
            </w:r>
            <w:r w:rsidR="000F24EE">
              <w:rPr>
                <w:rFonts w:ascii="Times New Roman" w:eastAsia="Times New Roman" w:hAnsi="Times New Roman"/>
                <w:sz w:val="20"/>
                <w:u w:val="single"/>
              </w:rPr>
              <w:t>.</w:t>
            </w:r>
            <w:r>
              <w:rPr>
                <w:rFonts w:ascii="Times New Roman" w:eastAsia="Times New Roman" w:hAnsi="Times New Roman"/>
                <w:sz w:val="20"/>
                <w:u w:val="single"/>
              </w:rPr>
              <w:t>8</w:t>
            </w:r>
          </w:p>
        </w:tc>
        <w:tc>
          <w:tcPr>
            <w:tcW w:w="264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7F7B16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62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D22B79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  <w:u w:val="single"/>
              </w:rPr>
            </w:pPr>
            <w:r w:rsidRPr="00D22B79">
              <w:rPr>
                <w:rFonts w:ascii="Times New Roman" w:eastAsia="Times New Roman" w:hAnsi="Times New Roman"/>
                <w:sz w:val="20"/>
                <w:u w:val="single"/>
              </w:rPr>
              <w:t>(</w:t>
            </w:r>
            <w:r>
              <w:rPr>
                <w:rFonts w:ascii="Times New Roman" w:eastAsia="Times New Roman" w:hAnsi="Times New Roman"/>
                <w:sz w:val="20"/>
                <w:u w:val="single"/>
              </w:rPr>
              <w:t>8.6</w:t>
            </w:r>
            <w:r w:rsidRPr="00D22B79">
              <w:rPr>
                <w:rFonts w:ascii="Times New Roman" w:eastAsia="Times New Roman" w:hAnsi="Times New Roman"/>
                <w:sz w:val="20"/>
                <w:u w:val="single"/>
              </w:rPr>
              <w:t>)</w:t>
            </w:r>
          </w:p>
        </w:tc>
      </w:tr>
      <w:tr w:rsidR="000F24EE" w:rsidRPr="0062596F" w:rsidTr="00D22B79">
        <w:trPr>
          <w:trHeight w:val="288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ind w:left="180" w:hanging="180"/>
              <w:rPr>
                <w:rFonts w:ascii="Times New Roman" w:eastAsia="Times New Roman" w:hAnsi="Times New Roman"/>
                <w:sz w:val="20"/>
              </w:rPr>
            </w:pPr>
            <w:r w:rsidRPr="0062596F">
              <w:rPr>
                <w:rFonts w:ascii="Times New Roman" w:eastAsia="Times New Roman" w:hAnsi="Times New Roman"/>
                <w:sz w:val="20"/>
              </w:rPr>
              <w:t xml:space="preserve">Net earnings </w:t>
            </w:r>
            <w:r>
              <w:rPr>
                <w:rFonts w:ascii="Times New Roman" w:eastAsia="Times New Roman" w:hAnsi="Times New Roman"/>
                <w:sz w:val="20"/>
              </w:rPr>
              <w:t>from continuing operations</w:t>
            </w:r>
          </w:p>
        </w:tc>
        <w:tc>
          <w:tcPr>
            <w:tcW w:w="974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CD2B1F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</w:t>
            </w:r>
            <w:r w:rsidR="000F24EE">
              <w:rPr>
                <w:rFonts w:ascii="Times New Roman" w:eastAsia="Times New Roman" w:hAnsi="Times New Roman"/>
                <w:sz w:val="20"/>
              </w:rPr>
              <w:t>4.</w:t>
            </w:r>
            <w:r>
              <w:rPr>
                <w:rFonts w:ascii="Times New Roman" w:eastAsia="Times New Roman" w:hAnsi="Times New Roman"/>
                <w:sz w:val="20"/>
              </w:rPr>
              <w:t>5</w:t>
            </w:r>
          </w:p>
        </w:tc>
        <w:tc>
          <w:tcPr>
            <w:tcW w:w="264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7F7B16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62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40.5</w:t>
            </w:r>
          </w:p>
        </w:tc>
      </w:tr>
      <w:tr w:rsidR="000F24EE" w:rsidRPr="0062596F" w:rsidTr="00D22B79">
        <w:trPr>
          <w:trHeight w:val="288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320194" w:rsidP="00320194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Earnings</w:t>
            </w:r>
            <w:r w:rsidR="000F24EE">
              <w:rPr>
                <w:rFonts w:ascii="Times New Roman" w:eastAsia="Times New Roman" w:hAnsi="Times New Roman"/>
                <w:sz w:val="20"/>
              </w:rPr>
              <w:t xml:space="preserve"> from discontinued operations, net of tax</w:t>
            </w:r>
          </w:p>
        </w:tc>
        <w:tc>
          <w:tcPr>
            <w:tcW w:w="974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Default="00CD2B1F" w:rsidP="000F24EE">
            <w:pPr>
              <w:jc w:val="right"/>
              <w:rPr>
                <w:rFonts w:ascii="Times New Roman" w:eastAsia="Times New Roman" w:hAnsi="Times New Roman"/>
                <w:sz w:val="20"/>
                <w:u w:val="single"/>
              </w:rPr>
            </w:pPr>
            <w:r>
              <w:rPr>
                <w:rFonts w:ascii="Times New Roman" w:eastAsia="Times New Roman" w:hAnsi="Times New Roman"/>
                <w:sz w:val="20"/>
                <w:u w:val="single"/>
              </w:rPr>
              <w:t>2.7</w:t>
            </w:r>
          </w:p>
        </w:tc>
        <w:tc>
          <w:tcPr>
            <w:tcW w:w="264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7F7B16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62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  <w:u w:val="single"/>
              </w:rPr>
            </w:pPr>
            <w:r>
              <w:rPr>
                <w:rFonts w:ascii="Times New Roman" w:eastAsia="Times New Roman" w:hAnsi="Times New Roman"/>
                <w:sz w:val="20"/>
                <w:u w:val="single"/>
              </w:rPr>
              <w:t>3.6</w:t>
            </w:r>
          </w:p>
        </w:tc>
      </w:tr>
      <w:tr w:rsidR="000F24EE" w:rsidRPr="0062596F" w:rsidTr="00D22B79">
        <w:trPr>
          <w:trHeight w:val="288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Net earnings</w:t>
            </w:r>
          </w:p>
        </w:tc>
        <w:tc>
          <w:tcPr>
            <w:tcW w:w="974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774BD5" w:rsidRDefault="00CD2B1F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77.2</w:t>
            </w:r>
          </w:p>
        </w:tc>
        <w:tc>
          <w:tcPr>
            <w:tcW w:w="264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7F7B16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62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774BD5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44.1</w:t>
            </w:r>
          </w:p>
        </w:tc>
      </w:tr>
      <w:tr w:rsidR="000F24EE" w:rsidRPr="0062596F" w:rsidTr="00D22B79">
        <w:trPr>
          <w:trHeight w:val="288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rPr>
                <w:rFonts w:ascii="Times New Roman" w:eastAsia="Times New Roman" w:hAnsi="Times New Roman"/>
                <w:sz w:val="20"/>
              </w:rPr>
            </w:pPr>
            <w:r w:rsidRPr="0062596F">
              <w:rPr>
                <w:rFonts w:ascii="Times New Roman" w:eastAsia="Times New Roman" w:hAnsi="Times New Roman"/>
                <w:sz w:val="20"/>
              </w:rPr>
              <w:t xml:space="preserve">Non-controlling interests </w:t>
            </w:r>
          </w:p>
        </w:tc>
        <w:tc>
          <w:tcPr>
            <w:tcW w:w="974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D22B79" w:rsidRDefault="00CD2B1F" w:rsidP="000F24EE">
            <w:pPr>
              <w:jc w:val="right"/>
              <w:rPr>
                <w:rFonts w:ascii="Times New Roman" w:eastAsia="Times New Roman" w:hAnsi="Times New Roman"/>
                <w:sz w:val="20"/>
                <w:u w:val="single"/>
              </w:rPr>
            </w:pPr>
            <w:r>
              <w:rPr>
                <w:rFonts w:ascii="Times New Roman" w:eastAsia="Times New Roman" w:hAnsi="Times New Roman"/>
                <w:sz w:val="20"/>
                <w:u w:val="single"/>
              </w:rPr>
              <w:t>2.8</w:t>
            </w:r>
          </w:p>
        </w:tc>
        <w:tc>
          <w:tcPr>
            <w:tcW w:w="264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7F7B16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7F7B1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962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D22B79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  <w:u w:val="single"/>
              </w:rPr>
            </w:pPr>
            <w:r>
              <w:rPr>
                <w:rFonts w:ascii="Times New Roman" w:eastAsia="Times New Roman" w:hAnsi="Times New Roman"/>
                <w:sz w:val="20"/>
                <w:u w:val="single"/>
              </w:rPr>
              <w:t>1.6</w:t>
            </w:r>
          </w:p>
        </w:tc>
      </w:tr>
      <w:tr w:rsidR="000F24EE" w:rsidRPr="0062596F" w:rsidTr="00D22B79">
        <w:trPr>
          <w:trHeight w:val="288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ind w:left="180" w:hanging="180"/>
              <w:rPr>
                <w:rFonts w:ascii="Times New Roman" w:eastAsia="Times New Roman" w:hAnsi="Times New Roman"/>
                <w:sz w:val="20"/>
              </w:rPr>
            </w:pPr>
            <w:r w:rsidRPr="0062596F">
              <w:rPr>
                <w:rFonts w:ascii="Times New Roman" w:eastAsia="Times New Roman" w:hAnsi="Times New Roman"/>
                <w:sz w:val="20"/>
              </w:rPr>
              <w:t xml:space="preserve">Net earnings attributable to common shareholders            </w:t>
            </w:r>
          </w:p>
        </w:tc>
        <w:tc>
          <w:tcPr>
            <w:tcW w:w="974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D22B79" w:rsidRDefault="000F24EE" w:rsidP="00CD2B1F">
            <w:pPr>
              <w:jc w:val="right"/>
              <w:rPr>
                <w:rFonts w:ascii="Times New Roman" w:eastAsia="Times New Roman" w:hAnsi="Times New Roman"/>
                <w:sz w:val="20"/>
                <w:u w:val="double"/>
              </w:rPr>
            </w:pPr>
            <w:r w:rsidRPr="00D22B79">
              <w:rPr>
                <w:rFonts w:ascii="Times New Roman" w:eastAsia="Times New Roman" w:hAnsi="Times New Roman"/>
                <w:sz w:val="20"/>
                <w:u w:val="double"/>
              </w:rPr>
              <w:t>$</w:t>
            </w:r>
            <w:r w:rsidR="00CD2B1F">
              <w:rPr>
                <w:rFonts w:ascii="Times New Roman" w:eastAsia="Times New Roman" w:hAnsi="Times New Roman"/>
                <w:sz w:val="20"/>
                <w:u w:val="double"/>
              </w:rPr>
              <w:t>74</w:t>
            </w:r>
            <w:r>
              <w:rPr>
                <w:rFonts w:ascii="Times New Roman" w:eastAsia="Times New Roman" w:hAnsi="Times New Roman"/>
                <w:sz w:val="20"/>
                <w:u w:val="double"/>
              </w:rPr>
              <w:t>.</w:t>
            </w:r>
            <w:r w:rsidR="00CD2B1F">
              <w:rPr>
                <w:rFonts w:ascii="Times New Roman" w:eastAsia="Times New Roman" w:hAnsi="Times New Roman"/>
                <w:sz w:val="20"/>
                <w:u w:val="double"/>
              </w:rPr>
              <w:t>4</w:t>
            </w:r>
          </w:p>
        </w:tc>
        <w:tc>
          <w:tcPr>
            <w:tcW w:w="264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7F7B16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7F7B1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962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D22B79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  <w:u w:val="double"/>
              </w:rPr>
            </w:pPr>
            <w:r w:rsidRPr="00D22B79">
              <w:rPr>
                <w:rFonts w:ascii="Times New Roman" w:eastAsia="Times New Roman" w:hAnsi="Times New Roman"/>
                <w:sz w:val="20"/>
                <w:u w:val="double"/>
              </w:rPr>
              <w:t>$</w:t>
            </w:r>
            <w:r>
              <w:rPr>
                <w:rFonts w:ascii="Times New Roman" w:eastAsia="Times New Roman" w:hAnsi="Times New Roman"/>
                <w:sz w:val="20"/>
                <w:u w:val="double"/>
              </w:rPr>
              <w:t>42.5</w:t>
            </w:r>
          </w:p>
        </w:tc>
      </w:tr>
      <w:tr w:rsidR="000F24EE" w:rsidRPr="0062596F" w:rsidTr="007F7B16">
        <w:trPr>
          <w:trHeight w:val="288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ind w:left="180" w:hanging="180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Earnings per share</w:t>
            </w:r>
          </w:p>
        </w:tc>
        <w:tc>
          <w:tcPr>
            <w:tcW w:w="974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64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7F7B16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62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0F24EE" w:rsidRPr="0062596F" w:rsidTr="007F7B16">
        <w:trPr>
          <w:trHeight w:val="288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ind w:left="180" w:hanging="180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    Net earnings </w:t>
            </w:r>
            <w:r w:rsidRPr="0062596F">
              <w:rPr>
                <w:rFonts w:ascii="Times New Roman" w:eastAsia="Times New Roman" w:hAnsi="Times New Roman"/>
                <w:sz w:val="20"/>
              </w:rPr>
              <w:t>attributable to common shareholders</w:t>
            </w:r>
            <w:r>
              <w:rPr>
                <w:rFonts w:ascii="Times New Roman" w:eastAsia="Times New Roman" w:hAnsi="Times New Roman"/>
                <w:sz w:val="20"/>
              </w:rPr>
              <w:t xml:space="preserve"> - basic</w:t>
            </w:r>
          </w:p>
        </w:tc>
        <w:tc>
          <w:tcPr>
            <w:tcW w:w="974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7F7B16" w:rsidRDefault="000F24EE" w:rsidP="00CD2B1F">
            <w:pPr>
              <w:jc w:val="right"/>
              <w:rPr>
                <w:rFonts w:ascii="Times New Roman" w:eastAsia="Times New Roman" w:hAnsi="Times New Roman"/>
                <w:sz w:val="20"/>
                <w:u w:val="double"/>
              </w:rPr>
            </w:pPr>
            <w:r w:rsidRPr="007F7B16">
              <w:rPr>
                <w:rFonts w:ascii="Times New Roman" w:eastAsia="Times New Roman" w:hAnsi="Times New Roman"/>
                <w:sz w:val="20"/>
                <w:u w:val="double"/>
              </w:rPr>
              <w:t>$0.</w:t>
            </w:r>
            <w:r w:rsidR="00CD2B1F">
              <w:rPr>
                <w:rFonts w:ascii="Times New Roman" w:eastAsia="Times New Roman" w:hAnsi="Times New Roman"/>
                <w:sz w:val="20"/>
                <w:u w:val="double"/>
              </w:rPr>
              <w:t>34</w:t>
            </w:r>
          </w:p>
        </w:tc>
        <w:tc>
          <w:tcPr>
            <w:tcW w:w="26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7F7B16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7F7B1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962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7F7B16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  <w:u w:val="double"/>
              </w:rPr>
            </w:pPr>
            <w:r w:rsidRPr="007F7B16">
              <w:rPr>
                <w:rFonts w:ascii="Times New Roman" w:eastAsia="Times New Roman" w:hAnsi="Times New Roman"/>
                <w:sz w:val="20"/>
                <w:u w:val="double"/>
              </w:rPr>
              <w:t>$0.</w:t>
            </w:r>
            <w:r>
              <w:rPr>
                <w:rFonts w:ascii="Times New Roman" w:eastAsia="Times New Roman" w:hAnsi="Times New Roman"/>
                <w:sz w:val="20"/>
                <w:u w:val="double"/>
              </w:rPr>
              <w:t>19</w:t>
            </w:r>
          </w:p>
        </w:tc>
      </w:tr>
      <w:tr w:rsidR="000F24EE" w:rsidRPr="0062596F" w:rsidTr="007F7B16">
        <w:trPr>
          <w:trHeight w:val="288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ind w:left="180" w:hanging="180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    Net earnings </w:t>
            </w:r>
            <w:r w:rsidRPr="0062596F">
              <w:rPr>
                <w:rFonts w:ascii="Times New Roman" w:eastAsia="Times New Roman" w:hAnsi="Times New Roman"/>
                <w:sz w:val="20"/>
              </w:rPr>
              <w:t>attributable to common shareholders</w:t>
            </w:r>
            <w:r>
              <w:rPr>
                <w:rFonts w:ascii="Times New Roman" w:eastAsia="Times New Roman" w:hAnsi="Times New Roman"/>
                <w:sz w:val="20"/>
              </w:rPr>
              <w:t xml:space="preserve"> - diluted</w:t>
            </w:r>
          </w:p>
        </w:tc>
        <w:tc>
          <w:tcPr>
            <w:tcW w:w="974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7F7B16" w:rsidRDefault="000F24EE" w:rsidP="00CD2B1F">
            <w:pPr>
              <w:jc w:val="right"/>
              <w:rPr>
                <w:rFonts w:ascii="Times New Roman" w:eastAsia="Times New Roman" w:hAnsi="Times New Roman"/>
                <w:sz w:val="20"/>
                <w:u w:val="double"/>
              </w:rPr>
            </w:pPr>
            <w:r w:rsidRPr="007F7B16">
              <w:rPr>
                <w:rFonts w:ascii="Times New Roman" w:eastAsia="Times New Roman" w:hAnsi="Times New Roman"/>
                <w:sz w:val="20"/>
                <w:u w:val="double"/>
              </w:rPr>
              <w:t>$0.</w:t>
            </w:r>
            <w:r w:rsidR="00CD2B1F">
              <w:rPr>
                <w:rFonts w:ascii="Times New Roman" w:eastAsia="Times New Roman" w:hAnsi="Times New Roman"/>
                <w:sz w:val="20"/>
                <w:u w:val="double"/>
              </w:rPr>
              <w:t>33</w:t>
            </w:r>
          </w:p>
        </w:tc>
        <w:tc>
          <w:tcPr>
            <w:tcW w:w="264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7F7B16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7F7B1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962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7F7B16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  <w:u w:val="double"/>
              </w:rPr>
            </w:pPr>
            <w:r w:rsidRPr="007F7B16">
              <w:rPr>
                <w:rFonts w:ascii="Times New Roman" w:eastAsia="Times New Roman" w:hAnsi="Times New Roman"/>
                <w:sz w:val="20"/>
                <w:u w:val="double"/>
              </w:rPr>
              <w:t>$0.</w:t>
            </w:r>
            <w:r>
              <w:rPr>
                <w:rFonts w:ascii="Times New Roman" w:eastAsia="Times New Roman" w:hAnsi="Times New Roman"/>
                <w:sz w:val="20"/>
                <w:u w:val="double"/>
              </w:rPr>
              <w:t>19</w:t>
            </w:r>
          </w:p>
        </w:tc>
      </w:tr>
      <w:tr w:rsidR="000F24EE" w:rsidRPr="0062596F" w:rsidTr="007F7B16">
        <w:trPr>
          <w:trHeight w:val="288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7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6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0F24EE" w:rsidRPr="0062596F" w:rsidTr="007F7B16">
        <w:trPr>
          <w:trHeight w:val="288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rPr>
                <w:rFonts w:ascii="Times New Roman" w:eastAsia="Times New Roman" w:hAnsi="Times New Roman"/>
                <w:sz w:val="20"/>
              </w:rPr>
            </w:pPr>
            <w:r w:rsidRPr="0062596F">
              <w:rPr>
                <w:rFonts w:ascii="Times New Roman" w:eastAsia="Times New Roman" w:hAnsi="Times New Roman"/>
                <w:sz w:val="20"/>
              </w:rPr>
              <w:t xml:space="preserve">    Weighted average shares – basic</w:t>
            </w:r>
          </w:p>
        </w:tc>
        <w:tc>
          <w:tcPr>
            <w:tcW w:w="974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7F7B16" w:rsidRDefault="000F24EE" w:rsidP="00CD2B1F">
            <w:pPr>
              <w:jc w:val="right"/>
              <w:rPr>
                <w:rFonts w:ascii="Times New Roman" w:eastAsia="Times New Roman" w:hAnsi="Times New Roman"/>
                <w:sz w:val="20"/>
                <w:u w:val="double"/>
              </w:rPr>
            </w:pPr>
            <w:r>
              <w:rPr>
                <w:rFonts w:ascii="Times New Roman" w:eastAsia="Times New Roman" w:hAnsi="Times New Roman"/>
                <w:sz w:val="20"/>
                <w:u w:val="double"/>
              </w:rPr>
              <w:t>2</w:t>
            </w:r>
            <w:r w:rsidR="00CD2B1F">
              <w:rPr>
                <w:rFonts w:ascii="Times New Roman" w:eastAsia="Times New Roman" w:hAnsi="Times New Roman"/>
                <w:sz w:val="20"/>
                <w:u w:val="double"/>
              </w:rPr>
              <w:t>18</w:t>
            </w:r>
            <w:r>
              <w:rPr>
                <w:rFonts w:ascii="Times New Roman" w:eastAsia="Times New Roman" w:hAnsi="Times New Roman"/>
                <w:sz w:val="20"/>
                <w:u w:val="double"/>
              </w:rPr>
              <w:t>.</w:t>
            </w:r>
            <w:r w:rsidR="00CD2B1F">
              <w:rPr>
                <w:rFonts w:ascii="Times New Roman" w:eastAsia="Times New Roman" w:hAnsi="Times New Roman"/>
                <w:sz w:val="20"/>
                <w:u w:val="double"/>
              </w:rPr>
              <w:t>8</w:t>
            </w:r>
          </w:p>
        </w:tc>
        <w:tc>
          <w:tcPr>
            <w:tcW w:w="264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7F7B16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7F7B1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962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7F7B16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  <w:u w:val="double"/>
              </w:rPr>
            </w:pPr>
            <w:r>
              <w:rPr>
                <w:rFonts w:ascii="Times New Roman" w:eastAsia="Times New Roman" w:hAnsi="Times New Roman"/>
                <w:sz w:val="20"/>
                <w:u w:val="double"/>
              </w:rPr>
              <w:t>220.7</w:t>
            </w:r>
          </w:p>
        </w:tc>
      </w:tr>
      <w:tr w:rsidR="000F24EE" w:rsidRPr="0062596F" w:rsidTr="007F7B16">
        <w:trPr>
          <w:trHeight w:val="288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rPr>
                <w:rFonts w:ascii="Times New Roman" w:eastAsia="Times New Roman" w:hAnsi="Times New Roman"/>
                <w:sz w:val="20"/>
              </w:rPr>
            </w:pPr>
            <w:r w:rsidRPr="0062596F">
              <w:rPr>
                <w:rFonts w:ascii="Times New Roman" w:eastAsia="Times New Roman" w:hAnsi="Times New Roman"/>
                <w:sz w:val="20"/>
              </w:rPr>
              <w:t xml:space="preserve">    Weighted average shares – diluted</w:t>
            </w:r>
          </w:p>
        </w:tc>
        <w:tc>
          <w:tcPr>
            <w:tcW w:w="97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7F7B16" w:rsidRDefault="000F24EE" w:rsidP="00CD2B1F">
            <w:pPr>
              <w:jc w:val="right"/>
              <w:rPr>
                <w:rFonts w:ascii="Times New Roman" w:eastAsia="Times New Roman" w:hAnsi="Times New Roman"/>
                <w:sz w:val="20"/>
                <w:u w:val="double"/>
              </w:rPr>
            </w:pPr>
            <w:r>
              <w:rPr>
                <w:rFonts w:ascii="Times New Roman" w:eastAsia="Times New Roman" w:hAnsi="Times New Roman"/>
                <w:sz w:val="20"/>
                <w:u w:val="double"/>
              </w:rPr>
              <w:t>223.</w:t>
            </w:r>
            <w:r w:rsidR="00CD2B1F">
              <w:rPr>
                <w:rFonts w:ascii="Times New Roman" w:eastAsia="Times New Roman" w:hAnsi="Times New Roman"/>
                <w:sz w:val="20"/>
                <w:u w:val="double"/>
              </w:rPr>
              <w:t>3</w:t>
            </w:r>
          </w:p>
        </w:tc>
        <w:tc>
          <w:tcPr>
            <w:tcW w:w="26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7F7B16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7F7B1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F24EE" w:rsidRPr="007F7B16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  <w:u w:val="double"/>
              </w:rPr>
            </w:pPr>
            <w:r>
              <w:rPr>
                <w:rFonts w:ascii="Times New Roman" w:eastAsia="Times New Roman" w:hAnsi="Times New Roman"/>
                <w:sz w:val="20"/>
                <w:u w:val="double"/>
              </w:rPr>
              <w:t>223.6</w:t>
            </w:r>
          </w:p>
        </w:tc>
      </w:tr>
      <w:tr w:rsidR="000F24EE" w:rsidRPr="0062596F" w:rsidTr="007F7B16">
        <w:trPr>
          <w:trHeight w:val="288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Default="000F24EE" w:rsidP="000F24EE">
            <w:pPr>
              <w:rPr>
                <w:rFonts w:ascii="Times New Roman" w:eastAsia="Times New Roman" w:hAnsi="Times New Roman"/>
                <w:sz w:val="20"/>
              </w:rPr>
            </w:pPr>
          </w:p>
          <w:p w:rsidR="000F24EE" w:rsidRPr="0062596F" w:rsidRDefault="000F24EE" w:rsidP="000F24EE">
            <w:pPr>
              <w:rPr>
                <w:rFonts w:ascii="Times New Roman" w:eastAsia="Times New Roman" w:hAnsi="Times New Roman"/>
                <w:sz w:val="20"/>
              </w:rPr>
            </w:pPr>
            <w:r w:rsidRPr="0062596F">
              <w:rPr>
                <w:rFonts w:ascii="Times New Roman" w:eastAsia="Times New Roman" w:hAnsi="Times New Roman"/>
                <w:sz w:val="20"/>
              </w:rPr>
              <w:t xml:space="preserve">Direct operations orders opened </w:t>
            </w:r>
          </w:p>
        </w:tc>
        <w:tc>
          <w:tcPr>
            <w:tcW w:w="97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CD2B1F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651</w:t>
            </w:r>
            <w:r w:rsidR="000F24EE">
              <w:rPr>
                <w:rFonts w:ascii="Times New Roman" w:eastAsia="Times New Roman" w:hAnsi="Times New Roman"/>
                <w:sz w:val="20"/>
              </w:rPr>
              <w:t>.1</w:t>
            </w:r>
          </w:p>
        </w:tc>
        <w:tc>
          <w:tcPr>
            <w:tcW w:w="26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62596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96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488.1</w:t>
            </w:r>
          </w:p>
        </w:tc>
      </w:tr>
      <w:tr w:rsidR="000F24EE" w:rsidRPr="0062596F" w:rsidTr="00D22B79">
        <w:trPr>
          <w:trHeight w:val="288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rPr>
                <w:rFonts w:ascii="Times New Roman" w:eastAsia="Times New Roman" w:hAnsi="Times New Roman"/>
                <w:sz w:val="20"/>
              </w:rPr>
            </w:pPr>
            <w:r w:rsidRPr="0062596F">
              <w:rPr>
                <w:rFonts w:ascii="Times New Roman" w:eastAsia="Times New Roman" w:hAnsi="Times New Roman"/>
                <w:sz w:val="20"/>
              </w:rPr>
              <w:t xml:space="preserve">Direct operations orders closed 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CD2B1F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409.5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62596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370.8</w:t>
            </w:r>
          </w:p>
        </w:tc>
      </w:tr>
      <w:tr w:rsidR="000F24EE" w:rsidRPr="0062596F" w:rsidTr="00D22B79">
        <w:trPr>
          <w:trHeight w:val="288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rPr>
                <w:rFonts w:ascii="Times New Roman" w:eastAsia="Times New Roman" w:hAnsi="Times New Roman"/>
                <w:sz w:val="20"/>
              </w:rPr>
            </w:pPr>
            <w:r w:rsidRPr="0062596F">
              <w:rPr>
                <w:rFonts w:ascii="Times New Roman" w:eastAsia="Times New Roman" w:hAnsi="Times New Roman"/>
                <w:sz w:val="20"/>
              </w:rPr>
              <w:t>Fee per file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CD2B1F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62596F">
              <w:rPr>
                <w:rFonts w:ascii="Times New Roman" w:eastAsia="Times New Roman" w:hAnsi="Times New Roman"/>
                <w:sz w:val="20"/>
              </w:rPr>
              <w:t>$1</w:t>
            </w:r>
            <w:r>
              <w:rPr>
                <w:rFonts w:ascii="Times New Roman" w:eastAsia="Times New Roman" w:hAnsi="Times New Roman"/>
                <w:sz w:val="20"/>
              </w:rPr>
              <w:t>,3</w:t>
            </w:r>
            <w:r w:rsidR="00CD2B1F">
              <w:rPr>
                <w:rFonts w:ascii="Times New Roman" w:eastAsia="Times New Roman" w:hAnsi="Times New Roman"/>
                <w:sz w:val="20"/>
              </w:rPr>
              <w:t>98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62596F">
              <w:rPr>
                <w:rFonts w:ascii="Times New Roman" w:eastAsia="Times New Roman" w:hAnsi="Times New Roman"/>
                <w:sz w:val="20"/>
              </w:rPr>
              <w:t>$1</w:t>
            </w:r>
            <w:r>
              <w:rPr>
                <w:rFonts w:ascii="Times New Roman" w:eastAsia="Times New Roman" w:hAnsi="Times New Roman"/>
                <w:sz w:val="20"/>
              </w:rPr>
              <w:t>,371</w:t>
            </w:r>
          </w:p>
        </w:tc>
      </w:tr>
      <w:tr w:rsidR="000F24EE" w:rsidRPr="0062596F" w:rsidTr="00D22B79">
        <w:trPr>
          <w:trHeight w:val="288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rPr>
                <w:rFonts w:ascii="Times New Roman" w:eastAsia="Times New Roman" w:hAnsi="Times New Roman"/>
                <w:sz w:val="20"/>
              </w:rPr>
            </w:pPr>
            <w:r w:rsidRPr="0062596F">
              <w:rPr>
                <w:rFonts w:ascii="Times New Roman" w:eastAsia="Times New Roman" w:hAnsi="Times New Roman"/>
                <w:sz w:val="20"/>
              </w:rPr>
              <w:t>Actual title claims paid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8978DF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62596F">
              <w:rPr>
                <w:rFonts w:ascii="Times New Roman" w:eastAsia="Times New Roman" w:hAnsi="Times New Roman"/>
                <w:sz w:val="20"/>
              </w:rPr>
              <w:t>$</w:t>
            </w:r>
            <w:r w:rsidR="008978DF">
              <w:rPr>
                <w:rFonts w:ascii="Times New Roman" w:eastAsia="Times New Roman" w:hAnsi="Times New Roman"/>
                <w:sz w:val="20"/>
              </w:rPr>
              <w:t>103.5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62596F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62596F">
              <w:rPr>
                <w:rFonts w:ascii="Times New Roman" w:eastAsia="Times New Roman" w:hAnsi="Times New Roman"/>
                <w:sz w:val="20"/>
              </w:rPr>
              <w:t>$</w:t>
            </w:r>
            <w:r>
              <w:rPr>
                <w:rFonts w:ascii="Times New Roman" w:eastAsia="Times New Roman" w:hAnsi="Times New Roman"/>
                <w:sz w:val="20"/>
              </w:rPr>
              <w:t>88.8</w:t>
            </w:r>
          </w:p>
        </w:tc>
      </w:tr>
    </w:tbl>
    <w:p w:rsidR="00B87CDA" w:rsidRDefault="00B87CDA" w:rsidP="002028FA">
      <w:pPr>
        <w:ind w:left="-1440"/>
        <w:jc w:val="center"/>
        <w:rPr>
          <w:rFonts w:ascii="Times New Roman" w:hAnsi="Times New Roman"/>
        </w:rPr>
      </w:pPr>
    </w:p>
    <w:p w:rsidR="00B87CDA" w:rsidRDefault="00B87CDA" w:rsidP="002028FA">
      <w:pPr>
        <w:ind w:left="-1440"/>
        <w:jc w:val="center"/>
        <w:rPr>
          <w:rFonts w:ascii="Times New Roman" w:hAnsi="Times New Roman"/>
        </w:rPr>
      </w:pPr>
    </w:p>
    <w:p w:rsidR="00B87CDA" w:rsidRDefault="00B87CDA" w:rsidP="002028FA">
      <w:pPr>
        <w:ind w:left="-1440"/>
        <w:jc w:val="center"/>
        <w:rPr>
          <w:rFonts w:ascii="Times New Roman" w:hAnsi="Times New Roman"/>
        </w:rPr>
      </w:pPr>
    </w:p>
    <w:p w:rsidR="00B87CDA" w:rsidRDefault="00B87CDA" w:rsidP="002028FA">
      <w:pPr>
        <w:ind w:left="-1440"/>
        <w:jc w:val="center"/>
        <w:rPr>
          <w:rFonts w:ascii="Times New Roman" w:hAnsi="Times New Roman"/>
        </w:rPr>
      </w:pPr>
    </w:p>
    <w:p w:rsidR="00B87CDA" w:rsidRDefault="00B87CDA" w:rsidP="002028FA">
      <w:pPr>
        <w:ind w:left="-1440"/>
        <w:jc w:val="center"/>
        <w:rPr>
          <w:rFonts w:ascii="Times New Roman" w:hAnsi="Times New Roman"/>
        </w:rPr>
      </w:pPr>
    </w:p>
    <w:p w:rsidR="00B87CDA" w:rsidRDefault="00B87CDA" w:rsidP="002028FA">
      <w:pPr>
        <w:ind w:left="-1440"/>
        <w:jc w:val="center"/>
        <w:rPr>
          <w:rFonts w:ascii="Times New Roman" w:hAnsi="Times New Roman"/>
        </w:rPr>
      </w:pPr>
    </w:p>
    <w:p w:rsidR="00B87CDA" w:rsidRDefault="00B87CDA" w:rsidP="002028FA">
      <w:pPr>
        <w:ind w:left="-1440"/>
        <w:jc w:val="center"/>
        <w:rPr>
          <w:rFonts w:ascii="Times New Roman" w:hAnsi="Times New Roman"/>
        </w:rPr>
      </w:pPr>
    </w:p>
    <w:p w:rsidR="00B87CDA" w:rsidRDefault="00B87CDA" w:rsidP="002028FA">
      <w:pPr>
        <w:ind w:left="-1440"/>
        <w:jc w:val="center"/>
        <w:rPr>
          <w:rFonts w:ascii="Times New Roman" w:hAnsi="Times New Roman"/>
        </w:rPr>
      </w:pPr>
    </w:p>
    <w:p w:rsidR="00B87CDA" w:rsidRDefault="00B87CDA" w:rsidP="002028FA">
      <w:pPr>
        <w:ind w:left="-1440"/>
        <w:jc w:val="center"/>
        <w:rPr>
          <w:rFonts w:ascii="Times New Roman" w:hAnsi="Times New Roman"/>
        </w:rPr>
      </w:pPr>
    </w:p>
    <w:p w:rsidR="00B87CDA" w:rsidRDefault="00B87CDA" w:rsidP="002028FA">
      <w:pPr>
        <w:ind w:left="-1440"/>
        <w:jc w:val="center"/>
        <w:rPr>
          <w:rFonts w:ascii="Times New Roman" w:hAnsi="Times New Roman"/>
        </w:rPr>
      </w:pPr>
    </w:p>
    <w:p w:rsidR="00B87CDA" w:rsidRDefault="00B87CDA" w:rsidP="002028FA">
      <w:pPr>
        <w:ind w:left="-1440"/>
        <w:jc w:val="center"/>
        <w:rPr>
          <w:rFonts w:ascii="Times New Roman" w:hAnsi="Times New Roman"/>
        </w:rPr>
      </w:pPr>
    </w:p>
    <w:p w:rsidR="00B87CDA" w:rsidRDefault="00B87CDA" w:rsidP="002028FA">
      <w:pPr>
        <w:ind w:left="-1440"/>
        <w:jc w:val="center"/>
        <w:rPr>
          <w:rFonts w:ascii="Times New Roman" w:hAnsi="Times New Roman"/>
        </w:rPr>
      </w:pPr>
    </w:p>
    <w:p w:rsidR="00B87CDA" w:rsidRDefault="00B87CDA" w:rsidP="002028FA">
      <w:pPr>
        <w:ind w:left="-1440"/>
        <w:jc w:val="center"/>
        <w:rPr>
          <w:rFonts w:ascii="Times New Roman" w:hAnsi="Times New Roman"/>
        </w:rPr>
      </w:pPr>
    </w:p>
    <w:p w:rsidR="00B87CDA" w:rsidRDefault="00B87CDA" w:rsidP="002028FA">
      <w:pPr>
        <w:ind w:left="-1440"/>
        <w:jc w:val="center"/>
        <w:rPr>
          <w:rFonts w:ascii="Times New Roman" w:hAnsi="Times New Roman"/>
        </w:rPr>
      </w:pPr>
    </w:p>
    <w:p w:rsidR="00B87CDA" w:rsidRDefault="00B87CDA" w:rsidP="002028FA">
      <w:pPr>
        <w:ind w:left="-1440"/>
        <w:jc w:val="center"/>
        <w:rPr>
          <w:rFonts w:ascii="Times New Roman" w:hAnsi="Times New Roman"/>
        </w:rPr>
      </w:pPr>
    </w:p>
    <w:p w:rsidR="00B87CDA" w:rsidRDefault="00B87CDA" w:rsidP="002028FA">
      <w:pPr>
        <w:ind w:left="-1440"/>
        <w:jc w:val="center"/>
        <w:rPr>
          <w:rFonts w:ascii="Times New Roman" w:hAnsi="Times New Roman"/>
        </w:rPr>
      </w:pPr>
    </w:p>
    <w:p w:rsidR="00B87CDA" w:rsidRDefault="00B87CDA" w:rsidP="002028FA">
      <w:pPr>
        <w:ind w:left="-1440"/>
        <w:jc w:val="center"/>
        <w:rPr>
          <w:rFonts w:ascii="Times New Roman" w:hAnsi="Times New Roman"/>
        </w:rPr>
      </w:pPr>
    </w:p>
    <w:p w:rsidR="00B87CDA" w:rsidRDefault="00B87CDA" w:rsidP="002028FA">
      <w:pPr>
        <w:ind w:left="-1440"/>
        <w:jc w:val="center"/>
        <w:rPr>
          <w:rFonts w:ascii="Times New Roman" w:hAnsi="Times New Roman"/>
        </w:rPr>
      </w:pPr>
    </w:p>
    <w:p w:rsidR="00B87CDA" w:rsidRDefault="00B87CDA" w:rsidP="002028FA">
      <w:pPr>
        <w:ind w:left="-1440"/>
        <w:jc w:val="center"/>
        <w:rPr>
          <w:rFonts w:ascii="Times New Roman" w:hAnsi="Times New Roman"/>
        </w:rPr>
      </w:pPr>
    </w:p>
    <w:p w:rsidR="00B87CDA" w:rsidRDefault="00B87CDA" w:rsidP="002028FA">
      <w:pPr>
        <w:ind w:left="-1440"/>
        <w:jc w:val="center"/>
        <w:rPr>
          <w:rFonts w:ascii="Times New Roman" w:hAnsi="Times New Roman"/>
        </w:rPr>
      </w:pPr>
    </w:p>
    <w:p w:rsidR="00B87CDA" w:rsidRDefault="00B87CDA" w:rsidP="002028FA">
      <w:pPr>
        <w:ind w:left="-1440"/>
        <w:jc w:val="center"/>
        <w:rPr>
          <w:rFonts w:ascii="Times New Roman" w:hAnsi="Times New Roman"/>
        </w:rPr>
      </w:pPr>
    </w:p>
    <w:p w:rsidR="00B87CDA" w:rsidRDefault="00B87CDA" w:rsidP="002028FA">
      <w:pPr>
        <w:ind w:left="-1440"/>
        <w:jc w:val="center"/>
        <w:rPr>
          <w:rFonts w:ascii="Times New Roman" w:hAnsi="Times New Roman"/>
        </w:rPr>
      </w:pPr>
    </w:p>
    <w:p w:rsidR="00B87CDA" w:rsidRDefault="00B87CDA" w:rsidP="002028FA">
      <w:pPr>
        <w:ind w:left="-1440"/>
        <w:jc w:val="center"/>
        <w:rPr>
          <w:rFonts w:ascii="Times New Roman" w:hAnsi="Times New Roman"/>
        </w:rPr>
      </w:pPr>
    </w:p>
    <w:p w:rsidR="00B87CDA" w:rsidRDefault="00B87CDA" w:rsidP="002028FA">
      <w:pPr>
        <w:ind w:left="-1440"/>
        <w:jc w:val="center"/>
        <w:rPr>
          <w:rFonts w:ascii="Times New Roman" w:hAnsi="Times New Roman"/>
        </w:rPr>
      </w:pPr>
    </w:p>
    <w:p w:rsidR="00B87CDA" w:rsidRDefault="00B87CDA" w:rsidP="002028FA">
      <w:pPr>
        <w:ind w:left="-1440"/>
        <w:jc w:val="center"/>
        <w:rPr>
          <w:rFonts w:ascii="Times New Roman" w:hAnsi="Times New Roman"/>
        </w:rPr>
      </w:pPr>
    </w:p>
    <w:p w:rsidR="00B87CDA" w:rsidRDefault="00B87CDA" w:rsidP="002028FA">
      <w:pPr>
        <w:ind w:left="-1440"/>
        <w:jc w:val="center"/>
        <w:rPr>
          <w:rFonts w:ascii="Times New Roman" w:hAnsi="Times New Roman"/>
        </w:rPr>
      </w:pPr>
    </w:p>
    <w:p w:rsidR="00B87CDA" w:rsidRDefault="00B87CDA" w:rsidP="002028FA">
      <w:pPr>
        <w:ind w:left="-1440"/>
        <w:jc w:val="center"/>
        <w:rPr>
          <w:rFonts w:ascii="Times New Roman" w:hAnsi="Times New Roman"/>
        </w:rPr>
      </w:pPr>
    </w:p>
    <w:p w:rsidR="00B87CDA" w:rsidRDefault="00B87CDA" w:rsidP="002028FA">
      <w:pPr>
        <w:ind w:left="-1440"/>
        <w:jc w:val="center"/>
        <w:rPr>
          <w:rFonts w:ascii="Times New Roman" w:hAnsi="Times New Roman"/>
        </w:rPr>
      </w:pPr>
    </w:p>
    <w:p w:rsidR="00B87CDA" w:rsidRDefault="00B87CDA" w:rsidP="002028FA">
      <w:pPr>
        <w:ind w:left="-1440"/>
        <w:jc w:val="center"/>
        <w:rPr>
          <w:rFonts w:ascii="Times New Roman" w:hAnsi="Times New Roman"/>
        </w:rPr>
      </w:pPr>
    </w:p>
    <w:p w:rsidR="00B87CDA" w:rsidRDefault="00B87CDA" w:rsidP="002028FA">
      <w:pPr>
        <w:ind w:left="-1440"/>
        <w:jc w:val="center"/>
        <w:rPr>
          <w:rFonts w:ascii="Times New Roman" w:hAnsi="Times New Roman"/>
        </w:rPr>
      </w:pPr>
    </w:p>
    <w:p w:rsidR="00B87CDA" w:rsidRDefault="00B87CDA" w:rsidP="002028FA">
      <w:pPr>
        <w:ind w:left="-1440"/>
        <w:jc w:val="center"/>
        <w:rPr>
          <w:rFonts w:ascii="Times New Roman" w:hAnsi="Times New Roman"/>
        </w:rPr>
      </w:pPr>
    </w:p>
    <w:p w:rsidR="00B87CDA" w:rsidRDefault="00B87CDA" w:rsidP="002028FA">
      <w:pPr>
        <w:ind w:left="-1440"/>
        <w:jc w:val="center"/>
        <w:rPr>
          <w:rFonts w:ascii="Times New Roman" w:hAnsi="Times New Roman"/>
        </w:rPr>
      </w:pPr>
    </w:p>
    <w:p w:rsidR="00B87CDA" w:rsidRDefault="00B87CDA" w:rsidP="002028FA">
      <w:pPr>
        <w:ind w:left="-1440"/>
        <w:jc w:val="center"/>
        <w:rPr>
          <w:rFonts w:ascii="Times New Roman" w:hAnsi="Times New Roman"/>
        </w:rPr>
      </w:pPr>
    </w:p>
    <w:p w:rsidR="00B87CDA" w:rsidRDefault="00B87CDA" w:rsidP="002028FA">
      <w:pPr>
        <w:ind w:left="-1440"/>
        <w:jc w:val="center"/>
        <w:rPr>
          <w:rFonts w:ascii="Times New Roman" w:hAnsi="Times New Roman"/>
        </w:rPr>
      </w:pPr>
    </w:p>
    <w:p w:rsidR="00B87CDA" w:rsidRDefault="00B87CDA" w:rsidP="002028FA">
      <w:pPr>
        <w:ind w:left="-1440"/>
        <w:jc w:val="center"/>
        <w:rPr>
          <w:rFonts w:ascii="Times New Roman" w:hAnsi="Times New Roman"/>
        </w:rPr>
      </w:pPr>
    </w:p>
    <w:p w:rsidR="00B87CDA" w:rsidRDefault="00B87CDA" w:rsidP="002028FA">
      <w:pPr>
        <w:ind w:left="-1440"/>
        <w:jc w:val="center"/>
        <w:rPr>
          <w:rFonts w:ascii="Times New Roman" w:hAnsi="Times New Roman"/>
        </w:rPr>
      </w:pPr>
    </w:p>
    <w:p w:rsidR="00B87CDA" w:rsidRDefault="00B87CDA" w:rsidP="002028FA">
      <w:pPr>
        <w:ind w:left="-1440"/>
        <w:jc w:val="center"/>
        <w:rPr>
          <w:rFonts w:ascii="Times New Roman" w:hAnsi="Times New Roman"/>
        </w:rPr>
      </w:pPr>
    </w:p>
    <w:p w:rsidR="00B87CDA" w:rsidRDefault="00B87CDA" w:rsidP="002028FA">
      <w:pPr>
        <w:ind w:left="-1440"/>
        <w:jc w:val="center"/>
        <w:rPr>
          <w:rFonts w:ascii="Times New Roman" w:hAnsi="Times New Roman"/>
        </w:rPr>
      </w:pPr>
    </w:p>
    <w:p w:rsidR="00B87CDA" w:rsidRDefault="00B87CDA" w:rsidP="002028FA">
      <w:pPr>
        <w:ind w:left="-1440"/>
        <w:jc w:val="center"/>
        <w:rPr>
          <w:rFonts w:ascii="Times New Roman" w:hAnsi="Times New Roman"/>
        </w:rPr>
      </w:pPr>
    </w:p>
    <w:p w:rsidR="00B87CDA" w:rsidRDefault="00B87CDA" w:rsidP="002028FA">
      <w:pPr>
        <w:ind w:left="-1440"/>
        <w:jc w:val="center"/>
        <w:rPr>
          <w:rFonts w:ascii="Times New Roman" w:hAnsi="Times New Roman"/>
        </w:rPr>
      </w:pPr>
    </w:p>
    <w:p w:rsidR="00B87CDA" w:rsidRDefault="00B87CDA" w:rsidP="002028FA">
      <w:pPr>
        <w:ind w:left="-1440"/>
        <w:jc w:val="center"/>
        <w:rPr>
          <w:rFonts w:ascii="Times New Roman" w:hAnsi="Times New Roman"/>
        </w:rPr>
      </w:pPr>
    </w:p>
    <w:p w:rsidR="00B87CDA" w:rsidRDefault="00B87CDA" w:rsidP="002028FA">
      <w:pPr>
        <w:ind w:left="-1440"/>
        <w:jc w:val="center"/>
        <w:rPr>
          <w:rFonts w:ascii="Times New Roman" w:hAnsi="Times New Roman"/>
        </w:rPr>
      </w:pPr>
    </w:p>
    <w:p w:rsidR="00B87CDA" w:rsidRDefault="00B87CDA" w:rsidP="002028FA">
      <w:pPr>
        <w:ind w:left="-1440"/>
        <w:jc w:val="center"/>
        <w:rPr>
          <w:rFonts w:ascii="Times New Roman" w:hAnsi="Times New Roman"/>
        </w:rPr>
      </w:pPr>
    </w:p>
    <w:p w:rsidR="00B87CDA" w:rsidRDefault="00B87CDA" w:rsidP="002028FA">
      <w:pPr>
        <w:ind w:left="-1440"/>
        <w:jc w:val="center"/>
        <w:rPr>
          <w:rFonts w:ascii="Times New Roman" w:hAnsi="Times New Roman"/>
        </w:rPr>
      </w:pPr>
    </w:p>
    <w:p w:rsidR="00B87CDA" w:rsidRDefault="00B87CDA" w:rsidP="002028FA">
      <w:pPr>
        <w:ind w:left="-1440"/>
        <w:jc w:val="center"/>
        <w:rPr>
          <w:rFonts w:ascii="Times New Roman" w:hAnsi="Times New Roman"/>
        </w:rPr>
      </w:pPr>
    </w:p>
    <w:p w:rsidR="00B87CDA" w:rsidRDefault="00B87CDA" w:rsidP="002028FA">
      <w:pPr>
        <w:ind w:left="-1440"/>
        <w:jc w:val="center"/>
        <w:rPr>
          <w:rFonts w:ascii="Times New Roman" w:hAnsi="Times New Roman"/>
        </w:rPr>
      </w:pPr>
    </w:p>
    <w:p w:rsidR="00AA1ADA" w:rsidRDefault="00AA1ADA" w:rsidP="002028FA">
      <w:pPr>
        <w:ind w:left="-1440"/>
        <w:jc w:val="center"/>
        <w:rPr>
          <w:rFonts w:ascii="Times New Roman" w:hAnsi="Times New Roman"/>
        </w:rPr>
      </w:pPr>
    </w:p>
    <w:p w:rsidR="00AA1ADA" w:rsidRDefault="00AA1ADA" w:rsidP="002028FA">
      <w:pPr>
        <w:ind w:left="-1440"/>
        <w:jc w:val="center"/>
        <w:rPr>
          <w:rFonts w:ascii="Times New Roman" w:hAnsi="Times New Roman"/>
        </w:rPr>
      </w:pPr>
    </w:p>
    <w:p w:rsidR="00AA1ADA" w:rsidRDefault="00AA1ADA" w:rsidP="002028FA">
      <w:pPr>
        <w:ind w:left="-1440"/>
        <w:jc w:val="center"/>
        <w:rPr>
          <w:rFonts w:ascii="Times New Roman" w:hAnsi="Times New Roman"/>
        </w:rPr>
      </w:pPr>
    </w:p>
    <w:p w:rsidR="002028FA" w:rsidRDefault="007F7B16" w:rsidP="002028FA">
      <w:pPr>
        <w:ind w:left="-14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F</w:t>
      </w:r>
      <w:r w:rsidR="00031915">
        <w:rPr>
          <w:rFonts w:ascii="Times New Roman" w:hAnsi="Times New Roman"/>
        </w:rPr>
        <w:t>IDELI</w:t>
      </w:r>
      <w:r w:rsidR="002028FA">
        <w:rPr>
          <w:rFonts w:ascii="Times New Roman" w:hAnsi="Times New Roman"/>
        </w:rPr>
        <w:t>TY NATIONAL FINANCIAL, INC.</w:t>
      </w:r>
    </w:p>
    <w:p w:rsidR="002028FA" w:rsidRPr="002314A7" w:rsidRDefault="00F87C08" w:rsidP="002028FA">
      <w:pPr>
        <w:ind w:left="-14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</w:t>
      </w:r>
      <w:r w:rsidR="00B87CDA">
        <w:rPr>
          <w:rFonts w:ascii="Times New Roman" w:hAnsi="Times New Roman"/>
          <w:b/>
        </w:rPr>
        <w:t>IRST</w:t>
      </w:r>
      <w:r w:rsidR="002314A7" w:rsidRPr="002314A7">
        <w:rPr>
          <w:rFonts w:ascii="Times New Roman" w:hAnsi="Times New Roman"/>
          <w:b/>
        </w:rPr>
        <w:t xml:space="preserve"> QUARTER </w:t>
      </w:r>
      <w:r w:rsidR="002028FA" w:rsidRPr="002314A7">
        <w:rPr>
          <w:rFonts w:ascii="Times New Roman" w:hAnsi="Times New Roman"/>
          <w:b/>
        </w:rPr>
        <w:t>SEGMENT INFORMATION</w:t>
      </w:r>
    </w:p>
    <w:p w:rsidR="002028FA" w:rsidRDefault="002028FA" w:rsidP="002028FA">
      <w:pPr>
        <w:ind w:left="-14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(In </w:t>
      </w:r>
      <w:r w:rsidR="00B97915">
        <w:rPr>
          <w:rFonts w:ascii="Times New Roman" w:hAnsi="Times New Roman"/>
        </w:rPr>
        <w:t>million</w:t>
      </w:r>
      <w:r>
        <w:rPr>
          <w:rFonts w:ascii="Times New Roman" w:hAnsi="Times New Roman"/>
        </w:rPr>
        <w:t>s</w:t>
      </w:r>
      <w:r w:rsidR="00335FC7">
        <w:rPr>
          <w:rFonts w:ascii="Times New Roman" w:hAnsi="Times New Roman"/>
        </w:rPr>
        <w:t>,</w:t>
      </w:r>
      <w:r w:rsidR="005A6C72">
        <w:rPr>
          <w:rFonts w:ascii="Times New Roman" w:hAnsi="Times New Roman"/>
        </w:rPr>
        <w:t xml:space="preserve"> </w:t>
      </w:r>
      <w:r w:rsidR="00335FC7">
        <w:rPr>
          <w:rFonts w:ascii="Times New Roman" w:hAnsi="Times New Roman"/>
        </w:rPr>
        <w:t>except order information</w:t>
      </w:r>
      <w:r w:rsidR="004F54D5">
        <w:rPr>
          <w:rFonts w:ascii="Times New Roman" w:hAnsi="Times New Roman"/>
        </w:rPr>
        <w:t xml:space="preserve"> in 000’s</w:t>
      </w:r>
      <w:r>
        <w:rPr>
          <w:rFonts w:ascii="Times New Roman" w:hAnsi="Times New Roman"/>
        </w:rPr>
        <w:t>)</w:t>
      </w:r>
    </w:p>
    <w:p w:rsidR="002028FA" w:rsidRDefault="002028FA" w:rsidP="002028FA">
      <w:pPr>
        <w:ind w:left="-14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(Unaudited)</w:t>
      </w:r>
    </w:p>
    <w:p w:rsidR="002028FA" w:rsidRPr="006C01E1" w:rsidRDefault="002028FA" w:rsidP="002028FA">
      <w:pPr>
        <w:ind w:left="-1440"/>
        <w:jc w:val="center"/>
        <w:rPr>
          <w:rFonts w:ascii="Times New Roman" w:hAnsi="Times New Roman"/>
        </w:rPr>
        <w:sectPr w:rsidR="002028FA" w:rsidRPr="006C01E1" w:rsidSect="00CF6FB8">
          <w:type w:val="continuous"/>
          <w:pgSz w:w="12240" w:h="15840"/>
          <w:pgMar w:top="720" w:right="1296" w:bottom="720" w:left="2880" w:header="720" w:footer="720" w:gutter="0"/>
          <w:cols w:space="720"/>
        </w:sectPr>
      </w:pPr>
    </w:p>
    <w:p w:rsidR="002028FA" w:rsidRDefault="002028FA" w:rsidP="002028FA">
      <w:pPr>
        <w:ind w:left="-1440"/>
        <w:jc w:val="center"/>
        <w:rPr>
          <w:rFonts w:ascii="Times New Roman" w:hAnsi="Times New Roman"/>
        </w:rPr>
      </w:pPr>
    </w:p>
    <w:tbl>
      <w:tblPr>
        <w:tblW w:w="7830" w:type="dxa"/>
        <w:tblInd w:w="-702" w:type="dxa"/>
        <w:tblLayout w:type="fixed"/>
        <w:tblLook w:val="0000"/>
      </w:tblPr>
      <w:tblGrid>
        <w:gridCol w:w="2790"/>
        <w:gridCol w:w="1530"/>
        <w:gridCol w:w="1170"/>
        <w:gridCol w:w="1350"/>
        <w:gridCol w:w="990"/>
      </w:tblGrid>
      <w:tr w:rsidR="00774BD5" w:rsidRPr="008C2BDD" w:rsidTr="00A6232E">
        <w:trPr>
          <w:trHeight w:val="6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BD5" w:rsidRPr="008C2BDD" w:rsidRDefault="00774BD5" w:rsidP="00A6232E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774BD5" w:rsidRPr="008C2BDD" w:rsidRDefault="00774BD5" w:rsidP="00A6232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C2BD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4BD5" w:rsidRPr="008C2BDD" w:rsidRDefault="00774BD5" w:rsidP="00A6232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4BD5" w:rsidRPr="008C2BDD" w:rsidRDefault="00774BD5" w:rsidP="00A6232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774BD5" w:rsidRPr="008C2BDD" w:rsidRDefault="00774BD5" w:rsidP="00A6232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774BD5" w:rsidRPr="00BB5ABD" w:rsidTr="00A6232E">
        <w:trPr>
          <w:trHeight w:val="495"/>
        </w:trPr>
        <w:tc>
          <w:tcPr>
            <w:tcW w:w="279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b/>
                <w:i/>
                <w:iCs/>
                <w:sz w:val="20"/>
              </w:rPr>
            </w:pPr>
            <w:r w:rsidRPr="00BB5ABD">
              <w:rPr>
                <w:rFonts w:ascii="Times New Roman" w:eastAsia="Times New Roman" w:hAnsi="Times New Roman"/>
                <w:b/>
                <w:i/>
                <w:iCs/>
                <w:sz w:val="20"/>
              </w:rPr>
              <w:t xml:space="preserve">Three Months Ended   </w:t>
            </w:r>
          </w:p>
          <w:p w:rsidR="00774BD5" w:rsidRPr="00BB5ABD" w:rsidRDefault="00774BD5" w:rsidP="00774BD5">
            <w:pPr>
              <w:rPr>
                <w:rFonts w:ascii="Times New Roman" w:eastAsia="Times New Roman" w:hAnsi="Times New Roman"/>
                <w:i/>
                <w:iCs/>
                <w:sz w:val="20"/>
                <w:u w:val="single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0"/>
                <w:u w:val="single"/>
              </w:rPr>
              <w:t>March</w:t>
            </w:r>
            <w:r w:rsidRPr="00BB5ABD">
              <w:rPr>
                <w:rFonts w:ascii="Times New Roman" w:eastAsia="Times New Roman" w:hAnsi="Times New Roman"/>
                <w:b/>
                <w:i/>
                <w:iCs/>
                <w:sz w:val="20"/>
                <w:u w:val="single"/>
              </w:rPr>
              <w:t xml:space="preserve"> 3</w:t>
            </w:r>
            <w:r>
              <w:rPr>
                <w:rFonts w:ascii="Times New Roman" w:eastAsia="Times New Roman" w:hAnsi="Times New Roman"/>
                <w:b/>
                <w:i/>
                <w:iCs/>
                <w:sz w:val="20"/>
                <w:u w:val="single"/>
              </w:rPr>
              <w:t>1</w:t>
            </w:r>
            <w:r w:rsidRPr="00BB5ABD">
              <w:rPr>
                <w:rFonts w:ascii="Times New Roman" w:eastAsia="Times New Roman" w:hAnsi="Times New Roman"/>
                <w:b/>
                <w:i/>
                <w:iCs/>
                <w:sz w:val="20"/>
                <w:u w:val="single"/>
              </w:rPr>
              <w:t>, 201</w:t>
            </w:r>
            <w:r>
              <w:rPr>
                <w:rFonts w:ascii="Times New Roman" w:eastAsia="Times New Roman" w:hAnsi="Times New Roman"/>
                <w:b/>
                <w:i/>
                <w:iCs/>
                <w:sz w:val="20"/>
                <w:u w:val="single"/>
              </w:rPr>
              <w:t>2</w:t>
            </w:r>
          </w:p>
        </w:tc>
        <w:tc>
          <w:tcPr>
            <w:tcW w:w="1530" w:type="dxa"/>
            <w:tcBorders>
              <w:top w:val="nil"/>
            </w:tcBorders>
            <w:shd w:val="clear" w:color="auto" w:fill="auto"/>
            <w:vAlign w:val="bottom"/>
          </w:tcPr>
          <w:p w:rsidR="00774BD5" w:rsidRPr="00BB5ABD" w:rsidRDefault="00774BD5" w:rsidP="00A6232E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u w:val="single"/>
              </w:rPr>
            </w:pPr>
            <w:r w:rsidRPr="00BB5ABD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  </w:t>
            </w:r>
            <w:r w:rsidRPr="00BB5ABD">
              <w:rPr>
                <w:rFonts w:ascii="Times New Roman" w:eastAsia="Times New Roman" w:hAnsi="Times New Roman"/>
                <w:b/>
                <w:bCs/>
                <w:sz w:val="20"/>
                <w:u w:val="single"/>
              </w:rPr>
              <w:t>Consolidated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4BD5" w:rsidRPr="00BB5ABD" w:rsidRDefault="00774BD5" w:rsidP="00A6232E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u w:val="single"/>
              </w:rPr>
            </w:pPr>
            <w:r w:rsidRPr="00BB5ABD">
              <w:rPr>
                <w:rFonts w:ascii="Times New Roman" w:eastAsia="Times New Roman" w:hAnsi="Times New Roman"/>
                <w:b/>
                <w:bCs/>
                <w:sz w:val="20"/>
                <w:u w:val="single"/>
              </w:rPr>
              <w:t>FNT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4BD5" w:rsidRPr="00BB5ABD" w:rsidRDefault="00774BD5" w:rsidP="00A6232E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u w:val="single"/>
              </w:rPr>
            </w:pPr>
          </w:p>
          <w:p w:rsidR="00774BD5" w:rsidRPr="00BB5ABD" w:rsidRDefault="00774BD5" w:rsidP="00A6232E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BB5ABD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  Corporate</w:t>
            </w:r>
          </w:p>
          <w:p w:rsidR="00774BD5" w:rsidRPr="00BB5ABD" w:rsidRDefault="00774BD5" w:rsidP="00A6232E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u w:val="single"/>
              </w:rPr>
            </w:pPr>
            <w:r w:rsidRPr="00BB5ABD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  </w:t>
            </w:r>
            <w:r w:rsidRPr="00BB5ABD">
              <w:rPr>
                <w:rFonts w:ascii="Times New Roman" w:eastAsia="Times New Roman" w:hAnsi="Times New Roman"/>
                <w:b/>
                <w:bCs/>
                <w:sz w:val="20"/>
                <w:u w:val="single"/>
              </w:rPr>
              <w:t>and Other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774BD5" w:rsidRPr="00BB5ABD" w:rsidRDefault="00774BD5" w:rsidP="00A6232E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u w:val="single"/>
              </w:rPr>
            </w:pPr>
          </w:p>
        </w:tc>
      </w:tr>
      <w:tr w:rsidR="00774BD5" w:rsidRPr="00BB5ABD" w:rsidTr="00A6232E">
        <w:trPr>
          <w:trHeight w:val="240"/>
        </w:trPr>
        <w:tc>
          <w:tcPr>
            <w:tcW w:w="2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  <w:r w:rsidRPr="00BB5ABD">
              <w:rPr>
                <w:rFonts w:ascii="Times New Roman" w:eastAsia="Times New Roman" w:hAnsi="Times New Roman"/>
                <w:sz w:val="20"/>
              </w:rPr>
              <w:t>Gross operating revenue</w:t>
            </w:r>
          </w:p>
        </w:tc>
        <w:tc>
          <w:tcPr>
            <w:tcW w:w="153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74BD5" w:rsidRPr="00BB5ABD" w:rsidRDefault="00774BD5" w:rsidP="00060E5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BB5ABD">
              <w:rPr>
                <w:rFonts w:ascii="Times New Roman" w:eastAsia="Times New Roman" w:hAnsi="Times New Roman"/>
                <w:sz w:val="20"/>
              </w:rPr>
              <w:t>$</w:t>
            </w:r>
            <w:r w:rsidR="00CD2B1F">
              <w:rPr>
                <w:rFonts w:ascii="Times New Roman" w:eastAsia="Times New Roman" w:hAnsi="Times New Roman"/>
                <w:sz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</w:rPr>
              <w:t>,</w:t>
            </w:r>
            <w:r w:rsidR="00060E5E">
              <w:rPr>
                <w:rFonts w:ascii="Times New Roman" w:eastAsia="Times New Roman" w:hAnsi="Times New Roman"/>
                <w:sz w:val="20"/>
              </w:rPr>
              <w:t>149</w:t>
            </w:r>
            <w:r w:rsidR="00CD2B1F">
              <w:rPr>
                <w:rFonts w:ascii="Times New Roman" w:eastAsia="Times New Roman" w:hAnsi="Times New Roman"/>
                <w:sz w:val="20"/>
              </w:rPr>
              <w:t>.</w:t>
            </w:r>
            <w:r w:rsidR="00060E5E">
              <w:rPr>
                <w:rFonts w:ascii="Times New Roman" w:eastAsia="Times New Roman" w:hAnsi="Times New Roman"/>
                <w:sz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1B2DA4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BB5ABD">
              <w:rPr>
                <w:rFonts w:ascii="Times New Roman" w:eastAsia="Times New Roman" w:hAnsi="Times New Roman"/>
                <w:sz w:val="20"/>
              </w:rPr>
              <w:t>$</w:t>
            </w:r>
            <w:r>
              <w:rPr>
                <w:rFonts w:ascii="Times New Roman" w:eastAsia="Times New Roman" w:hAnsi="Times New Roman"/>
                <w:sz w:val="20"/>
              </w:rPr>
              <w:t>1,</w:t>
            </w:r>
            <w:r w:rsidR="00060E5E">
              <w:rPr>
                <w:rFonts w:ascii="Times New Roman" w:eastAsia="Times New Roman" w:hAnsi="Times New Roman"/>
                <w:sz w:val="20"/>
              </w:rPr>
              <w:t>13</w:t>
            </w:r>
            <w:r w:rsidR="001B2DA4">
              <w:rPr>
                <w:rFonts w:ascii="Times New Roman" w:eastAsia="Times New Roman" w:hAnsi="Times New Roman"/>
                <w:sz w:val="20"/>
              </w:rPr>
              <w:t>6.3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060E5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BB5ABD">
              <w:rPr>
                <w:rFonts w:ascii="Times New Roman" w:eastAsia="Times New Roman" w:hAnsi="Times New Roman"/>
                <w:sz w:val="20"/>
              </w:rPr>
              <w:t>$</w:t>
            </w:r>
            <w:r w:rsidR="00060E5E">
              <w:rPr>
                <w:rFonts w:ascii="Times New Roman" w:eastAsia="Times New Roman" w:hAnsi="Times New Roman"/>
                <w:sz w:val="20"/>
              </w:rPr>
              <w:t>13</w:t>
            </w:r>
            <w:r>
              <w:rPr>
                <w:rFonts w:ascii="Times New Roman" w:eastAsia="Times New Roman" w:hAnsi="Times New Roman"/>
                <w:sz w:val="20"/>
              </w:rPr>
              <w:t>.</w:t>
            </w:r>
            <w:r w:rsidR="00060E5E">
              <w:rPr>
                <w:rFonts w:ascii="Times New Roman" w:eastAsia="Times New Roman" w:hAnsi="Times New Roman"/>
                <w:sz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4BD5" w:rsidRPr="00BB5ABD" w:rsidRDefault="00774BD5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774BD5" w:rsidRPr="00BB5ABD" w:rsidTr="00A6232E">
        <w:trPr>
          <w:trHeight w:val="240"/>
        </w:trPr>
        <w:tc>
          <w:tcPr>
            <w:tcW w:w="2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774BD5" w:rsidRPr="00BB5ABD" w:rsidTr="00A6232E">
        <w:trPr>
          <w:trHeight w:val="240"/>
        </w:trPr>
        <w:tc>
          <w:tcPr>
            <w:tcW w:w="2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  <w:r w:rsidRPr="00BB5ABD">
              <w:rPr>
                <w:rFonts w:ascii="Times New Roman" w:eastAsia="Times New Roman" w:hAnsi="Times New Roman"/>
                <w:sz w:val="20"/>
              </w:rPr>
              <w:t>Interest and investment income</w:t>
            </w:r>
          </w:p>
        </w:tc>
        <w:tc>
          <w:tcPr>
            <w:tcW w:w="1530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74BD5" w:rsidRPr="00BB5ABD" w:rsidRDefault="00774BD5" w:rsidP="00060E5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</w:t>
            </w:r>
            <w:r w:rsidR="00060E5E">
              <w:rPr>
                <w:rFonts w:ascii="Times New Roman" w:eastAsia="Times New Roman" w:hAnsi="Times New Roman"/>
                <w:sz w:val="20"/>
              </w:rPr>
              <w:t>6</w:t>
            </w:r>
            <w:r>
              <w:rPr>
                <w:rFonts w:ascii="Times New Roman" w:eastAsia="Times New Roman" w:hAnsi="Times New Roman"/>
                <w:sz w:val="20"/>
              </w:rPr>
              <w:t>.</w:t>
            </w:r>
            <w:r w:rsidR="00060E5E">
              <w:rPr>
                <w:rFonts w:ascii="Times New Roman" w:eastAsia="Times New Roman" w:hAnsi="Times New Roman"/>
                <w:sz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060E5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</w:t>
            </w:r>
            <w:r w:rsidR="00060E5E">
              <w:rPr>
                <w:rFonts w:ascii="Times New Roman" w:eastAsia="Times New Roman" w:hAnsi="Times New Roman"/>
                <w:sz w:val="20"/>
              </w:rPr>
              <w:t>4</w:t>
            </w:r>
            <w:r>
              <w:rPr>
                <w:rFonts w:ascii="Times New Roman" w:eastAsia="Times New Roman" w:hAnsi="Times New Roman"/>
                <w:sz w:val="20"/>
              </w:rPr>
              <w:t>.</w:t>
            </w:r>
            <w:r w:rsidR="00060E5E">
              <w:rPr>
                <w:rFonts w:ascii="Times New Roman" w:eastAsia="Times New Roman" w:hAnsi="Times New Roman"/>
                <w:sz w:val="20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060E5E" w:rsidP="002C6C51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1.7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:rsidR="00774BD5" w:rsidRPr="00BB5ABD" w:rsidRDefault="00774BD5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774BD5" w:rsidRPr="00BB5ABD" w:rsidTr="00A6232E">
        <w:trPr>
          <w:trHeight w:val="240"/>
        </w:trPr>
        <w:tc>
          <w:tcPr>
            <w:tcW w:w="2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  <w:r w:rsidRPr="00BB5ABD">
              <w:rPr>
                <w:rFonts w:ascii="Times New Roman" w:eastAsia="Times New Roman" w:hAnsi="Times New Roman"/>
                <w:sz w:val="20"/>
              </w:rPr>
              <w:t>Realized gains and losses</w:t>
            </w:r>
          </w:p>
        </w:tc>
        <w:tc>
          <w:tcPr>
            <w:tcW w:w="1530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74BD5" w:rsidRPr="00BB5ABD" w:rsidRDefault="00AE0A83" w:rsidP="00AE0A83">
            <w:pPr>
              <w:jc w:val="right"/>
              <w:rPr>
                <w:rFonts w:ascii="Times New Roman" w:eastAsia="Times New Roman" w:hAnsi="Times New Roman"/>
                <w:sz w:val="20"/>
                <w:u w:val="single"/>
              </w:rPr>
            </w:pPr>
            <w:r>
              <w:rPr>
                <w:rFonts w:ascii="Times New Roman" w:eastAsia="Times New Roman" w:hAnsi="Times New Roman"/>
                <w:sz w:val="20"/>
                <w:u w:val="single"/>
              </w:rPr>
              <w:t>4</w:t>
            </w:r>
            <w:r w:rsidR="00774BD5">
              <w:rPr>
                <w:rFonts w:ascii="Times New Roman" w:eastAsia="Times New Roman" w:hAnsi="Times New Roman"/>
                <w:sz w:val="20"/>
                <w:u w:val="single"/>
              </w:rPr>
              <w:t>.</w:t>
            </w:r>
            <w:r>
              <w:rPr>
                <w:rFonts w:ascii="Times New Roman" w:eastAsia="Times New Roman" w:hAnsi="Times New Roman"/>
                <w:sz w:val="20"/>
                <w:u w:val="single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060E5E" w:rsidP="00AE0A83">
            <w:pPr>
              <w:jc w:val="right"/>
              <w:rPr>
                <w:rFonts w:ascii="Times New Roman" w:eastAsia="Times New Roman" w:hAnsi="Times New Roman"/>
                <w:sz w:val="20"/>
                <w:u w:val="single"/>
              </w:rPr>
            </w:pPr>
            <w:r>
              <w:rPr>
                <w:rFonts w:ascii="Times New Roman" w:eastAsia="Times New Roman" w:hAnsi="Times New Roman"/>
                <w:sz w:val="20"/>
                <w:u w:val="single"/>
              </w:rPr>
              <w:t>4.0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060E5E" w:rsidP="002C6C51">
            <w:pPr>
              <w:jc w:val="right"/>
              <w:rPr>
                <w:rFonts w:ascii="Times New Roman" w:eastAsia="Times New Roman" w:hAnsi="Times New Roman"/>
                <w:sz w:val="20"/>
                <w:u w:val="single"/>
              </w:rPr>
            </w:pPr>
            <w:r>
              <w:rPr>
                <w:rFonts w:ascii="Times New Roman" w:eastAsia="Times New Roman" w:hAnsi="Times New Roman"/>
                <w:sz w:val="20"/>
                <w:u w:val="single"/>
              </w:rPr>
              <w:t>--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:rsidR="00774BD5" w:rsidRPr="00BB5ABD" w:rsidRDefault="00774BD5" w:rsidP="00A6232E">
            <w:pPr>
              <w:jc w:val="right"/>
              <w:rPr>
                <w:rFonts w:ascii="Times New Roman" w:eastAsia="Times New Roman" w:hAnsi="Times New Roman"/>
                <w:sz w:val="20"/>
                <w:u w:val="single"/>
              </w:rPr>
            </w:pPr>
          </w:p>
        </w:tc>
      </w:tr>
      <w:tr w:rsidR="00774BD5" w:rsidRPr="00BB5ABD" w:rsidTr="00A6232E">
        <w:trPr>
          <w:trHeight w:val="240"/>
        </w:trPr>
        <w:tc>
          <w:tcPr>
            <w:tcW w:w="2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  <w:r w:rsidRPr="00BB5ABD">
              <w:rPr>
                <w:rFonts w:ascii="Times New Roman" w:eastAsia="Times New Roman" w:hAnsi="Times New Roman"/>
                <w:sz w:val="20"/>
              </w:rPr>
              <w:t xml:space="preserve">  Total revenue</w:t>
            </w:r>
          </w:p>
        </w:tc>
        <w:tc>
          <w:tcPr>
            <w:tcW w:w="1530" w:type="dxa"/>
            <w:tcBorders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74BD5" w:rsidRPr="00BB5ABD" w:rsidRDefault="00774BD5" w:rsidP="001B2DA4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BB5ABD">
              <w:rPr>
                <w:rFonts w:ascii="Times New Roman" w:eastAsia="Times New Roman" w:hAnsi="Times New Roman"/>
                <w:sz w:val="20"/>
              </w:rPr>
              <w:t>1,</w:t>
            </w:r>
            <w:r w:rsidR="00AE0A83">
              <w:rPr>
                <w:rFonts w:ascii="Times New Roman" w:eastAsia="Times New Roman" w:hAnsi="Times New Roman"/>
                <w:sz w:val="20"/>
              </w:rPr>
              <w:t>1</w:t>
            </w:r>
            <w:r w:rsidR="001B2DA4">
              <w:rPr>
                <w:rFonts w:ascii="Times New Roman" w:eastAsia="Times New Roman" w:hAnsi="Times New Roman"/>
                <w:sz w:val="20"/>
              </w:rPr>
              <w:t>8</w:t>
            </w:r>
            <w:r w:rsidR="00060E5E">
              <w:rPr>
                <w:rFonts w:ascii="Times New Roman" w:eastAsia="Times New Roman" w:hAnsi="Times New Roman"/>
                <w:sz w:val="20"/>
              </w:rPr>
              <w:t>9</w:t>
            </w:r>
            <w:r w:rsidRPr="00BB5ABD">
              <w:rPr>
                <w:rFonts w:ascii="Times New Roman" w:eastAsia="Times New Roman" w:hAnsi="Times New Roman"/>
                <w:sz w:val="20"/>
              </w:rPr>
              <w:t>.</w:t>
            </w:r>
            <w:r w:rsidR="001B2DA4">
              <w:rPr>
                <w:rFonts w:ascii="Times New Roman" w:eastAsia="Times New Roman" w:hAnsi="Times New Roman"/>
                <w:sz w:val="20"/>
              </w:rPr>
              <w:t>9</w:t>
            </w:r>
          </w:p>
        </w:tc>
        <w:tc>
          <w:tcPr>
            <w:tcW w:w="1170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060E5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BB5ABD">
              <w:rPr>
                <w:rFonts w:ascii="Times New Roman" w:eastAsia="Times New Roman" w:hAnsi="Times New Roman"/>
                <w:sz w:val="20"/>
              </w:rPr>
              <w:t>1,</w:t>
            </w:r>
            <w:r w:rsidR="00AE0A83">
              <w:rPr>
                <w:rFonts w:ascii="Times New Roman" w:eastAsia="Times New Roman" w:hAnsi="Times New Roman"/>
                <w:sz w:val="20"/>
              </w:rPr>
              <w:t>1</w:t>
            </w:r>
            <w:r w:rsidR="00060E5E">
              <w:rPr>
                <w:rFonts w:ascii="Times New Roman" w:eastAsia="Times New Roman" w:hAnsi="Times New Roman"/>
                <w:sz w:val="20"/>
              </w:rPr>
              <w:t>75</w:t>
            </w:r>
            <w:r w:rsidRPr="00BB5ABD">
              <w:rPr>
                <w:rFonts w:ascii="Times New Roman" w:eastAsia="Times New Roman" w:hAnsi="Times New Roman"/>
                <w:sz w:val="20"/>
              </w:rPr>
              <w:t>.</w:t>
            </w:r>
            <w:r w:rsidR="00060E5E">
              <w:rPr>
                <w:rFonts w:ascii="Times New Roman" w:eastAsia="Times New Roman" w:hAnsi="Times New Roman"/>
                <w:sz w:val="20"/>
              </w:rPr>
              <w:t>0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060E5E" w:rsidP="002C6C51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14.9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vAlign w:val="bottom"/>
          </w:tcPr>
          <w:p w:rsidR="00774BD5" w:rsidRPr="00BB5ABD" w:rsidRDefault="00774BD5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774BD5" w:rsidRPr="00BB5ABD" w:rsidTr="00A6232E">
        <w:trPr>
          <w:trHeight w:val="240"/>
        </w:trPr>
        <w:tc>
          <w:tcPr>
            <w:tcW w:w="2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774BD5" w:rsidRPr="00BB5ABD" w:rsidTr="00A6232E">
        <w:trPr>
          <w:trHeight w:val="240"/>
        </w:trPr>
        <w:tc>
          <w:tcPr>
            <w:tcW w:w="2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  <w:r w:rsidRPr="00BB5ABD">
              <w:rPr>
                <w:rFonts w:ascii="Times New Roman" w:eastAsia="Times New Roman" w:hAnsi="Times New Roman"/>
                <w:sz w:val="20"/>
              </w:rPr>
              <w:t>Personnel costs</w:t>
            </w:r>
          </w:p>
        </w:tc>
        <w:tc>
          <w:tcPr>
            <w:tcW w:w="153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74BD5" w:rsidRPr="00BB5ABD" w:rsidRDefault="00774BD5" w:rsidP="00060E5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BB5ABD">
              <w:rPr>
                <w:rFonts w:ascii="Times New Roman" w:eastAsia="Times New Roman" w:hAnsi="Times New Roman"/>
                <w:sz w:val="20"/>
              </w:rPr>
              <w:t>40</w:t>
            </w:r>
            <w:r w:rsidR="00060E5E">
              <w:rPr>
                <w:rFonts w:ascii="Times New Roman" w:eastAsia="Times New Roman" w:hAnsi="Times New Roman"/>
                <w:sz w:val="20"/>
              </w:rPr>
              <w:t>7</w:t>
            </w:r>
            <w:r w:rsidRPr="00BB5ABD">
              <w:rPr>
                <w:rFonts w:ascii="Times New Roman" w:eastAsia="Times New Roman" w:hAnsi="Times New Roman"/>
                <w:sz w:val="20"/>
              </w:rPr>
              <w:t>.</w:t>
            </w:r>
            <w:r w:rsidR="00AE0A83">
              <w:rPr>
                <w:rFonts w:ascii="Times New Roman" w:eastAsia="Times New Roman" w:hAnsi="Times New Roman"/>
                <w:sz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060E5E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400.6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060E5E" w:rsidP="002C6C51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4BD5" w:rsidRPr="00BB5ABD" w:rsidRDefault="00774BD5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774BD5" w:rsidRPr="00BB5ABD" w:rsidTr="00A6232E">
        <w:trPr>
          <w:trHeight w:val="240"/>
        </w:trPr>
        <w:tc>
          <w:tcPr>
            <w:tcW w:w="2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  <w:r w:rsidRPr="00BB5ABD">
              <w:rPr>
                <w:rFonts w:ascii="Times New Roman" w:eastAsia="Times New Roman" w:hAnsi="Times New Roman"/>
                <w:sz w:val="20"/>
              </w:rPr>
              <w:t>Other operating expenses</w:t>
            </w:r>
          </w:p>
        </w:tc>
        <w:tc>
          <w:tcPr>
            <w:tcW w:w="153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74BD5" w:rsidRPr="00BB5ABD" w:rsidRDefault="00774BD5" w:rsidP="00060E5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</w:t>
            </w:r>
            <w:r w:rsidR="00060E5E">
              <w:rPr>
                <w:rFonts w:ascii="Times New Roman" w:eastAsia="Times New Roman" w:hAnsi="Times New Roman"/>
                <w:sz w:val="20"/>
              </w:rPr>
              <w:t>75</w:t>
            </w:r>
            <w:r>
              <w:rPr>
                <w:rFonts w:ascii="Times New Roman" w:eastAsia="Times New Roman" w:hAnsi="Times New Roman"/>
                <w:sz w:val="20"/>
              </w:rPr>
              <w:t>.</w:t>
            </w:r>
            <w:r w:rsidR="00060E5E">
              <w:rPr>
                <w:rFonts w:ascii="Times New Roman" w:eastAsia="Times New Roman" w:hAnsi="Times New Roman"/>
                <w:sz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0A83" w:rsidRPr="00BB5ABD" w:rsidRDefault="00060E5E" w:rsidP="00AE0A83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259.0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060E5E" w:rsidP="00060E5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16.2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4BD5" w:rsidRPr="00BB5ABD" w:rsidRDefault="00774BD5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774BD5" w:rsidRPr="00BB5ABD" w:rsidTr="00A6232E">
        <w:trPr>
          <w:trHeight w:val="240"/>
        </w:trPr>
        <w:tc>
          <w:tcPr>
            <w:tcW w:w="2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  <w:r w:rsidRPr="00BB5ABD">
              <w:rPr>
                <w:rFonts w:ascii="Times New Roman" w:eastAsia="Times New Roman" w:hAnsi="Times New Roman"/>
                <w:sz w:val="20"/>
              </w:rPr>
              <w:t>Agent commissions</w:t>
            </w:r>
          </w:p>
        </w:tc>
        <w:tc>
          <w:tcPr>
            <w:tcW w:w="153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74BD5" w:rsidRPr="00BB5ABD" w:rsidRDefault="00060E5E" w:rsidP="00AE0A83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315.6</w:t>
            </w: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060E5E" w:rsidP="00AE0A83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315.6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BB5ABD">
              <w:rPr>
                <w:rFonts w:ascii="Times New Roman" w:eastAsia="Times New Roman" w:hAnsi="Times New Roman"/>
                <w:sz w:val="20"/>
              </w:rPr>
              <w:t>--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4BD5" w:rsidRPr="00BB5ABD" w:rsidRDefault="00774BD5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774BD5" w:rsidRPr="00BB5ABD" w:rsidTr="00A6232E">
        <w:trPr>
          <w:trHeight w:val="240"/>
        </w:trPr>
        <w:tc>
          <w:tcPr>
            <w:tcW w:w="2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  <w:r w:rsidRPr="00BB5ABD">
              <w:rPr>
                <w:rFonts w:ascii="Times New Roman" w:eastAsia="Times New Roman" w:hAnsi="Times New Roman"/>
                <w:sz w:val="20"/>
              </w:rPr>
              <w:t>Depreciation and amortization</w:t>
            </w:r>
          </w:p>
        </w:tc>
        <w:tc>
          <w:tcPr>
            <w:tcW w:w="153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74BD5" w:rsidRPr="00BB5ABD" w:rsidRDefault="00774BD5" w:rsidP="00060E5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</w:t>
            </w:r>
            <w:r w:rsidR="00060E5E">
              <w:rPr>
                <w:rFonts w:ascii="Times New Roman" w:eastAsia="Times New Roman" w:hAnsi="Times New Roman"/>
                <w:sz w:val="20"/>
              </w:rPr>
              <w:t>7</w:t>
            </w:r>
            <w:r>
              <w:rPr>
                <w:rFonts w:ascii="Times New Roman" w:eastAsia="Times New Roman" w:hAnsi="Times New Roman"/>
                <w:sz w:val="20"/>
              </w:rPr>
              <w:t>.</w:t>
            </w:r>
            <w:r w:rsidR="00060E5E">
              <w:rPr>
                <w:rFonts w:ascii="Times New Roman" w:eastAsia="Times New Roman" w:hAnsi="Times New Roman"/>
                <w:sz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060E5E" w:rsidP="00AE0A83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16.3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060E5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BB5ABD">
              <w:rPr>
                <w:rFonts w:ascii="Times New Roman" w:eastAsia="Times New Roman" w:hAnsi="Times New Roman"/>
                <w:sz w:val="20"/>
              </w:rPr>
              <w:t>0.</w:t>
            </w:r>
            <w:r w:rsidR="00060E5E">
              <w:rPr>
                <w:rFonts w:ascii="Times New Roman" w:eastAsia="Times New Roman" w:hAnsi="Times New Roman"/>
                <w:sz w:val="2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4BD5" w:rsidRPr="00BB5ABD" w:rsidRDefault="00774BD5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774BD5" w:rsidRPr="00BB5ABD" w:rsidTr="00A6232E">
        <w:trPr>
          <w:trHeight w:val="240"/>
        </w:trPr>
        <w:tc>
          <w:tcPr>
            <w:tcW w:w="2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Title c</w:t>
            </w:r>
            <w:r w:rsidRPr="00BB5ABD">
              <w:rPr>
                <w:rFonts w:ascii="Times New Roman" w:eastAsia="Times New Roman" w:hAnsi="Times New Roman"/>
                <w:sz w:val="20"/>
              </w:rPr>
              <w:t>laim loss expense</w:t>
            </w:r>
          </w:p>
        </w:tc>
        <w:tc>
          <w:tcPr>
            <w:tcW w:w="1530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74BD5" w:rsidRPr="00BB5ABD" w:rsidRDefault="00774BD5" w:rsidP="00AE0A83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</w:t>
            </w:r>
            <w:r w:rsidR="00AE0A83">
              <w:rPr>
                <w:rFonts w:ascii="Times New Roman" w:eastAsia="Times New Roman" w:hAnsi="Times New Roman"/>
                <w:sz w:val="20"/>
              </w:rPr>
              <w:t>3</w:t>
            </w:r>
            <w:r>
              <w:rPr>
                <w:rFonts w:ascii="Times New Roman" w:eastAsia="Times New Roman" w:hAnsi="Times New Roman"/>
                <w:sz w:val="20"/>
              </w:rPr>
              <w:t>.</w:t>
            </w:r>
            <w:r w:rsidR="00AE0A83">
              <w:rPr>
                <w:rFonts w:ascii="Times New Roman" w:eastAsia="Times New Roman" w:hAnsi="Times New Roman"/>
                <w:sz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060E5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</w:t>
            </w:r>
            <w:r w:rsidR="00060E5E">
              <w:rPr>
                <w:rFonts w:ascii="Times New Roman" w:eastAsia="Times New Roman" w:hAnsi="Times New Roman"/>
                <w:sz w:val="20"/>
              </w:rPr>
              <w:t>3</w:t>
            </w:r>
            <w:r>
              <w:rPr>
                <w:rFonts w:ascii="Times New Roman" w:eastAsia="Times New Roman" w:hAnsi="Times New Roman"/>
                <w:sz w:val="20"/>
              </w:rPr>
              <w:t>.</w:t>
            </w:r>
            <w:r w:rsidR="00AE0A83">
              <w:rPr>
                <w:rFonts w:ascii="Times New Roman" w:eastAsia="Times New Roman" w:hAnsi="Times New Roman"/>
                <w:sz w:val="20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--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:rsidR="00774BD5" w:rsidRPr="00BB5ABD" w:rsidRDefault="00774BD5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774BD5" w:rsidRPr="00BB5ABD" w:rsidTr="00A6232E">
        <w:trPr>
          <w:trHeight w:val="240"/>
        </w:trPr>
        <w:tc>
          <w:tcPr>
            <w:tcW w:w="2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  <w:r w:rsidRPr="00BB5ABD">
              <w:rPr>
                <w:rFonts w:ascii="Times New Roman" w:eastAsia="Times New Roman" w:hAnsi="Times New Roman"/>
                <w:sz w:val="20"/>
              </w:rPr>
              <w:t>Interest expense</w:t>
            </w:r>
          </w:p>
        </w:tc>
        <w:tc>
          <w:tcPr>
            <w:tcW w:w="1530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74BD5" w:rsidRPr="00BB5ABD" w:rsidRDefault="00060E5E" w:rsidP="00AE0A83">
            <w:pPr>
              <w:jc w:val="right"/>
              <w:rPr>
                <w:rFonts w:ascii="Times New Roman" w:eastAsia="Times New Roman" w:hAnsi="Times New Roman"/>
                <w:sz w:val="20"/>
                <w:u w:val="single"/>
              </w:rPr>
            </w:pPr>
            <w:r>
              <w:rPr>
                <w:rFonts w:ascii="Times New Roman" w:eastAsia="Times New Roman" w:hAnsi="Times New Roman"/>
                <w:sz w:val="20"/>
                <w:u w:val="single"/>
              </w:rPr>
              <w:t>15.1</w:t>
            </w:r>
          </w:p>
        </w:tc>
        <w:tc>
          <w:tcPr>
            <w:tcW w:w="117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060E5E">
            <w:pPr>
              <w:jc w:val="right"/>
              <w:rPr>
                <w:rFonts w:ascii="Times New Roman" w:eastAsia="Times New Roman" w:hAnsi="Times New Roman"/>
                <w:sz w:val="20"/>
                <w:u w:val="single"/>
              </w:rPr>
            </w:pPr>
            <w:r>
              <w:rPr>
                <w:rFonts w:ascii="Times New Roman" w:eastAsia="Times New Roman" w:hAnsi="Times New Roman"/>
                <w:sz w:val="20"/>
                <w:u w:val="single"/>
              </w:rPr>
              <w:t>0.</w:t>
            </w:r>
            <w:r w:rsidR="00060E5E">
              <w:rPr>
                <w:rFonts w:ascii="Times New Roman" w:eastAsia="Times New Roman" w:hAnsi="Times New Roman"/>
                <w:sz w:val="20"/>
                <w:u w:val="single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060E5E" w:rsidP="002C6C51">
            <w:pPr>
              <w:jc w:val="right"/>
              <w:rPr>
                <w:rFonts w:ascii="Times New Roman" w:eastAsia="Times New Roman" w:hAnsi="Times New Roman"/>
                <w:sz w:val="20"/>
                <w:u w:val="single"/>
              </w:rPr>
            </w:pPr>
            <w:r>
              <w:rPr>
                <w:rFonts w:ascii="Times New Roman" w:eastAsia="Times New Roman" w:hAnsi="Times New Roman"/>
                <w:sz w:val="20"/>
                <w:u w:val="single"/>
              </w:rPr>
              <w:t>14.9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:rsidR="00774BD5" w:rsidRPr="00BB5ABD" w:rsidRDefault="00774BD5" w:rsidP="00A6232E">
            <w:pPr>
              <w:jc w:val="right"/>
              <w:rPr>
                <w:rFonts w:ascii="Times New Roman" w:eastAsia="Times New Roman" w:hAnsi="Times New Roman"/>
                <w:sz w:val="20"/>
                <w:u w:val="single"/>
              </w:rPr>
            </w:pPr>
          </w:p>
        </w:tc>
      </w:tr>
      <w:tr w:rsidR="00774BD5" w:rsidRPr="00BB5ABD" w:rsidTr="00A6232E">
        <w:trPr>
          <w:trHeight w:val="240"/>
        </w:trPr>
        <w:tc>
          <w:tcPr>
            <w:tcW w:w="2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  <w:r w:rsidRPr="00BB5ABD">
              <w:rPr>
                <w:rFonts w:ascii="Times New Roman" w:eastAsia="Times New Roman" w:hAnsi="Times New Roman"/>
                <w:sz w:val="20"/>
              </w:rPr>
              <w:t xml:space="preserve">  Total expenses</w:t>
            </w:r>
          </w:p>
        </w:tc>
        <w:tc>
          <w:tcPr>
            <w:tcW w:w="1530" w:type="dxa"/>
            <w:tcBorders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74BD5" w:rsidRPr="00BB5ABD" w:rsidRDefault="00774BD5" w:rsidP="00060E5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BB5ABD">
              <w:rPr>
                <w:rFonts w:ascii="Times New Roman" w:eastAsia="Times New Roman" w:hAnsi="Times New Roman"/>
                <w:sz w:val="20"/>
              </w:rPr>
              <w:t>1,</w:t>
            </w:r>
            <w:r w:rsidR="00AE0A83">
              <w:rPr>
                <w:rFonts w:ascii="Times New Roman" w:eastAsia="Times New Roman" w:hAnsi="Times New Roman"/>
                <w:sz w:val="20"/>
              </w:rPr>
              <w:t>0</w:t>
            </w:r>
            <w:r w:rsidR="00060E5E">
              <w:rPr>
                <w:rFonts w:ascii="Times New Roman" w:eastAsia="Times New Roman" w:hAnsi="Times New Roman"/>
                <w:sz w:val="20"/>
              </w:rPr>
              <w:t>84</w:t>
            </w:r>
            <w:r w:rsidRPr="00BB5ABD">
              <w:rPr>
                <w:rFonts w:ascii="Times New Roman" w:eastAsia="Times New Roman" w:hAnsi="Times New Roman"/>
                <w:sz w:val="20"/>
              </w:rPr>
              <w:t>.</w:t>
            </w:r>
            <w:r w:rsidR="00060E5E">
              <w:rPr>
                <w:rFonts w:ascii="Times New Roman" w:eastAsia="Times New Roman" w:hAnsi="Times New Roman"/>
                <w:sz w:val="20"/>
              </w:rPr>
              <w:t>3</w:t>
            </w:r>
          </w:p>
        </w:tc>
        <w:tc>
          <w:tcPr>
            <w:tcW w:w="1170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060E5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BB5ABD">
              <w:rPr>
                <w:rFonts w:ascii="Times New Roman" w:eastAsia="Times New Roman" w:hAnsi="Times New Roman"/>
                <w:sz w:val="20"/>
              </w:rPr>
              <w:t>1,</w:t>
            </w:r>
            <w:r w:rsidR="002C6C51">
              <w:rPr>
                <w:rFonts w:ascii="Times New Roman" w:eastAsia="Times New Roman" w:hAnsi="Times New Roman"/>
                <w:sz w:val="20"/>
              </w:rPr>
              <w:t>0</w:t>
            </w:r>
            <w:r w:rsidR="00060E5E">
              <w:rPr>
                <w:rFonts w:ascii="Times New Roman" w:eastAsia="Times New Roman" w:hAnsi="Times New Roman"/>
                <w:sz w:val="20"/>
              </w:rPr>
              <w:t>4</w:t>
            </w:r>
            <w:r w:rsidR="002C6C51">
              <w:rPr>
                <w:rFonts w:ascii="Times New Roman" w:eastAsia="Times New Roman" w:hAnsi="Times New Roman"/>
                <w:sz w:val="20"/>
              </w:rPr>
              <w:t>5</w:t>
            </w:r>
            <w:r w:rsidR="00060E5E">
              <w:rPr>
                <w:rFonts w:ascii="Times New Roman" w:eastAsia="Times New Roman" w:hAnsi="Times New Roman"/>
                <w:sz w:val="20"/>
              </w:rPr>
              <w:t>.5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060E5E" w:rsidP="002C6C51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38.8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vAlign w:val="bottom"/>
          </w:tcPr>
          <w:p w:rsidR="00774BD5" w:rsidRPr="00BB5ABD" w:rsidRDefault="00774BD5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774BD5" w:rsidRPr="00BB5ABD" w:rsidTr="00A6232E">
        <w:trPr>
          <w:trHeight w:val="240"/>
        </w:trPr>
        <w:tc>
          <w:tcPr>
            <w:tcW w:w="2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774BD5" w:rsidRPr="00BB5ABD" w:rsidTr="00A6232E">
        <w:trPr>
          <w:trHeight w:val="240"/>
        </w:trPr>
        <w:tc>
          <w:tcPr>
            <w:tcW w:w="2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ind w:left="252" w:hanging="252"/>
              <w:rPr>
                <w:rFonts w:ascii="Times New Roman" w:eastAsia="Times New Roman" w:hAnsi="Times New Roman"/>
                <w:sz w:val="20"/>
              </w:rPr>
            </w:pPr>
            <w:r w:rsidRPr="00BB5ABD">
              <w:rPr>
                <w:rFonts w:ascii="Times New Roman" w:eastAsia="Times New Roman" w:hAnsi="Times New Roman"/>
                <w:sz w:val="20"/>
              </w:rPr>
              <w:t>Pre</w:t>
            </w:r>
            <w:r w:rsidR="001C4504">
              <w:rPr>
                <w:rFonts w:ascii="Times New Roman" w:eastAsia="Times New Roman" w:hAnsi="Times New Roman"/>
                <w:sz w:val="20"/>
              </w:rPr>
              <w:t>-</w:t>
            </w:r>
            <w:r w:rsidRPr="00BB5ABD">
              <w:rPr>
                <w:rFonts w:ascii="Times New Roman" w:eastAsia="Times New Roman" w:hAnsi="Times New Roman"/>
                <w:sz w:val="20"/>
              </w:rPr>
              <w:t>tax earnings from continuing operations</w:t>
            </w:r>
          </w:p>
        </w:tc>
        <w:tc>
          <w:tcPr>
            <w:tcW w:w="153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74BD5" w:rsidRPr="00BB5ABD" w:rsidRDefault="00774BD5" w:rsidP="00060E5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</w:t>
            </w:r>
            <w:r w:rsidR="00060E5E">
              <w:rPr>
                <w:rFonts w:ascii="Times New Roman" w:eastAsia="Times New Roman" w:hAnsi="Times New Roman"/>
                <w:sz w:val="20"/>
              </w:rPr>
              <w:t>05.6</w:t>
            </w: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060E5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</w:t>
            </w:r>
            <w:r w:rsidR="00060E5E">
              <w:rPr>
                <w:rFonts w:ascii="Times New Roman" w:eastAsia="Times New Roman" w:hAnsi="Times New Roman"/>
                <w:sz w:val="20"/>
              </w:rPr>
              <w:t>29</w:t>
            </w:r>
            <w:r>
              <w:rPr>
                <w:rFonts w:ascii="Times New Roman" w:eastAsia="Times New Roman" w:hAnsi="Times New Roman"/>
                <w:sz w:val="20"/>
              </w:rPr>
              <w:t>.</w:t>
            </w:r>
            <w:r w:rsidR="00060E5E">
              <w:rPr>
                <w:rFonts w:ascii="Times New Roman" w:eastAsia="Times New Roman" w:hAnsi="Times New Roman"/>
                <w:sz w:val="20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060E5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BB5ABD">
              <w:rPr>
                <w:rFonts w:ascii="Times New Roman" w:eastAsia="Times New Roman" w:hAnsi="Times New Roman"/>
                <w:sz w:val="20"/>
              </w:rPr>
              <w:t>(</w:t>
            </w:r>
            <w:r w:rsidR="00060E5E">
              <w:rPr>
                <w:rFonts w:ascii="Times New Roman" w:eastAsia="Times New Roman" w:hAnsi="Times New Roman"/>
                <w:sz w:val="20"/>
              </w:rPr>
              <w:t>23</w:t>
            </w:r>
            <w:r>
              <w:rPr>
                <w:rFonts w:ascii="Times New Roman" w:eastAsia="Times New Roman" w:hAnsi="Times New Roman"/>
                <w:sz w:val="20"/>
              </w:rPr>
              <w:t>.</w:t>
            </w:r>
            <w:r w:rsidR="00060E5E">
              <w:rPr>
                <w:rFonts w:ascii="Times New Roman" w:eastAsia="Times New Roman" w:hAnsi="Times New Roman"/>
                <w:sz w:val="20"/>
              </w:rPr>
              <w:t>9</w:t>
            </w:r>
            <w:r w:rsidRPr="00BB5ABD">
              <w:rPr>
                <w:rFonts w:ascii="Times New Roman" w:eastAsia="Times New Roman" w:hAnsi="Times New Roman"/>
                <w:sz w:val="20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4BD5" w:rsidRPr="00BB5ABD" w:rsidRDefault="00774BD5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774BD5" w:rsidRPr="00BB5ABD" w:rsidTr="00A6232E">
        <w:trPr>
          <w:trHeight w:val="240"/>
        </w:trPr>
        <w:tc>
          <w:tcPr>
            <w:tcW w:w="2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774BD5" w:rsidRPr="00BB5ABD" w:rsidTr="00A6232E">
        <w:trPr>
          <w:trHeight w:val="240"/>
        </w:trPr>
        <w:tc>
          <w:tcPr>
            <w:tcW w:w="2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  <w:r w:rsidRPr="00BB5ABD">
              <w:rPr>
                <w:rFonts w:ascii="Times New Roman" w:eastAsia="Times New Roman" w:hAnsi="Times New Roman"/>
                <w:sz w:val="20"/>
              </w:rPr>
              <w:t>Pre</w:t>
            </w:r>
            <w:r w:rsidR="001C4504">
              <w:rPr>
                <w:rFonts w:ascii="Times New Roman" w:eastAsia="Times New Roman" w:hAnsi="Times New Roman"/>
                <w:sz w:val="20"/>
              </w:rPr>
              <w:t>-</w:t>
            </w:r>
            <w:r w:rsidRPr="00BB5ABD">
              <w:rPr>
                <w:rFonts w:ascii="Times New Roman" w:eastAsia="Times New Roman" w:hAnsi="Times New Roman"/>
                <w:sz w:val="20"/>
              </w:rPr>
              <w:t>tax margin</w:t>
            </w:r>
          </w:p>
        </w:tc>
        <w:tc>
          <w:tcPr>
            <w:tcW w:w="153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74BD5" w:rsidRPr="00BB5ABD" w:rsidRDefault="00060E5E" w:rsidP="00060E5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</w:t>
            </w:r>
            <w:r w:rsidR="00774BD5"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9</w:t>
            </w:r>
            <w:r w:rsidR="00774BD5" w:rsidRPr="00BB5ABD">
              <w:rPr>
                <w:rFonts w:ascii="Times New Roman" w:eastAsia="Times New Roman" w:hAnsi="Times New Roman"/>
                <w:sz w:val="20"/>
              </w:rPr>
              <w:t>%</w:t>
            </w: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060E5E" w:rsidP="00060E5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11</w:t>
            </w:r>
            <w:r w:rsidR="00774BD5" w:rsidRPr="00BB5ABD"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0</w:t>
            </w:r>
            <w:r w:rsidR="00774BD5" w:rsidRPr="00BB5ABD">
              <w:rPr>
                <w:rFonts w:ascii="Times New Roman" w:eastAsia="Times New Roman" w:hAnsi="Times New Roman"/>
                <w:sz w:val="20"/>
              </w:rPr>
              <w:t>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BB5ABD">
              <w:rPr>
                <w:rFonts w:ascii="Times New Roman" w:eastAsia="Times New Roman" w:hAnsi="Times New Roman"/>
                <w:sz w:val="20"/>
              </w:rPr>
              <w:t>--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4BD5" w:rsidRPr="00BB5ABD" w:rsidRDefault="00774BD5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C6C51" w:rsidRPr="00BB5ABD" w:rsidTr="00A6232E">
        <w:trPr>
          <w:trHeight w:val="240"/>
        </w:trPr>
        <w:tc>
          <w:tcPr>
            <w:tcW w:w="2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C6C51" w:rsidRPr="00BB5ABD" w:rsidRDefault="002C6C51" w:rsidP="00A6232E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Pre</w:t>
            </w:r>
            <w:r w:rsidR="001C4504">
              <w:rPr>
                <w:rFonts w:ascii="Times New Roman" w:eastAsia="Times New Roman" w:hAnsi="Times New Roman"/>
                <w:sz w:val="20"/>
              </w:rPr>
              <w:t>-</w:t>
            </w:r>
            <w:r>
              <w:rPr>
                <w:rFonts w:ascii="Times New Roman" w:eastAsia="Times New Roman" w:hAnsi="Times New Roman"/>
                <w:sz w:val="20"/>
              </w:rPr>
              <w:t>tax margin, excluding realized gains</w:t>
            </w:r>
          </w:p>
        </w:tc>
        <w:tc>
          <w:tcPr>
            <w:tcW w:w="153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C6C51" w:rsidRDefault="00060E5E" w:rsidP="00060E5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</w:t>
            </w:r>
            <w:r w:rsidR="002C6C51"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6</w:t>
            </w:r>
            <w:r w:rsidR="002C6C51">
              <w:rPr>
                <w:rFonts w:ascii="Times New Roman" w:eastAsia="Times New Roman" w:hAnsi="Times New Roman"/>
                <w:sz w:val="20"/>
              </w:rPr>
              <w:t>%</w:t>
            </w: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6C51" w:rsidRDefault="00060E5E" w:rsidP="00060E5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</w:t>
            </w:r>
            <w:r w:rsidR="002C6C51"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7</w:t>
            </w:r>
            <w:r w:rsidR="002C6C51">
              <w:rPr>
                <w:rFonts w:ascii="Times New Roman" w:eastAsia="Times New Roman" w:hAnsi="Times New Roman"/>
                <w:sz w:val="20"/>
              </w:rPr>
              <w:t>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C6C51" w:rsidRDefault="002C6C51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  <w:p w:rsidR="002C6C51" w:rsidRPr="00BB5ABD" w:rsidRDefault="002C6C51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--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C6C51" w:rsidRPr="00BB5ABD" w:rsidRDefault="002C6C51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C6C51" w:rsidRPr="00BB5ABD" w:rsidTr="00A6232E">
        <w:trPr>
          <w:trHeight w:val="240"/>
        </w:trPr>
        <w:tc>
          <w:tcPr>
            <w:tcW w:w="2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C6C51" w:rsidRPr="00BB5ABD" w:rsidRDefault="002C6C51" w:rsidP="00A6232E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C6C51" w:rsidRDefault="002C6C51" w:rsidP="00AE0A83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6C51" w:rsidRDefault="002C6C51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C6C51" w:rsidRPr="00BB5ABD" w:rsidRDefault="002C6C51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C6C51" w:rsidRPr="00BB5ABD" w:rsidRDefault="002C6C51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774BD5" w:rsidRPr="00BB5ABD" w:rsidTr="00A6232E">
        <w:trPr>
          <w:trHeight w:val="240"/>
        </w:trPr>
        <w:tc>
          <w:tcPr>
            <w:tcW w:w="2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  <w:r w:rsidRPr="00BB5ABD">
              <w:rPr>
                <w:rFonts w:ascii="Times New Roman" w:eastAsia="Times New Roman" w:hAnsi="Times New Roman"/>
                <w:sz w:val="20"/>
              </w:rPr>
              <w:t>Open orders</w:t>
            </w:r>
          </w:p>
        </w:tc>
        <w:tc>
          <w:tcPr>
            <w:tcW w:w="153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74BD5" w:rsidRPr="00BB5ABD" w:rsidRDefault="00AE0A83" w:rsidP="00AE0A83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651</w:t>
            </w:r>
            <w:r w:rsidR="00774BD5"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AE0A83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651.1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74BD5" w:rsidRPr="00BB5ABD" w:rsidRDefault="00774BD5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BB5ABD">
              <w:rPr>
                <w:rFonts w:ascii="Times New Roman" w:eastAsia="Times New Roman" w:hAnsi="Times New Roman"/>
                <w:sz w:val="20"/>
              </w:rPr>
              <w:t>--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774BD5" w:rsidRPr="00BB5ABD" w:rsidRDefault="00774BD5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774BD5" w:rsidRPr="00BB5ABD" w:rsidTr="00A6232E">
        <w:trPr>
          <w:trHeight w:val="240"/>
        </w:trPr>
        <w:tc>
          <w:tcPr>
            <w:tcW w:w="2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  <w:r w:rsidRPr="00BB5ABD">
              <w:rPr>
                <w:rFonts w:ascii="Times New Roman" w:eastAsia="Times New Roman" w:hAnsi="Times New Roman"/>
                <w:sz w:val="20"/>
              </w:rPr>
              <w:t>Closed orders</w:t>
            </w:r>
          </w:p>
        </w:tc>
        <w:tc>
          <w:tcPr>
            <w:tcW w:w="153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74BD5" w:rsidRPr="00BB5ABD" w:rsidRDefault="00774BD5" w:rsidP="00AE0A83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</w:t>
            </w:r>
            <w:r w:rsidR="00AE0A83">
              <w:rPr>
                <w:rFonts w:ascii="Times New Roman" w:eastAsia="Times New Roman" w:hAnsi="Times New Roman"/>
                <w:sz w:val="20"/>
              </w:rPr>
              <w:t>09</w:t>
            </w:r>
            <w:r>
              <w:rPr>
                <w:rFonts w:ascii="Times New Roman" w:eastAsia="Times New Roman" w:hAnsi="Times New Roman"/>
                <w:sz w:val="20"/>
              </w:rPr>
              <w:t>.</w:t>
            </w:r>
            <w:r w:rsidR="00AE0A83">
              <w:rPr>
                <w:rFonts w:ascii="Times New Roman" w:eastAsia="Times New Roman" w:hAnsi="Times New Roman"/>
                <w:sz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E0A83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</w:t>
            </w:r>
            <w:r w:rsidR="00AE0A83">
              <w:rPr>
                <w:rFonts w:ascii="Times New Roman" w:eastAsia="Times New Roman" w:hAnsi="Times New Roman"/>
                <w:sz w:val="20"/>
              </w:rPr>
              <w:t>09</w:t>
            </w:r>
            <w:r>
              <w:rPr>
                <w:rFonts w:ascii="Times New Roman" w:eastAsia="Times New Roman" w:hAnsi="Times New Roman"/>
                <w:sz w:val="20"/>
              </w:rPr>
              <w:t>.</w:t>
            </w:r>
            <w:r w:rsidR="00AE0A83">
              <w:rPr>
                <w:rFonts w:ascii="Times New Roman" w:eastAsia="Times New Roman" w:hAnsi="Times New Roman"/>
                <w:sz w:val="20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74BD5" w:rsidRPr="00BB5ABD" w:rsidRDefault="00774BD5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BB5ABD">
              <w:rPr>
                <w:rFonts w:ascii="Times New Roman" w:eastAsia="Times New Roman" w:hAnsi="Times New Roman"/>
                <w:sz w:val="20"/>
              </w:rPr>
              <w:t>--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774BD5" w:rsidRPr="00BB5ABD" w:rsidRDefault="00774BD5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774BD5" w:rsidRPr="00BB5ABD" w:rsidTr="00A6232E">
        <w:trPr>
          <w:trHeight w:val="6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BD5" w:rsidRDefault="00774BD5" w:rsidP="00A6232E">
            <w:pPr>
              <w:rPr>
                <w:rFonts w:ascii="Times New Roman" w:eastAsia="Times New Roman" w:hAnsi="Times New Roman"/>
                <w:i/>
                <w:iCs/>
                <w:sz w:val="20"/>
              </w:rPr>
            </w:pPr>
          </w:p>
          <w:p w:rsidR="00774BD5" w:rsidRPr="00BB5ABD" w:rsidRDefault="00774BD5" w:rsidP="00A6232E">
            <w:pPr>
              <w:rPr>
                <w:rFonts w:ascii="Times New Roman" w:eastAsia="Times New Roman" w:hAnsi="Times New Roman"/>
                <w:i/>
                <w:iCs/>
                <w:sz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774BD5" w:rsidRPr="00BB5ABD" w:rsidRDefault="00774BD5" w:rsidP="00A6232E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B5ABD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4BD5" w:rsidRPr="00BB5ABD" w:rsidRDefault="00774BD5" w:rsidP="00A6232E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4BD5" w:rsidRPr="00BB5ABD" w:rsidRDefault="00774BD5" w:rsidP="00A6232E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774BD5" w:rsidRPr="00BB5ABD" w:rsidRDefault="00774BD5" w:rsidP="00A6232E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</w:tr>
      <w:tr w:rsidR="00774BD5" w:rsidRPr="00BB5ABD" w:rsidTr="00A6232E">
        <w:trPr>
          <w:trHeight w:val="495"/>
        </w:trPr>
        <w:tc>
          <w:tcPr>
            <w:tcW w:w="279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b/>
                <w:i/>
                <w:iCs/>
                <w:sz w:val="20"/>
              </w:rPr>
            </w:pPr>
            <w:r w:rsidRPr="00BB5ABD">
              <w:rPr>
                <w:rFonts w:ascii="Times New Roman" w:eastAsia="Times New Roman" w:hAnsi="Times New Roman"/>
                <w:b/>
                <w:i/>
                <w:iCs/>
                <w:sz w:val="20"/>
              </w:rPr>
              <w:t>T</w:t>
            </w:r>
            <w:r>
              <w:rPr>
                <w:rFonts w:ascii="Times New Roman" w:eastAsia="Times New Roman" w:hAnsi="Times New Roman"/>
                <w:b/>
                <w:i/>
                <w:iCs/>
                <w:sz w:val="20"/>
              </w:rPr>
              <w:t xml:space="preserve">hree </w:t>
            </w:r>
            <w:r w:rsidRPr="00BB5ABD">
              <w:rPr>
                <w:rFonts w:ascii="Times New Roman" w:eastAsia="Times New Roman" w:hAnsi="Times New Roman"/>
                <w:b/>
                <w:i/>
                <w:iCs/>
                <w:sz w:val="20"/>
              </w:rPr>
              <w:t xml:space="preserve">Months Ended   </w:t>
            </w:r>
          </w:p>
          <w:p w:rsidR="00774BD5" w:rsidRPr="00BB5ABD" w:rsidRDefault="00774BD5" w:rsidP="00774BD5">
            <w:pPr>
              <w:rPr>
                <w:rFonts w:ascii="Times New Roman" w:eastAsia="Times New Roman" w:hAnsi="Times New Roman"/>
                <w:i/>
                <w:iCs/>
                <w:sz w:val="20"/>
                <w:u w:val="single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0"/>
                <w:u w:val="single"/>
              </w:rPr>
              <w:t>March</w:t>
            </w:r>
            <w:r w:rsidRPr="00BB5ABD">
              <w:rPr>
                <w:rFonts w:ascii="Times New Roman" w:eastAsia="Times New Roman" w:hAnsi="Times New Roman"/>
                <w:b/>
                <w:i/>
                <w:iCs/>
                <w:sz w:val="20"/>
                <w:u w:val="single"/>
              </w:rPr>
              <w:t xml:space="preserve"> 3</w:t>
            </w:r>
            <w:r>
              <w:rPr>
                <w:rFonts w:ascii="Times New Roman" w:eastAsia="Times New Roman" w:hAnsi="Times New Roman"/>
                <w:b/>
                <w:i/>
                <w:iCs/>
                <w:sz w:val="20"/>
                <w:u w:val="single"/>
              </w:rPr>
              <w:t>1</w:t>
            </w:r>
            <w:r w:rsidRPr="00BB5ABD">
              <w:rPr>
                <w:rFonts w:ascii="Times New Roman" w:eastAsia="Times New Roman" w:hAnsi="Times New Roman"/>
                <w:b/>
                <w:i/>
                <w:iCs/>
                <w:sz w:val="20"/>
                <w:u w:val="single"/>
              </w:rPr>
              <w:t>, 20</w:t>
            </w:r>
            <w:r>
              <w:rPr>
                <w:rFonts w:ascii="Times New Roman" w:eastAsia="Times New Roman" w:hAnsi="Times New Roman"/>
                <w:b/>
                <w:i/>
                <w:iCs/>
                <w:sz w:val="20"/>
                <w:u w:val="single"/>
              </w:rPr>
              <w:t>11</w:t>
            </w:r>
          </w:p>
        </w:tc>
        <w:tc>
          <w:tcPr>
            <w:tcW w:w="1530" w:type="dxa"/>
            <w:tcBorders>
              <w:top w:val="nil"/>
            </w:tcBorders>
            <w:shd w:val="clear" w:color="auto" w:fill="auto"/>
            <w:vAlign w:val="bottom"/>
          </w:tcPr>
          <w:p w:rsidR="00774BD5" w:rsidRPr="00BB5ABD" w:rsidRDefault="00774BD5" w:rsidP="00A6232E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u w:val="single"/>
              </w:rPr>
            </w:pPr>
            <w:r w:rsidRPr="00BB5ABD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  </w:t>
            </w:r>
            <w:r w:rsidRPr="00BB5ABD">
              <w:rPr>
                <w:rFonts w:ascii="Times New Roman" w:eastAsia="Times New Roman" w:hAnsi="Times New Roman"/>
                <w:b/>
                <w:bCs/>
                <w:sz w:val="20"/>
                <w:u w:val="single"/>
              </w:rPr>
              <w:t>Consolidated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4BD5" w:rsidRPr="00BB5ABD" w:rsidRDefault="00774BD5" w:rsidP="00A6232E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u w:val="single"/>
              </w:rPr>
            </w:pPr>
            <w:r w:rsidRPr="00BB5ABD">
              <w:rPr>
                <w:rFonts w:ascii="Times New Roman" w:eastAsia="Times New Roman" w:hAnsi="Times New Roman"/>
                <w:b/>
                <w:bCs/>
                <w:sz w:val="20"/>
                <w:u w:val="single"/>
              </w:rPr>
              <w:t>FNT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4BD5" w:rsidRPr="00BB5ABD" w:rsidRDefault="00774BD5" w:rsidP="00A6232E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u w:val="single"/>
              </w:rPr>
            </w:pPr>
          </w:p>
          <w:p w:rsidR="00774BD5" w:rsidRPr="00BB5ABD" w:rsidRDefault="00774BD5" w:rsidP="00A6232E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BB5ABD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  Corporate</w:t>
            </w:r>
          </w:p>
          <w:p w:rsidR="00774BD5" w:rsidRPr="00BB5ABD" w:rsidRDefault="00774BD5" w:rsidP="00A6232E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u w:val="single"/>
              </w:rPr>
            </w:pPr>
            <w:r w:rsidRPr="00BB5ABD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  </w:t>
            </w:r>
            <w:r w:rsidRPr="00BB5ABD">
              <w:rPr>
                <w:rFonts w:ascii="Times New Roman" w:eastAsia="Times New Roman" w:hAnsi="Times New Roman"/>
                <w:b/>
                <w:bCs/>
                <w:sz w:val="20"/>
                <w:u w:val="single"/>
              </w:rPr>
              <w:t>and Other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774BD5" w:rsidRPr="00BB5ABD" w:rsidRDefault="00774BD5" w:rsidP="00A6232E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u w:val="single"/>
              </w:rPr>
            </w:pPr>
          </w:p>
        </w:tc>
      </w:tr>
      <w:tr w:rsidR="00774BD5" w:rsidRPr="00BB5ABD" w:rsidTr="00A6232E">
        <w:trPr>
          <w:trHeight w:val="240"/>
        </w:trPr>
        <w:tc>
          <w:tcPr>
            <w:tcW w:w="2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  <w:r w:rsidRPr="00BB5ABD">
              <w:rPr>
                <w:rFonts w:ascii="Times New Roman" w:eastAsia="Times New Roman" w:hAnsi="Times New Roman"/>
                <w:sz w:val="20"/>
              </w:rPr>
              <w:t>Gross operating revenue</w:t>
            </w:r>
          </w:p>
        </w:tc>
        <w:tc>
          <w:tcPr>
            <w:tcW w:w="153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74BD5" w:rsidRPr="00BB5ABD" w:rsidRDefault="00774BD5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BB5ABD">
              <w:rPr>
                <w:rFonts w:ascii="Times New Roman" w:eastAsia="Times New Roman" w:hAnsi="Times New Roman"/>
                <w:sz w:val="20"/>
              </w:rPr>
              <w:t>$</w:t>
            </w:r>
            <w:r>
              <w:rPr>
                <w:rFonts w:ascii="Times New Roman" w:eastAsia="Times New Roman" w:hAnsi="Times New Roman"/>
                <w:sz w:val="20"/>
              </w:rPr>
              <w:t>1</w:t>
            </w:r>
            <w:r w:rsidRPr="00BB5ABD">
              <w:rPr>
                <w:rFonts w:ascii="Times New Roman" w:eastAsia="Times New Roman" w:hAnsi="Times New Roman"/>
                <w:sz w:val="20"/>
              </w:rPr>
              <w:t>,</w:t>
            </w:r>
            <w:r w:rsidR="000F24EE">
              <w:rPr>
                <w:rFonts w:ascii="Times New Roman" w:eastAsia="Times New Roman" w:hAnsi="Times New Roman"/>
                <w:sz w:val="20"/>
              </w:rPr>
              <w:t>078</w:t>
            </w:r>
            <w:r w:rsidRPr="00BB5ABD">
              <w:rPr>
                <w:rFonts w:ascii="Times New Roman" w:eastAsia="Times New Roman" w:hAnsi="Times New Roman"/>
                <w:sz w:val="20"/>
              </w:rPr>
              <w:t>.</w:t>
            </w:r>
            <w:r w:rsidR="000F24EE">
              <w:rPr>
                <w:rFonts w:ascii="Times New Roman" w:eastAsia="Times New Roman" w:hAnsi="Times New Roman"/>
                <w:sz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BB5ABD">
              <w:rPr>
                <w:rFonts w:ascii="Times New Roman" w:eastAsia="Times New Roman" w:hAnsi="Times New Roman"/>
                <w:sz w:val="20"/>
              </w:rPr>
              <w:t>$</w:t>
            </w:r>
            <w:r>
              <w:rPr>
                <w:rFonts w:ascii="Times New Roman" w:eastAsia="Times New Roman" w:hAnsi="Times New Roman"/>
                <w:sz w:val="20"/>
              </w:rPr>
              <w:t>1</w:t>
            </w:r>
            <w:r w:rsidRPr="00BB5ABD">
              <w:rPr>
                <w:rFonts w:ascii="Times New Roman" w:eastAsia="Times New Roman" w:hAnsi="Times New Roman"/>
                <w:sz w:val="20"/>
              </w:rPr>
              <w:t>,</w:t>
            </w:r>
            <w:r w:rsidR="000F24EE">
              <w:rPr>
                <w:rFonts w:ascii="Times New Roman" w:eastAsia="Times New Roman" w:hAnsi="Times New Roman"/>
                <w:sz w:val="20"/>
              </w:rPr>
              <w:t>070.2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B4507B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BB5ABD">
              <w:rPr>
                <w:rFonts w:ascii="Times New Roman" w:eastAsia="Times New Roman" w:hAnsi="Times New Roman"/>
                <w:sz w:val="20"/>
              </w:rPr>
              <w:t>$</w:t>
            </w:r>
            <w:r w:rsidR="00B4507B">
              <w:rPr>
                <w:rFonts w:ascii="Times New Roman" w:eastAsia="Times New Roman" w:hAnsi="Times New Roman"/>
                <w:sz w:val="20"/>
              </w:rPr>
              <w:t>8.5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4BD5" w:rsidRPr="00BB5ABD" w:rsidRDefault="00774BD5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774BD5" w:rsidRPr="00BB5ABD" w:rsidTr="00A6232E">
        <w:trPr>
          <w:trHeight w:val="240"/>
        </w:trPr>
        <w:tc>
          <w:tcPr>
            <w:tcW w:w="2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774BD5" w:rsidRPr="00BB5ABD" w:rsidTr="00A6232E">
        <w:trPr>
          <w:trHeight w:val="240"/>
        </w:trPr>
        <w:tc>
          <w:tcPr>
            <w:tcW w:w="2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  <w:r w:rsidRPr="00BB5ABD">
              <w:rPr>
                <w:rFonts w:ascii="Times New Roman" w:eastAsia="Times New Roman" w:hAnsi="Times New Roman"/>
                <w:sz w:val="20"/>
              </w:rPr>
              <w:t>Interest and investment income</w:t>
            </w:r>
          </w:p>
        </w:tc>
        <w:tc>
          <w:tcPr>
            <w:tcW w:w="1530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74BD5" w:rsidRPr="00BB5ABD" w:rsidRDefault="00774BD5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</w:t>
            </w:r>
            <w:r w:rsidR="000F24EE">
              <w:rPr>
                <w:rFonts w:ascii="Times New Roman" w:eastAsia="Times New Roman" w:hAnsi="Times New Roman"/>
                <w:sz w:val="20"/>
              </w:rPr>
              <w:t>3</w:t>
            </w:r>
            <w:r>
              <w:rPr>
                <w:rFonts w:ascii="Times New Roman" w:eastAsia="Times New Roman" w:hAnsi="Times New Roman"/>
                <w:sz w:val="20"/>
              </w:rPr>
              <w:t>.</w:t>
            </w:r>
            <w:r w:rsidR="000F24EE">
              <w:rPr>
                <w:rFonts w:ascii="Times New Roman" w:eastAsia="Times New Roman" w:hAnsi="Times New Roman"/>
                <w:sz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</w:t>
            </w:r>
            <w:r w:rsidR="000F24EE">
              <w:rPr>
                <w:rFonts w:ascii="Times New Roman" w:eastAsia="Times New Roman" w:hAnsi="Times New Roman"/>
                <w:sz w:val="20"/>
              </w:rPr>
              <w:t>3</w:t>
            </w:r>
            <w:r>
              <w:rPr>
                <w:rFonts w:ascii="Times New Roman" w:eastAsia="Times New Roman" w:hAnsi="Times New Roman"/>
                <w:sz w:val="20"/>
              </w:rPr>
              <w:t>.</w:t>
            </w:r>
            <w:r w:rsidR="000F24EE">
              <w:rPr>
                <w:rFonts w:ascii="Times New Roman" w:eastAsia="Times New Roman" w:hAnsi="Times New Roman"/>
                <w:sz w:val="20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B4507B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0.1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:rsidR="00774BD5" w:rsidRPr="00BB5ABD" w:rsidRDefault="00774BD5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774BD5" w:rsidRPr="00BB5ABD" w:rsidTr="00A6232E">
        <w:trPr>
          <w:trHeight w:val="240"/>
        </w:trPr>
        <w:tc>
          <w:tcPr>
            <w:tcW w:w="2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  <w:r w:rsidRPr="00BB5ABD">
              <w:rPr>
                <w:rFonts w:ascii="Times New Roman" w:eastAsia="Times New Roman" w:hAnsi="Times New Roman"/>
                <w:sz w:val="20"/>
              </w:rPr>
              <w:t>Realized gains and losses</w:t>
            </w:r>
          </w:p>
        </w:tc>
        <w:tc>
          <w:tcPr>
            <w:tcW w:w="1530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74BD5" w:rsidRPr="00BB5ABD" w:rsidRDefault="000F24EE" w:rsidP="00A6232E">
            <w:pPr>
              <w:jc w:val="right"/>
              <w:rPr>
                <w:rFonts w:ascii="Times New Roman" w:eastAsia="Times New Roman" w:hAnsi="Times New Roman"/>
                <w:sz w:val="20"/>
                <w:u w:val="single"/>
              </w:rPr>
            </w:pPr>
            <w:r>
              <w:rPr>
                <w:rFonts w:ascii="Times New Roman" w:eastAsia="Times New Roman" w:hAnsi="Times New Roman"/>
                <w:sz w:val="20"/>
                <w:u w:val="single"/>
              </w:rPr>
              <w:t>19.5</w:t>
            </w:r>
          </w:p>
        </w:tc>
        <w:tc>
          <w:tcPr>
            <w:tcW w:w="117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0F24EE" w:rsidP="00A6232E">
            <w:pPr>
              <w:jc w:val="right"/>
              <w:rPr>
                <w:rFonts w:ascii="Times New Roman" w:eastAsia="Times New Roman" w:hAnsi="Times New Roman"/>
                <w:sz w:val="20"/>
                <w:u w:val="single"/>
              </w:rPr>
            </w:pPr>
            <w:r>
              <w:rPr>
                <w:rFonts w:ascii="Times New Roman" w:eastAsia="Times New Roman" w:hAnsi="Times New Roman"/>
                <w:sz w:val="20"/>
                <w:u w:val="single"/>
              </w:rPr>
              <w:t>18.4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B4507B" w:rsidP="00B4507B">
            <w:pPr>
              <w:jc w:val="right"/>
              <w:rPr>
                <w:rFonts w:ascii="Times New Roman" w:eastAsia="Times New Roman" w:hAnsi="Times New Roman"/>
                <w:sz w:val="20"/>
                <w:u w:val="single"/>
              </w:rPr>
            </w:pPr>
            <w:r>
              <w:rPr>
                <w:rFonts w:ascii="Times New Roman" w:eastAsia="Times New Roman" w:hAnsi="Times New Roman"/>
                <w:sz w:val="20"/>
                <w:u w:val="single"/>
              </w:rPr>
              <w:t>1.1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:rsidR="00774BD5" w:rsidRPr="00BB5ABD" w:rsidRDefault="00774BD5" w:rsidP="00A6232E">
            <w:pPr>
              <w:jc w:val="right"/>
              <w:rPr>
                <w:rFonts w:ascii="Times New Roman" w:eastAsia="Times New Roman" w:hAnsi="Times New Roman"/>
                <w:sz w:val="20"/>
                <w:u w:val="single"/>
              </w:rPr>
            </w:pPr>
          </w:p>
        </w:tc>
      </w:tr>
      <w:tr w:rsidR="00774BD5" w:rsidRPr="00BB5ABD" w:rsidTr="00A6232E">
        <w:trPr>
          <w:trHeight w:val="240"/>
        </w:trPr>
        <w:tc>
          <w:tcPr>
            <w:tcW w:w="2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  <w:r w:rsidRPr="00BB5ABD">
              <w:rPr>
                <w:rFonts w:ascii="Times New Roman" w:eastAsia="Times New Roman" w:hAnsi="Times New Roman"/>
                <w:sz w:val="20"/>
              </w:rPr>
              <w:t xml:space="preserve">  Total revenue</w:t>
            </w:r>
          </w:p>
        </w:tc>
        <w:tc>
          <w:tcPr>
            <w:tcW w:w="1530" w:type="dxa"/>
            <w:tcBorders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74BD5" w:rsidRPr="00BB5ABD" w:rsidRDefault="00774BD5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BB5ABD">
              <w:rPr>
                <w:rFonts w:ascii="Times New Roman" w:eastAsia="Times New Roman" w:hAnsi="Times New Roman"/>
                <w:sz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</w:rPr>
              <w:t>,</w:t>
            </w:r>
            <w:r w:rsidR="000F24EE">
              <w:rPr>
                <w:rFonts w:ascii="Times New Roman" w:eastAsia="Times New Roman" w:hAnsi="Times New Roman"/>
                <w:sz w:val="20"/>
              </w:rPr>
              <w:t>131.9</w:t>
            </w:r>
          </w:p>
        </w:tc>
        <w:tc>
          <w:tcPr>
            <w:tcW w:w="1170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1,</w:t>
            </w:r>
            <w:r w:rsidR="000F24EE">
              <w:rPr>
                <w:rFonts w:ascii="Times New Roman" w:eastAsia="Times New Roman" w:hAnsi="Times New Roman"/>
                <w:sz w:val="20"/>
              </w:rPr>
              <w:t>122.2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B4507B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9.7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vAlign w:val="bottom"/>
          </w:tcPr>
          <w:p w:rsidR="00774BD5" w:rsidRPr="00BB5ABD" w:rsidRDefault="00774BD5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774BD5" w:rsidRPr="00BB5ABD" w:rsidTr="00A6232E">
        <w:trPr>
          <w:trHeight w:val="240"/>
        </w:trPr>
        <w:tc>
          <w:tcPr>
            <w:tcW w:w="2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774BD5" w:rsidRPr="00BB5ABD" w:rsidTr="00A6232E">
        <w:trPr>
          <w:trHeight w:val="240"/>
        </w:trPr>
        <w:tc>
          <w:tcPr>
            <w:tcW w:w="2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  <w:r w:rsidRPr="00BB5ABD">
              <w:rPr>
                <w:rFonts w:ascii="Times New Roman" w:eastAsia="Times New Roman" w:hAnsi="Times New Roman"/>
                <w:sz w:val="20"/>
              </w:rPr>
              <w:t>Personnel costs</w:t>
            </w:r>
          </w:p>
        </w:tc>
        <w:tc>
          <w:tcPr>
            <w:tcW w:w="153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74BD5" w:rsidRPr="00BB5ABD" w:rsidRDefault="000F24EE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383.6</w:t>
            </w: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0F24EE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369.7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B4507B" w:rsidP="00B4507B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13.9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4BD5" w:rsidRPr="00BB5ABD" w:rsidRDefault="00774BD5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774BD5" w:rsidRPr="00BB5ABD" w:rsidTr="00A6232E">
        <w:trPr>
          <w:trHeight w:val="240"/>
        </w:trPr>
        <w:tc>
          <w:tcPr>
            <w:tcW w:w="2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  <w:r w:rsidRPr="00BB5ABD">
              <w:rPr>
                <w:rFonts w:ascii="Times New Roman" w:eastAsia="Times New Roman" w:hAnsi="Times New Roman"/>
                <w:sz w:val="20"/>
              </w:rPr>
              <w:t>Other operating expenses</w:t>
            </w:r>
          </w:p>
        </w:tc>
        <w:tc>
          <w:tcPr>
            <w:tcW w:w="153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74BD5" w:rsidRPr="00BB5ABD" w:rsidRDefault="000F24EE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258.7</w:t>
            </w: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0F24EE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247.9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B4507B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4BD5" w:rsidRPr="00BB5ABD" w:rsidRDefault="00774BD5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774BD5" w:rsidRPr="00BB5ABD" w:rsidTr="00A6232E">
        <w:trPr>
          <w:trHeight w:val="240"/>
        </w:trPr>
        <w:tc>
          <w:tcPr>
            <w:tcW w:w="2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  <w:r w:rsidRPr="00BB5ABD">
              <w:rPr>
                <w:rFonts w:ascii="Times New Roman" w:eastAsia="Times New Roman" w:hAnsi="Times New Roman"/>
                <w:sz w:val="20"/>
              </w:rPr>
              <w:t>Agent commissions</w:t>
            </w:r>
          </w:p>
        </w:tc>
        <w:tc>
          <w:tcPr>
            <w:tcW w:w="153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74BD5" w:rsidRPr="00BB5ABD" w:rsidRDefault="000F24EE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327.7</w:t>
            </w: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0F24EE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327.7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BB5ABD">
              <w:rPr>
                <w:rFonts w:ascii="Times New Roman" w:eastAsia="Times New Roman" w:hAnsi="Times New Roman"/>
                <w:sz w:val="20"/>
              </w:rPr>
              <w:t>--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4BD5" w:rsidRPr="00BB5ABD" w:rsidRDefault="00774BD5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774BD5" w:rsidRPr="00BB5ABD" w:rsidTr="00A6232E">
        <w:trPr>
          <w:trHeight w:val="240"/>
        </w:trPr>
        <w:tc>
          <w:tcPr>
            <w:tcW w:w="2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  <w:r w:rsidRPr="00BB5ABD">
              <w:rPr>
                <w:rFonts w:ascii="Times New Roman" w:eastAsia="Times New Roman" w:hAnsi="Times New Roman"/>
                <w:sz w:val="20"/>
              </w:rPr>
              <w:t>Depreciation and amortization</w:t>
            </w:r>
          </w:p>
        </w:tc>
        <w:tc>
          <w:tcPr>
            <w:tcW w:w="153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74BD5" w:rsidRPr="00BB5ABD" w:rsidRDefault="000F24EE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19.7</w:t>
            </w: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0F24EE" w:rsidP="001B2DA4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19.0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B4507B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0.</w:t>
            </w:r>
            <w:r w:rsidR="00B4507B">
              <w:rPr>
                <w:rFonts w:ascii="Times New Roman" w:eastAsia="Times New Roman" w:hAnsi="Times New Roman"/>
                <w:sz w:val="2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4BD5" w:rsidRPr="00BB5ABD" w:rsidRDefault="00774BD5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774BD5" w:rsidRPr="00BB5ABD" w:rsidTr="00A6232E">
        <w:trPr>
          <w:trHeight w:val="240"/>
        </w:trPr>
        <w:tc>
          <w:tcPr>
            <w:tcW w:w="2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Title c</w:t>
            </w:r>
            <w:r w:rsidRPr="00BB5ABD">
              <w:rPr>
                <w:rFonts w:ascii="Times New Roman" w:eastAsia="Times New Roman" w:hAnsi="Times New Roman"/>
                <w:sz w:val="20"/>
              </w:rPr>
              <w:t>laim loss expense</w:t>
            </w:r>
          </w:p>
        </w:tc>
        <w:tc>
          <w:tcPr>
            <w:tcW w:w="1530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74BD5" w:rsidRPr="00BB5ABD" w:rsidRDefault="000F24EE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50.8</w:t>
            </w:r>
          </w:p>
        </w:tc>
        <w:tc>
          <w:tcPr>
            <w:tcW w:w="117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0F24EE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50.8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--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:rsidR="00774BD5" w:rsidRPr="00BB5ABD" w:rsidRDefault="00774BD5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774BD5" w:rsidRPr="00BB5ABD" w:rsidTr="00A6232E">
        <w:trPr>
          <w:trHeight w:val="240"/>
        </w:trPr>
        <w:tc>
          <w:tcPr>
            <w:tcW w:w="2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  <w:r w:rsidRPr="00BB5ABD">
              <w:rPr>
                <w:rFonts w:ascii="Times New Roman" w:eastAsia="Times New Roman" w:hAnsi="Times New Roman"/>
                <w:sz w:val="20"/>
              </w:rPr>
              <w:t>Interest expense</w:t>
            </w:r>
          </w:p>
        </w:tc>
        <w:tc>
          <w:tcPr>
            <w:tcW w:w="1530" w:type="dxa"/>
            <w:tcBorders>
              <w:top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74BD5" w:rsidRPr="00BB5ABD" w:rsidRDefault="00774BD5" w:rsidP="000F24EE">
            <w:pPr>
              <w:jc w:val="right"/>
              <w:rPr>
                <w:rFonts w:ascii="Times New Roman" w:eastAsia="Times New Roman" w:hAnsi="Times New Roman"/>
                <w:sz w:val="20"/>
                <w:u w:val="single"/>
              </w:rPr>
            </w:pPr>
            <w:r>
              <w:rPr>
                <w:rFonts w:ascii="Times New Roman" w:eastAsia="Times New Roman" w:hAnsi="Times New Roman"/>
                <w:sz w:val="20"/>
                <w:u w:val="single"/>
              </w:rPr>
              <w:t>1</w:t>
            </w:r>
            <w:r w:rsidR="000F24EE">
              <w:rPr>
                <w:rFonts w:ascii="Times New Roman" w:eastAsia="Times New Roman" w:hAnsi="Times New Roman"/>
                <w:sz w:val="20"/>
                <w:u w:val="single"/>
              </w:rPr>
              <w:t>4</w:t>
            </w:r>
            <w:r>
              <w:rPr>
                <w:rFonts w:ascii="Times New Roman" w:eastAsia="Times New Roman" w:hAnsi="Times New Roman"/>
                <w:sz w:val="20"/>
                <w:u w:val="single"/>
              </w:rPr>
              <w:t>.</w:t>
            </w:r>
            <w:r w:rsidR="000F24EE">
              <w:rPr>
                <w:rFonts w:ascii="Times New Roman" w:eastAsia="Times New Roman" w:hAnsi="Times New Roman"/>
                <w:sz w:val="20"/>
                <w:u w:val="single"/>
              </w:rPr>
              <w:t>3</w:t>
            </w:r>
          </w:p>
        </w:tc>
        <w:tc>
          <w:tcPr>
            <w:tcW w:w="117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0F24EE">
            <w:pPr>
              <w:jc w:val="right"/>
              <w:rPr>
                <w:rFonts w:ascii="Times New Roman" w:eastAsia="Times New Roman" w:hAnsi="Times New Roman"/>
                <w:sz w:val="20"/>
                <w:u w:val="single"/>
              </w:rPr>
            </w:pPr>
            <w:r>
              <w:rPr>
                <w:rFonts w:ascii="Times New Roman" w:eastAsia="Times New Roman" w:hAnsi="Times New Roman"/>
                <w:sz w:val="20"/>
                <w:u w:val="single"/>
              </w:rPr>
              <w:t>0.</w:t>
            </w:r>
            <w:r w:rsidR="000F24EE">
              <w:rPr>
                <w:rFonts w:ascii="Times New Roman" w:eastAsia="Times New Roman" w:hAnsi="Times New Roman"/>
                <w:sz w:val="20"/>
                <w:u w:val="single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B4507B">
            <w:pPr>
              <w:jc w:val="right"/>
              <w:rPr>
                <w:rFonts w:ascii="Times New Roman" w:eastAsia="Times New Roman" w:hAnsi="Times New Roman"/>
                <w:sz w:val="20"/>
                <w:u w:val="single"/>
              </w:rPr>
            </w:pPr>
            <w:r>
              <w:rPr>
                <w:rFonts w:ascii="Times New Roman" w:eastAsia="Times New Roman" w:hAnsi="Times New Roman"/>
                <w:sz w:val="20"/>
                <w:u w:val="single"/>
              </w:rPr>
              <w:t>13.</w:t>
            </w:r>
            <w:r w:rsidR="00B4507B">
              <w:rPr>
                <w:rFonts w:ascii="Times New Roman" w:eastAsia="Times New Roman" w:hAnsi="Times New Roman"/>
                <w:sz w:val="20"/>
                <w:u w:val="single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:rsidR="00774BD5" w:rsidRPr="00BB5ABD" w:rsidRDefault="00774BD5" w:rsidP="00A6232E">
            <w:pPr>
              <w:jc w:val="right"/>
              <w:rPr>
                <w:rFonts w:ascii="Times New Roman" w:eastAsia="Times New Roman" w:hAnsi="Times New Roman"/>
                <w:sz w:val="20"/>
                <w:u w:val="single"/>
              </w:rPr>
            </w:pPr>
          </w:p>
        </w:tc>
      </w:tr>
      <w:tr w:rsidR="00774BD5" w:rsidRPr="00BB5ABD" w:rsidTr="00A6232E">
        <w:trPr>
          <w:trHeight w:val="240"/>
        </w:trPr>
        <w:tc>
          <w:tcPr>
            <w:tcW w:w="2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  <w:r w:rsidRPr="00BB5ABD">
              <w:rPr>
                <w:rFonts w:ascii="Times New Roman" w:eastAsia="Times New Roman" w:hAnsi="Times New Roman"/>
                <w:sz w:val="20"/>
              </w:rPr>
              <w:t xml:space="preserve">  Total expenses</w:t>
            </w:r>
          </w:p>
        </w:tc>
        <w:tc>
          <w:tcPr>
            <w:tcW w:w="1530" w:type="dxa"/>
            <w:tcBorders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74BD5" w:rsidRPr="00BB5ABD" w:rsidRDefault="00774BD5" w:rsidP="000F24E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BB5ABD">
              <w:rPr>
                <w:rFonts w:ascii="Times New Roman" w:eastAsia="Times New Roman" w:hAnsi="Times New Roman"/>
                <w:sz w:val="20"/>
              </w:rPr>
              <w:t>1,</w:t>
            </w:r>
            <w:r w:rsidR="000F24EE">
              <w:rPr>
                <w:rFonts w:ascii="Times New Roman" w:eastAsia="Times New Roman" w:hAnsi="Times New Roman"/>
                <w:sz w:val="20"/>
              </w:rPr>
              <w:t>054</w:t>
            </w:r>
            <w:r>
              <w:rPr>
                <w:rFonts w:ascii="Times New Roman" w:eastAsia="Times New Roman" w:hAnsi="Times New Roman"/>
                <w:sz w:val="20"/>
              </w:rPr>
              <w:t>.</w:t>
            </w:r>
            <w:r w:rsidR="000F24EE">
              <w:rPr>
                <w:rFonts w:ascii="Times New Roman" w:eastAsia="Times New Roman" w:hAnsi="Times New Roman"/>
                <w:sz w:val="20"/>
              </w:rPr>
              <w:t>8</w:t>
            </w:r>
          </w:p>
        </w:tc>
        <w:tc>
          <w:tcPr>
            <w:tcW w:w="1170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0F24EE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1,015.9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B4507B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</w:t>
            </w:r>
            <w:r w:rsidR="00B4507B">
              <w:rPr>
                <w:rFonts w:ascii="Times New Roman" w:eastAsia="Times New Roman" w:hAnsi="Times New Roman"/>
                <w:sz w:val="20"/>
              </w:rPr>
              <w:t>8</w:t>
            </w:r>
            <w:r>
              <w:rPr>
                <w:rFonts w:ascii="Times New Roman" w:eastAsia="Times New Roman" w:hAnsi="Times New Roman"/>
                <w:sz w:val="20"/>
              </w:rPr>
              <w:t>.</w:t>
            </w:r>
            <w:r w:rsidR="00B4507B">
              <w:rPr>
                <w:rFonts w:ascii="Times New Roman" w:eastAsia="Times New Roman" w:hAnsi="Times New Roman"/>
                <w:sz w:val="20"/>
              </w:rPr>
              <w:t>9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vAlign w:val="bottom"/>
          </w:tcPr>
          <w:p w:rsidR="00774BD5" w:rsidRPr="00BB5ABD" w:rsidRDefault="00774BD5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774BD5" w:rsidRPr="00BB5ABD" w:rsidTr="00A6232E">
        <w:trPr>
          <w:trHeight w:val="240"/>
        </w:trPr>
        <w:tc>
          <w:tcPr>
            <w:tcW w:w="2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774BD5" w:rsidRPr="00BB5ABD" w:rsidTr="00A6232E">
        <w:trPr>
          <w:trHeight w:val="240"/>
        </w:trPr>
        <w:tc>
          <w:tcPr>
            <w:tcW w:w="2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ind w:left="252" w:hanging="252"/>
              <w:rPr>
                <w:rFonts w:ascii="Times New Roman" w:eastAsia="Times New Roman" w:hAnsi="Times New Roman"/>
                <w:sz w:val="20"/>
              </w:rPr>
            </w:pPr>
            <w:r w:rsidRPr="00BB5ABD">
              <w:rPr>
                <w:rFonts w:ascii="Times New Roman" w:eastAsia="Times New Roman" w:hAnsi="Times New Roman"/>
                <w:sz w:val="20"/>
              </w:rPr>
              <w:t>Pre</w:t>
            </w:r>
            <w:r w:rsidR="001C4504">
              <w:rPr>
                <w:rFonts w:ascii="Times New Roman" w:eastAsia="Times New Roman" w:hAnsi="Times New Roman"/>
                <w:sz w:val="20"/>
              </w:rPr>
              <w:t>-</w:t>
            </w:r>
            <w:r w:rsidRPr="00BB5ABD">
              <w:rPr>
                <w:rFonts w:ascii="Times New Roman" w:eastAsia="Times New Roman" w:hAnsi="Times New Roman"/>
                <w:sz w:val="20"/>
              </w:rPr>
              <w:t>tax earnings from continuing operations</w:t>
            </w:r>
          </w:p>
        </w:tc>
        <w:tc>
          <w:tcPr>
            <w:tcW w:w="153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74BD5" w:rsidRPr="00BB5ABD" w:rsidRDefault="000F24EE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77.1</w:t>
            </w: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B4507B" w:rsidP="00B4507B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106.3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B4507B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BB5ABD">
              <w:rPr>
                <w:rFonts w:ascii="Times New Roman" w:eastAsia="Times New Roman" w:hAnsi="Times New Roman"/>
                <w:sz w:val="20"/>
              </w:rPr>
              <w:t>(</w:t>
            </w:r>
            <w:r>
              <w:rPr>
                <w:rFonts w:ascii="Times New Roman" w:eastAsia="Times New Roman" w:hAnsi="Times New Roman"/>
                <w:sz w:val="20"/>
              </w:rPr>
              <w:t>2</w:t>
            </w:r>
            <w:r w:rsidR="00B4507B">
              <w:rPr>
                <w:rFonts w:ascii="Times New Roman" w:eastAsia="Times New Roman" w:hAnsi="Times New Roman"/>
                <w:sz w:val="20"/>
              </w:rPr>
              <w:t>9</w:t>
            </w:r>
            <w:r>
              <w:rPr>
                <w:rFonts w:ascii="Times New Roman" w:eastAsia="Times New Roman" w:hAnsi="Times New Roman"/>
                <w:sz w:val="20"/>
              </w:rPr>
              <w:t>.</w:t>
            </w:r>
            <w:r w:rsidR="00B4507B">
              <w:rPr>
                <w:rFonts w:ascii="Times New Roman" w:eastAsia="Times New Roman" w:hAnsi="Times New Roman"/>
                <w:sz w:val="20"/>
              </w:rPr>
              <w:t>2</w:t>
            </w:r>
            <w:r w:rsidRPr="00BB5ABD">
              <w:rPr>
                <w:rFonts w:ascii="Times New Roman" w:eastAsia="Times New Roman" w:hAnsi="Times New Roman"/>
                <w:sz w:val="20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4BD5" w:rsidRPr="00BB5ABD" w:rsidRDefault="00774BD5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774BD5" w:rsidRPr="00BB5ABD" w:rsidTr="00A6232E">
        <w:trPr>
          <w:trHeight w:val="240"/>
        </w:trPr>
        <w:tc>
          <w:tcPr>
            <w:tcW w:w="2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774BD5" w:rsidRPr="00BB5ABD" w:rsidTr="00A6232E">
        <w:trPr>
          <w:trHeight w:val="240"/>
        </w:trPr>
        <w:tc>
          <w:tcPr>
            <w:tcW w:w="2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rPr>
                <w:rFonts w:ascii="Times New Roman" w:eastAsia="Times New Roman" w:hAnsi="Times New Roman"/>
                <w:sz w:val="20"/>
              </w:rPr>
            </w:pPr>
            <w:r w:rsidRPr="00BB5ABD">
              <w:rPr>
                <w:rFonts w:ascii="Times New Roman" w:eastAsia="Times New Roman" w:hAnsi="Times New Roman"/>
                <w:sz w:val="20"/>
              </w:rPr>
              <w:t>Pre</w:t>
            </w:r>
            <w:r w:rsidR="001C4504">
              <w:rPr>
                <w:rFonts w:ascii="Times New Roman" w:eastAsia="Times New Roman" w:hAnsi="Times New Roman"/>
                <w:sz w:val="20"/>
              </w:rPr>
              <w:t>-</w:t>
            </w:r>
            <w:r w:rsidRPr="00BB5ABD">
              <w:rPr>
                <w:rFonts w:ascii="Times New Roman" w:eastAsia="Times New Roman" w:hAnsi="Times New Roman"/>
                <w:sz w:val="20"/>
              </w:rPr>
              <w:t>tax margin</w:t>
            </w:r>
          </w:p>
        </w:tc>
        <w:tc>
          <w:tcPr>
            <w:tcW w:w="153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74BD5" w:rsidRPr="00BB5ABD" w:rsidRDefault="000F24EE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6.8</w:t>
            </w:r>
            <w:r w:rsidR="00774BD5" w:rsidRPr="00BB5ABD">
              <w:rPr>
                <w:rFonts w:ascii="Times New Roman" w:eastAsia="Times New Roman" w:hAnsi="Times New Roman"/>
                <w:sz w:val="20"/>
              </w:rPr>
              <w:t>%</w:t>
            </w: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B4507B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9.5</w:t>
            </w:r>
            <w:r w:rsidR="00774BD5" w:rsidRPr="00BB5ABD">
              <w:rPr>
                <w:rFonts w:ascii="Times New Roman" w:eastAsia="Times New Roman" w:hAnsi="Times New Roman"/>
                <w:sz w:val="20"/>
              </w:rPr>
              <w:t>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774BD5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BB5ABD">
              <w:rPr>
                <w:rFonts w:ascii="Times New Roman" w:eastAsia="Times New Roman" w:hAnsi="Times New Roman"/>
                <w:sz w:val="20"/>
              </w:rPr>
              <w:t>--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4BD5" w:rsidRPr="00BB5ABD" w:rsidRDefault="00774BD5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774BD5" w:rsidRPr="00BB5ABD" w:rsidTr="00A6232E">
        <w:trPr>
          <w:trHeight w:val="240"/>
        </w:trPr>
        <w:tc>
          <w:tcPr>
            <w:tcW w:w="2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74BD5" w:rsidRPr="00BB5ABD" w:rsidRDefault="000F24EE" w:rsidP="00A6232E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Pre</w:t>
            </w:r>
            <w:r w:rsidR="001C4504">
              <w:rPr>
                <w:rFonts w:ascii="Times New Roman" w:eastAsia="Times New Roman" w:hAnsi="Times New Roman"/>
                <w:sz w:val="20"/>
              </w:rPr>
              <w:t>-</w:t>
            </w:r>
            <w:r>
              <w:rPr>
                <w:rFonts w:ascii="Times New Roman" w:eastAsia="Times New Roman" w:hAnsi="Times New Roman"/>
                <w:sz w:val="20"/>
              </w:rPr>
              <w:t>tax margin, excluding realized gains</w:t>
            </w:r>
          </w:p>
        </w:tc>
        <w:tc>
          <w:tcPr>
            <w:tcW w:w="153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74BD5" w:rsidRPr="00BB5ABD" w:rsidRDefault="000F24EE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5.2%</w:t>
            </w: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4BD5" w:rsidRPr="00BB5ABD" w:rsidRDefault="00B4507B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8.0%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74BD5" w:rsidRPr="00BB5ABD" w:rsidRDefault="00774BD5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774BD5" w:rsidRPr="00BB5ABD" w:rsidRDefault="00774BD5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0F24EE" w:rsidRPr="00BB5ABD" w:rsidTr="00A6232E">
        <w:trPr>
          <w:trHeight w:val="240"/>
        </w:trPr>
        <w:tc>
          <w:tcPr>
            <w:tcW w:w="2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4507B" w:rsidRDefault="00B4507B" w:rsidP="00A6232E">
            <w:pPr>
              <w:rPr>
                <w:rFonts w:ascii="Times New Roman" w:eastAsia="Times New Roman" w:hAnsi="Times New Roman"/>
                <w:sz w:val="20"/>
              </w:rPr>
            </w:pPr>
          </w:p>
          <w:p w:rsidR="000F24EE" w:rsidRPr="00BB5ABD" w:rsidRDefault="000F24EE" w:rsidP="00A6232E">
            <w:pPr>
              <w:rPr>
                <w:rFonts w:ascii="Times New Roman" w:eastAsia="Times New Roman" w:hAnsi="Times New Roman"/>
                <w:sz w:val="20"/>
              </w:rPr>
            </w:pPr>
            <w:r w:rsidRPr="00BB5ABD">
              <w:rPr>
                <w:rFonts w:ascii="Times New Roman" w:eastAsia="Times New Roman" w:hAnsi="Times New Roman"/>
                <w:sz w:val="20"/>
              </w:rPr>
              <w:t>Open orders</w:t>
            </w:r>
          </w:p>
        </w:tc>
        <w:tc>
          <w:tcPr>
            <w:tcW w:w="153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F24EE" w:rsidRPr="00BB5ABD" w:rsidRDefault="001B2DA4" w:rsidP="001B2DA4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488.1</w:t>
            </w: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BB5ABD" w:rsidRDefault="001B2DA4" w:rsidP="001B2DA4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488.1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24EE" w:rsidRPr="00BB5ABD" w:rsidRDefault="000F24EE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BB5ABD">
              <w:rPr>
                <w:rFonts w:ascii="Times New Roman" w:eastAsia="Times New Roman" w:hAnsi="Times New Roman"/>
                <w:sz w:val="20"/>
              </w:rPr>
              <w:t>--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F24EE" w:rsidRPr="00BB5ABD" w:rsidRDefault="000F24EE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0F24EE" w:rsidRPr="00BB5ABD" w:rsidTr="00A6232E">
        <w:trPr>
          <w:trHeight w:val="240"/>
        </w:trPr>
        <w:tc>
          <w:tcPr>
            <w:tcW w:w="2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0F24EE" w:rsidRPr="00BB5ABD" w:rsidRDefault="000F24EE" w:rsidP="00A6232E">
            <w:pPr>
              <w:rPr>
                <w:rFonts w:ascii="Times New Roman" w:eastAsia="Times New Roman" w:hAnsi="Times New Roman"/>
                <w:sz w:val="20"/>
              </w:rPr>
            </w:pPr>
            <w:r w:rsidRPr="00BB5ABD">
              <w:rPr>
                <w:rFonts w:ascii="Times New Roman" w:eastAsia="Times New Roman" w:hAnsi="Times New Roman"/>
                <w:sz w:val="20"/>
              </w:rPr>
              <w:t>Closed orders</w:t>
            </w:r>
          </w:p>
        </w:tc>
        <w:tc>
          <w:tcPr>
            <w:tcW w:w="153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F24EE" w:rsidRPr="00BB5ABD" w:rsidRDefault="001B2DA4" w:rsidP="001B2DA4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370</w:t>
            </w:r>
            <w:r w:rsidR="000F24EE"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24EE" w:rsidRPr="00BB5ABD" w:rsidRDefault="001B2DA4" w:rsidP="001B2DA4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370.8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F24EE" w:rsidRPr="00BB5ABD" w:rsidRDefault="000F24EE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BB5ABD">
              <w:rPr>
                <w:rFonts w:ascii="Times New Roman" w:eastAsia="Times New Roman" w:hAnsi="Times New Roman"/>
                <w:sz w:val="20"/>
              </w:rPr>
              <w:t>--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0F24EE" w:rsidRPr="00BB5ABD" w:rsidRDefault="000F24EE" w:rsidP="00A6232E">
            <w:pPr>
              <w:jc w:val="right"/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2028FA" w:rsidRDefault="002028FA" w:rsidP="002028FA">
      <w:pPr>
        <w:ind w:left="-1440"/>
        <w:jc w:val="center"/>
        <w:rPr>
          <w:sz w:val="16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</w:rPr>
        <w:lastRenderedPageBreak/>
        <w:t>FIDELITY NATIONAL FINANCIAL, INC.</w:t>
      </w:r>
    </w:p>
    <w:p w:rsidR="002028FA" w:rsidRPr="00BB5ABD" w:rsidRDefault="002028FA" w:rsidP="002028FA">
      <w:pPr>
        <w:ind w:left="-1440"/>
        <w:jc w:val="center"/>
        <w:rPr>
          <w:rFonts w:ascii="Times New Roman" w:hAnsi="Times New Roman"/>
          <w:b/>
        </w:rPr>
      </w:pPr>
      <w:r w:rsidRPr="00BB5ABD">
        <w:rPr>
          <w:rFonts w:ascii="Times New Roman" w:hAnsi="Times New Roman"/>
          <w:b/>
        </w:rPr>
        <w:t>SUMMARY BALANCE SHEET INFORMATION</w:t>
      </w:r>
    </w:p>
    <w:p w:rsidR="002028FA" w:rsidRDefault="002028FA" w:rsidP="002028FA">
      <w:pPr>
        <w:ind w:left="-1440"/>
        <w:jc w:val="center"/>
      </w:pPr>
      <w:r>
        <w:rPr>
          <w:rFonts w:ascii="Times New Roman" w:hAnsi="Times New Roman"/>
        </w:rPr>
        <w:t xml:space="preserve">(In </w:t>
      </w:r>
      <w:r w:rsidR="00B97915">
        <w:rPr>
          <w:rFonts w:ascii="Times New Roman" w:hAnsi="Times New Roman"/>
        </w:rPr>
        <w:t>million</w:t>
      </w:r>
      <w:r>
        <w:rPr>
          <w:rFonts w:ascii="Times New Roman" w:hAnsi="Times New Roman"/>
        </w:rPr>
        <w:t>s, except per share amounts)</w:t>
      </w:r>
    </w:p>
    <w:p w:rsidR="002028FA" w:rsidRDefault="002028FA" w:rsidP="002028FA">
      <w:pPr>
        <w:jc w:val="center"/>
      </w:pPr>
    </w:p>
    <w:p w:rsidR="002028FA" w:rsidRDefault="002028FA" w:rsidP="002028FA">
      <w:pPr>
        <w:pStyle w:val="BodyText2"/>
        <w:tabs>
          <w:tab w:val="left" w:pos="-720"/>
          <w:tab w:val="left" w:pos="180"/>
          <w:tab w:val="left" w:pos="540"/>
          <w:tab w:val="left" w:leader="dot" w:pos="6480"/>
          <w:tab w:val="left" w:pos="7272"/>
          <w:tab w:val="decimal" w:pos="7992"/>
          <w:tab w:val="left" w:pos="8424"/>
          <w:tab w:val="decimal" w:pos="9072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left"/>
        <w:rPr>
          <w:rFonts w:ascii="Times New Roman" w:hAnsi="Times New Roman"/>
        </w:rPr>
        <w:sectPr w:rsidR="002028FA" w:rsidSect="00CF6FB8">
          <w:type w:val="continuous"/>
          <w:pgSz w:w="12240" w:h="15840"/>
          <w:pgMar w:top="720" w:right="1296" w:bottom="720" w:left="2880" w:header="720" w:footer="720" w:gutter="0"/>
          <w:cols w:space="720"/>
        </w:sectPr>
      </w:pPr>
    </w:p>
    <w:tbl>
      <w:tblPr>
        <w:tblW w:w="8270" w:type="dxa"/>
        <w:tblInd w:w="-10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/>
      </w:tblPr>
      <w:tblGrid>
        <w:gridCol w:w="4599"/>
        <w:gridCol w:w="273"/>
        <w:gridCol w:w="1579"/>
        <w:gridCol w:w="238"/>
        <w:gridCol w:w="1581"/>
      </w:tblGrid>
      <w:tr w:rsidR="002028FA" w:rsidTr="00885CF0">
        <w:trPr>
          <w:cantSplit/>
          <w:trHeight w:val="289"/>
        </w:trPr>
        <w:tc>
          <w:tcPr>
            <w:tcW w:w="4599" w:type="dxa"/>
            <w:tcBorders>
              <w:top w:val="nil"/>
              <w:left w:val="nil"/>
              <w:bottom w:val="nil"/>
              <w:right w:val="nil"/>
            </w:tcBorders>
          </w:tcPr>
          <w:p w:rsidR="002028FA" w:rsidRDefault="002028FA" w:rsidP="008C56C0">
            <w:pPr>
              <w:pStyle w:val="BodyText2"/>
              <w:tabs>
                <w:tab w:val="left" w:pos="-720"/>
                <w:tab w:val="left" w:pos="180"/>
                <w:tab w:val="left" w:pos="540"/>
                <w:tab w:val="left" w:leader="dot" w:pos="6480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2028FA" w:rsidRDefault="002028FA" w:rsidP="008C56C0">
            <w:pPr>
              <w:pStyle w:val="BodyText2"/>
              <w:tabs>
                <w:tab w:val="left" w:pos="-720"/>
                <w:tab w:val="left" w:pos="1"/>
                <w:tab w:val="left" w:leader="dot" w:pos="6480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2028FA" w:rsidRPr="00393C6E" w:rsidRDefault="00B87CDA" w:rsidP="00F87C08">
            <w:pPr>
              <w:pStyle w:val="BodyText2"/>
              <w:tabs>
                <w:tab w:val="left" w:pos="-720"/>
                <w:tab w:val="left" w:pos="1"/>
                <w:tab w:val="decimal" w:pos="792"/>
                <w:tab w:val="left" w:leader="dot" w:pos="6480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March</w:t>
            </w:r>
            <w:r w:rsidR="00E95901" w:rsidRPr="00393C6E"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2028FA" w:rsidRPr="00393C6E">
              <w:rPr>
                <w:rFonts w:ascii="Times New Roman" w:hAnsi="Times New Roman"/>
                <w:b/>
                <w:sz w:val="22"/>
              </w:rPr>
              <w:t>3</w:t>
            </w:r>
            <w:r w:rsidR="00F87C08">
              <w:rPr>
                <w:rFonts w:ascii="Times New Roman" w:hAnsi="Times New Roman"/>
                <w:b/>
                <w:sz w:val="22"/>
              </w:rPr>
              <w:t>1</w:t>
            </w:r>
            <w:r w:rsidR="002028FA" w:rsidRPr="00393C6E">
              <w:rPr>
                <w:rFonts w:ascii="Times New Roman" w:hAnsi="Times New Roman"/>
                <w:b/>
                <w:sz w:val="22"/>
              </w:rPr>
              <w:t>,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2028FA" w:rsidRPr="00393C6E" w:rsidRDefault="002028FA" w:rsidP="008C56C0">
            <w:pPr>
              <w:pStyle w:val="BodyText2"/>
              <w:tabs>
                <w:tab w:val="left" w:pos="-720"/>
                <w:tab w:val="left" w:pos="1"/>
                <w:tab w:val="left" w:leader="dot" w:pos="6480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2028FA" w:rsidRPr="00393C6E" w:rsidRDefault="002028FA" w:rsidP="008C56C0">
            <w:pPr>
              <w:pStyle w:val="BodyText2"/>
              <w:tabs>
                <w:tab w:val="left" w:pos="-720"/>
                <w:tab w:val="left" w:pos="1"/>
                <w:tab w:val="decimal" w:pos="792"/>
                <w:tab w:val="left" w:leader="dot" w:pos="6480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/>
                <w:b/>
                <w:sz w:val="22"/>
              </w:rPr>
            </w:pPr>
            <w:r w:rsidRPr="00393C6E">
              <w:rPr>
                <w:rFonts w:ascii="Times New Roman" w:hAnsi="Times New Roman"/>
                <w:b/>
                <w:sz w:val="22"/>
              </w:rPr>
              <w:t>December 31,</w:t>
            </w:r>
          </w:p>
        </w:tc>
      </w:tr>
      <w:tr w:rsidR="002028FA" w:rsidTr="008C56C0">
        <w:trPr>
          <w:cantSplit/>
          <w:trHeight w:val="267"/>
        </w:trPr>
        <w:tc>
          <w:tcPr>
            <w:tcW w:w="4599" w:type="dxa"/>
            <w:tcBorders>
              <w:top w:val="nil"/>
              <w:left w:val="nil"/>
              <w:bottom w:val="nil"/>
              <w:right w:val="nil"/>
            </w:tcBorders>
          </w:tcPr>
          <w:p w:rsidR="002028FA" w:rsidRDefault="002028FA" w:rsidP="008C56C0">
            <w:pPr>
              <w:pStyle w:val="BodyText2"/>
              <w:tabs>
                <w:tab w:val="left" w:pos="-720"/>
                <w:tab w:val="left" w:pos="180"/>
                <w:tab w:val="left" w:pos="540"/>
                <w:tab w:val="left" w:leader="dot" w:pos="6480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2028FA" w:rsidRDefault="002028FA" w:rsidP="008C56C0">
            <w:pPr>
              <w:pStyle w:val="BodyText2"/>
              <w:tabs>
                <w:tab w:val="left" w:pos="-720"/>
                <w:tab w:val="left" w:pos="1"/>
                <w:tab w:val="left" w:leader="dot" w:pos="6480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2028FA" w:rsidRPr="0024124F" w:rsidRDefault="002028FA" w:rsidP="00774BD5">
            <w:pPr>
              <w:pStyle w:val="BodyText2"/>
              <w:tabs>
                <w:tab w:val="left" w:pos="-720"/>
                <w:tab w:val="left" w:pos="1"/>
                <w:tab w:val="decimal" w:pos="792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left"/>
              <w:rPr>
                <w:rFonts w:ascii="Times New Roman" w:hAnsi="Times New Roman"/>
                <w:b/>
                <w:sz w:val="22"/>
                <w:u w:val="single"/>
              </w:rPr>
            </w:pPr>
            <w:r w:rsidRPr="0024124F">
              <w:rPr>
                <w:rFonts w:ascii="Times New Roman" w:hAnsi="Times New Roman"/>
                <w:b/>
                <w:sz w:val="22"/>
                <w:u w:val="single"/>
              </w:rPr>
              <w:t xml:space="preserve">         20</w:t>
            </w:r>
            <w:r w:rsidR="00A32A39" w:rsidRPr="0024124F">
              <w:rPr>
                <w:rFonts w:ascii="Times New Roman" w:hAnsi="Times New Roman"/>
                <w:b/>
                <w:sz w:val="22"/>
                <w:u w:val="single"/>
              </w:rPr>
              <w:t>1</w:t>
            </w:r>
            <w:r w:rsidR="00774BD5">
              <w:rPr>
                <w:rFonts w:ascii="Times New Roman" w:hAnsi="Times New Roman"/>
                <w:b/>
                <w:sz w:val="22"/>
                <w:u w:val="single"/>
              </w:rPr>
              <w:t>2</w:t>
            </w:r>
            <w:r w:rsidRPr="0024124F">
              <w:rPr>
                <w:rFonts w:ascii="Times New Roman" w:hAnsi="Times New Roman"/>
                <w:b/>
                <w:sz w:val="22"/>
                <w:u w:val="single"/>
              </w:rPr>
              <w:tab/>
            </w:r>
            <w:r w:rsidRPr="0024124F">
              <w:rPr>
                <w:rFonts w:ascii="Times New Roman" w:hAnsi="Times New Roman"/>
                <w:b/>
                <w:sz w:val="22"/>
                <w:u w:val="single"/>
              </w:rPr>
              <w:tab/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2028FA" w:rsidRPr="0024124F" w:rsidRDefault="002028FA" w:rsidP="008C56C0">
            <w:pPr>
              <w:pStyle w:val="BodyText2"/>
              <w:tabs>
                <w:tab w:val="left" w:pos="-720"/>
                <w:tab w:val="left" w:pos="1"/>
                <w:tab w:val="left" w:leader="dot" w:pos="6480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/>
                <w:b/>
                <w:sz w:val="22"/>
                <w:u w:val="single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2028FA" w:rsidRPr="00393C6E" w:rsidRDefault="00A32A39" w:rsidP="00774BD5">
            <w:pPr>
              <w:pStyle w:val="BodyText2"/>
              <w:tabs>
                <w:tab w:val="left" w:pos="-720"/>
                <w:tab w:val="left" w:pos="1"/>
                <w:tab w:val="decimal" w:pos="792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left"/>
              <w:rPr>
                <w:rFonts w:ascii="Times New Roman" w:hAnsi="Times New Roman"/>
                <w:b/>
                <w:sz w:val="22"/>
                <w:u w:val="single"/>
              </w:rPr>
            </w:pPr>
            <w:r w:rsidRPr="00393C6E">
              <w:rPr>
                <w:rFonts w:ascii="Times New Roman" w:hAnsi="Times New Roman"/>
                <w:b/>
                <w:sz w:val="22"/>
                <w:u w:val="single"/>
              </w:rPr>
              <w:t xml:space="preserve">         20</w:t>
            </w:r>
            <w:r w:rsidR="00B87CDA">
              <w:rPr>
                <w:rFonts w:ascii="Times New Roman" w:hAnsi="Times New Roman"/>
                <w:b/>
                <w:sz w:val="22"/>
                <w:u w:val="single"/>
              </w:rPr>
              <w:t>1</w:t>
            </w:r>
            <w:r w:rsidR="00774BD5">
              <w:rPr>
                <w:rFonts w:ascii="Times New Roman" w:hAnsi="Times New Roman"/>
                <w:b/>
                <w:sz w:val="22"/>
                <w:u w:val="single"/>
              </w:rPr>
              <w:t>1</w:t>
            </w:r>
            <w:r w:rsidR="002028FA" w:rsidRPr="00393C6E">
              <w:rPr>
                <w:rFonts w:ascii="Times New Roman" w:hAnsi="Times New Roman"/>
                <w:b/>
                <w:sz w:val="22"/>
                <w:u w:val="single"/>
              </w:rPr>
              <w:tab/>
            </w:r>
            <w:r w:rsidR="002028FA" w:rsidRPr="00393C6E">
              <w:rPr>
                <w:rFonts w:ascii="Times New Roman" w:hAnsi="Times New Roman"/>
                <w:b/>
                <w:sz w:val="22"/>
                <w:u w:val="single"/>
              </w:rPr>
              <w:tab/>
            </w:r>
          </w:p>
        </w:tc>
      </w:tr>
      <w:tr w:rsidR="002028FA" w:rsidTr="008C56C0">
        <w:trPr>
          <w:cantSplit/>
          <w:trHeight w:val="289"/>
        </w:trPr>
        <w:tc>
          <w:tcPr>
            <w:tcW w:w="4599" w:type="dxa"/>
            <w:tcBorders>
              <w:top w:val="nil"/>
              <w:left w:val="nil"/>
              <w:bottom w:val="nil"/>
              <w:right w:val="nil"/>
            </w:tcBorders>
          </w:tcPr>
          <w:p w:rsidR="002028FA" w:rsidRDefault="002028FA" w:rsidP="008C56C0">
            <w:pPr>
              <w:pStyle w:val="BodyText2"/>
              <w:tabs>
                <w:tab w:val="left" w:pos="-720"/>
                <w:tab w:val="left" w:pos="180"/>
                <w:tab w:val="left" w:pos="540"/>
                <w:tab w:val="right" w:leader="dot" w:pos="3960"/>
                <w:tab w:val="left" w:leader="dot" w:pos="6480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2028FA" w:rsidRDefault="002028FA" w:rsidP="008C56C0">
            <w:pPr>
              <w:pStyle w:val="BodyText2"/>
              <w:tabs>
                <w:tab w:val="left" w:pos="-720"/>
                <w:tab w:val="left" w:pos="1"/>
                <w:tab w:val="left" w:leader="dot" w:pos="6480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2028FA" w:rsidRDefault="00C5680B" w:rsidP="008C56C0">
            <w:pPr>
              <w:pStyle w:val="BodyText2"/>
              <w:tabs>
                <w:tab w:val="left" w:pos="-720"/>
                <w:tab w:val="left" w:pos="1"/>
                <w:tab w:val="decimal" w:pos="792"/>
                <w:tab w:val="left" w:leader="dot" w:pos="6480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="002028FA">
              <w:rPr>
                <w:rFonts w:ascii="Times New Roman" w:hAnsi="Times New Roman"/>
                <w:sz w:val="22"/>
              </w:rPr>
              <w:t>(Unaudited)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2028FA" w:rsidRDefault="002028FA" w:rsidP="008C56C0">
            <w:pPr>
              <w:pStyle w:val="BodyText2"/>
              <w:tabs>
                <w:tab w:val="left" w:pos="-720"/>
                <w:tab w:val="left" w:pos="1"/>
                <w:tab w:val="left" w:leader="dot" w:pos="6480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2028FA" w:rsidRDefault="002028FA" w:rsidP="008C56C0">
            <w:pPr>
              <w:pStyle w:val="BodyText2"/>
              <w:tabs>
                <w:tab w:val="left" w:pos="-720"/>
                <w:tab w:val="left" w:pos="1"/>
                <w:tab w:val="decimal" w:pos="792"/>
                <w:tab w:val="left" w:leader="dot" w:pos="6480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/>
                <w:sz w:val="22"/>
              </w:rPr>
            </w:pPr>
          </w:p>
        </w:tc>
      </w:tr>
      <w:tr w:rsidR="002028FA" w:rsidTr="008C56C0">
        <w:trPr>
          <w:cantSplit/>
          <w:trHeight w:val="289"/>
        </w:trPr>
        <w:tc>
          <w:tcPr>
            <w:tcW w:w="4599" w:type="dxa"/>
            <w:tcBorders>
              <w:top w:val="nil"/>
              <w:left w:val="nil"/>
              <w:bottom w:val="nil"/>
              <w:right w:val="nil"/>
            </w:tcBorders>
          </w:tcPr>
          <w:p w:rsidR="002028FA" w:rsidRDefault="002028FA" w:rsidP="008C56C0">
            <w:pPr>
              <w:pStyle w:val="BodyText2"/>
              <w:tabs>
                <w:tab w:val="left" w:pos="-720"/>
                <w:tab w:val="left" w:pos="180"/>
                <w:tab w:val="left" w:pos="540"/>
                <w:tab w:val="right" w:leader="dot" w:pos="3960"/>
                <w:tab w:val="left" w:leader="dot" w:pos="6480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2028FA" w:rsidRDefault="002028FA" w:rsidP="008C56C0">
            <w:pPr>
              <w:pStyle w:val="BodyText2"/>
              <w:tabs>
                <w:tab w:val="left" w:pos="-720"/>
                <w:tab w:val="left" w:pos="1"/>
                <w:tab w:val="left" w:leader="dot" w:pos="6480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8FA" w:rsidRDefault="002028FA" w:rsidP="008C56C0">
            <w:pPr>
              <w:pStyle w:val="BodyText2"/>
              <w:tabs>
                <w:tab w:val="left" w:pos="-720"/>
                <w:tab w:val="left" w:pos="1"/>
                <w:tab w:val="decimal" w:pos="792"/>
                <w:tab w:val="left" w:leader="dot" w:pos="6480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/>
                <w:sz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2028FA" w:rsidRDefault="002028FA" w:rsidP="008C56C0">
            <w:pPr>
              <w:pStyle w:val="BodyText2"/>
              <w:tabs>
                <w:tab w:val="left" w:pos="-720"/>
                <w:tab w:val="left" w:pos="1"/>
                <w:tab w:val="left" w:leader="dot" w:pos="6480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8FA" w:rsidRDefault="002028FA" w:rsidP="008C56C0">
            <w:pPr>
              <w:pStyle w:val="BodyText2"/>
              <w:tabs>
                <w:tab w:val="left" w:pos="-720"/>
                <w:tab w:val="left" w:pos="1"/>
                <w:tab w:val="decimal" w:pos="792"/>
                <w:tab w:val="left" w:leader="dot" w:pos="6480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/>
                <w:sz w:val="22"/>
              </w:rPr>
            </w:pPr>
          </w:p>
        </w:tc>
      </w:tr>
      <w:tr w:rsidR="00B87CDA" w:rsidTr="008C56C0">
        <w:trPr>
          <w:cantSplit/>
          <w:trHeight w:val="267"/>
        </w:trPr>
        <w:tc>
          <w:tcPr>
            <w:tcW w:w="4599" w:type="dxa"/>
            <w:tcBorders>
              <w:top w:val="nil"/>
              <w:left w:val="nil"/>
              <w:bottom w:val="nil"/>
              <w:right w:val="nil"/>
            </w:tcBorders>
          </w:tcPr>
          <w:p w:rsidR="00B87CDA" w:rsidRDefault="00B87CDA" w:rsidP="008C56C0">
            <w:pPr>
              <w:pStyle w:val="BodyText2"/>
              <w:tabs>
                <w:tab w:val="left" w:pos="-720"/>
                <w:tab w:val="left" w:pos="180"/>
                <w:tab w:val="left" w:pos="540"/>
                <w:tab w:val="right" w:leader="dot" w:pos="3960"/>
                <w:tab w:val="left" w:leader="dot" w:pos="6480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Cash and investment portfolio</w:t>
            </w:r>
            <w:r>
              <w:rPr>
                <w:rFonts w:ascii="Times New Roman" w:hAnsi="Times New Roman"/>
                <w:sz w:val="22"/>
              </w:rPr>
              <w:tab/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B87CDA" w:rsidRDefault="00B87CDA" w:rsidP="008C56C0">
            <w:pPr>
              <w:pStyle w:val="BodyText2"/>
              <w:tabs>
                <w:tab w:val="left" w:pos="-720"/>
                <w:tab w:val="left" w:pos="1"/>
                <w:tab w:val="left" w:leader="dot" w:pos="6480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CDA" w:rsidRDefault="00B87CDA" w:rsidP="001B2DA4">
            <w:pPr>
              <w:pStyle w:val="BodyText2"/>
              <w:tabs>
                <w:tab w:val="left" w:pos="-720"/>
                <w:tab w:val="left" w:pos="1"/>
                <w:tab w:val="decimal" w:pos="792"/>
                <w:tab w:val="left" w:leader="dot" w:pos="6480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</w:t>
            </w:r>
            <w:r w:rsidR="001B2DA4">
              <w:rPr>
                <w:rFonts w:ascii="Times New Roman" w:hAnsi="Times New Roman"/>
                <w:sz w:val="22"/>
              </w:rPr>
              <w:t>4</w:t>
            </w:r>
            <w:r w:rsidR="0050623B">
              <w:rPr>
                <w:rFonts w:ascii="Times New Roman" w:hAnsi="Times New Roman"/>
                <w:sz w:val="22"/>
              </w:rPr>
              <w:t>,</w:t>
            </w:r>
            <w:r w:rsidR="001B2DA4">
              <w:rPr>
                <w:rFonts w:ascii="Times New Roman" w:hAnsi="Times New Roman"/>
                <w:sz w:val="22"/>
              </w:rPr>
              <w:t>827</w:t>
            </w:r>
            <w:r w:rsidR="0050623B">
              <w:rPr>
                <w:rFonts w:ascii="Times New Roman" w:hAnsi="Times New Roman"/>
                <w:sz w:val="22"/>
              </w:rPr>
              <w:t>.</w:t>
            </w:r>
            <w:r w:rsidR="001B2DA4"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B87CDA" w:rsidRDefault="00B87CDA" w:rsidP="008C56C0">
            <w:pPr>
              <w:pStyle w:val="BodyText2"/>
              <w:tabs>
                <w:tab w:val="left" w:pos="-720"/>
                <w:tab w:val="left" w:pos="1"/>
                <w:tab w:val="left" w:leader="dot" w:pos="6480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CDA" w:rsidRDefault="00B87CDA" w:rsidP="003F5E13">
            <w:pPr>
              <w:pStyle w:val="BodyText2"/>
              <w:tabs>
                <w:tab w:val="left" w:pos="-720"/>
                <w:tab w:val="left" w:pos="1"/>
                <w:tab w:val="decimal" w:pos="792"/>
                <w:tab w:val="left" w:leader="dot" w:pos="6480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$4,</w:t>
            </w:r>
            <w:r w:rsidR="003F5E13">
              <w:rPr>
                <w:rFonts w:ascii="Times New Roman" w:hAnsi="Times New Roman"/>
                <w:sz w:val="22"/>
              </w:rPr>
              <w:t>717</w:t>
            </w:r>
            <w:r>
              <w:rPr>
                <w:rFonts w:ascii="Times New Roman" w:hAnsi="Times New Roman"/>
                <w:sz w:val="22"/>
              </w:rPr>
              <w:t>.</w:t>
            </w:r>
            <w:r w:rsidR="003F5E13">
              <w:rPr>
                <w:rFonts w:ascii="Times New Roman" w:hAnsi="Times New Roman"/>
                <w:sz w:val="22"/>
              </w:rPr>
              <w:t>4</w:t>
            </w:r>
          </w:p>
        </w:tc>
      </w:tr>
      <w:tr w:rsidR="00B87CDA" w:rsidTr="008C56C0">
        <w:trPr>
          <w:cantSplit/>
          <w:trHeight w:val="289"/>
        </w:trPr>
        <w:tc>
          <w:tcPr>
            <w:tcW w:w="4599" w:type="dxa"/>
            <w:tcBorders>
              <w:top w:val="nil"/>
              <w:left w:val="nil"/>
              <w:bottom w:val="nil"/>
              <w:right w:val="nil"/>
            </w:tcBorders>
          </w:tcPr>
          <w:p w:rsidR="00B87CDA" w:rsidRDefault="00B87CDA" w:rsidP="008C56C0">
            <w:pPr>
              <w:pStyle w:val="BodyText2"/>
              <w:tabs>
                <w:tab w:val="left" w:pos="-720"/>
                <w:tab w:val="left" w:pos="180"/>
                <w:tab w:val="left" w:pos="540"/>
                <w:tab w:val="right" w:leader="dot" w:pos="3960"/>
                <w:tab w:val="left" w:leader="dot" w:pos="6480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Goodwill</w:t>
            </w:r>
            <w:r>
              <w:rPr>
                <w:rFonts w:ascii="Times New Roman" w:hAnsi="Times New Roman"/>
                <w:sz w:val="22"/>
              </w:rPr>
              <w:tab/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B87CDA" w:rsidRDefault="00B87CDA" w:rsidP="008C56C0">
            <w:pPr>
              <w:pStyle w:val="BodyText2"/>
              <w:tabs>
                <w:tab w:val="left" w:pos="-720"/>
                <w:tab w:val="left" w:pos="1"/>
                <w:tab w:val="left" w:leader="dot" w:pos="6480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CDA" w:rsidRDefault="0050623B" w:rsidP="001B2DA4">
            <w:pPr>
              <w:pStyle w:val="BodyText2"/>
              <w:tabs>
                <w:tab w:val="left" w:pos="-720"/>
                <w:tab w:val="left" w:pos="1"/>
                <w:tab w:val="decimal" w:pos="1062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</w:t>
            </w:r>
            <w:r w:rsidR="001B2DA4">
              <w:rPr>
                <w:rFonts w:ascii="Times New Roman" w:hAnsi="Times New Roman"/>
                <w:sz w:val="22"/>
              </w:rPr>
              <w:t>461</w:t>
            </w:r>
            <w:r>
              <w:rPr>
                <w:rFonts w:ascii="Times New Roman" w:hAnsi="Times New Roman"/>
                <w:sz w:val="22"/>
              </w:rPr>
              <w:t>.</w:t>
            </w:r>
            <w:r w:rsidR="001B2DA4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B87CDA" w:rsidRDefault="00B87CDA" w:rsidP="008C56C0">
            <w:pPr>
              <w:pStyle w:val="BodyText2"/>
              <w:tabs>
                <w:tab w:val="left" w:pos="-720"/>
                <w:tab w:val="left" w:pos="1"/>
                <w:tab w:val="left" w:leader="dot" w:pos="6480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CDA" w:rsidRDefault="003F5E13" w:rsidP="00B81EED">
            <w:pPr>
              <w:pStyle w:val="BodyText2"/>
              <w:tabs>
                <w:tab w:val="left" w:pos="-720"/>
                <w:tab w:val="left" w:pos="1"/>
                <w:tab w:val="decimal" w:pos="1062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1,452.2</w:t>
            </w:r>
          </w:p>
        </w:tc>
      </w:tr>
      <w:tr w:rsidR="00B87CDA" w:rsidTr="008C56C0">
        <w:trPr>
          <w:cantSplit/>
          <w:trHeight w:val="289"/>
        </w:trPr>
        <w:tc>
          <w:tcPr>
            <w:tcW w:w="4599" w:type="dxa"/>
            <w:tcBorders>
              <w:top w:val="nil"/>
              <w:left w:val="nil"/>
              <w:bottom w:val="nil"/>
              <w:right w:val="nil"/>
            </w:tcBorders>
          </w:tcPr>
          <w:p w:rsidR="00B87CDA" w:rsidRDefault="00B87CDA" w:rsidP="008C56C0">
            <w:pPr>
              <w:pStyle w:val="BodyText2"/>
              <w:tabs>
                <w:tab w:val="left" w:pos="-720"/>
                <w:tab w:val="left" w:pos="180"/>
                <w:tab w:val="left" w:pos="540"/>
                <w:tab w:val="right" w:leader="dot" w:pos="3960"/>
                <w:tab w:val="left" w:leader="dot" w:pos="6480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Title plant</w:t>
            </w:r>
            <w:r>
              <w:rPr>
                <w:rFonts w:ascii="Times New Roman" w:hAnsi="Times New Roman"/>
                <w:sz w:val="22"/>
              </w:rPr>
              <w:tab/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B87CDA" w:rsidRDefault="00B87CDA" w:rsidP="008C56C0">
            <w:pPr>
              <w:pStyle w:val="BodyText2"/>
              <w:tabs>
                <w:tab w:val="left" w:pos="-720"/>
                <w:tab w:val="left" w:pos="1"/>
                <w:tab w:val="left" w:leader="dot" w:pos="6480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CDA" w:rsidRDefault="001B2DA4" w:rsidP="001B2DA4">
            <w:pPr>
              <w:pStyle w:val="BodyText2"/>
              <w:tabs>
                <w:tab w:val="left" w:pos="-720"/>
                <w:tab w:val="left" w:pos="1"/>
                <w:tab w:val="decimal" w:pos="1062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386</w:t>
            </w:r>
            <w:r w:rsidR="0050623B">
              <w:rPr>
                <w:rFonts w:ascii="Times New Roman" w:hAnsi="Times New Roman"/>
                <w:sz w:val="22"/>
              </w:rPr>
              <w:t>.</w:t>
            </w: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B87CDA" w:rsidRDefault="00B87CDA" w:rsidP="008C56C0">
            <w:pPr>
              <w:pStyle w:val="BodyText2"/>
              <w:tabs>
                <w:tab w:val="left" w:pos="-720"/>
                <w:tab w:val="left" w:pos="1"/>
                <w:tab w:val="left" w:leader="dot" w:pos="6480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CDA" w:rsidRDefault="003F5E13" w:rsidP="00B81EED">
            <w:pPr>
              <w:pStyle w:val="BodyText2"/>
              <w:tabs>
                <w:tab w:val="left" w:pos="-720"/>
                <w:tab w:val="left" w:pos="1"/>
                <w:tab w:val="decimal" w:pos="1062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386.7</w:t>
            </w:r>
          </w:p>
        </w:tc>
      </w:tr>
      <w:tr w:rsidR="00B87CDA" w:rsidTr="008C56C0">
        <w:trPr>
          <w:cantSplit/>
          <w:trHeight w:val="289"/>
        </w:trPr>
        <w:tc>
          <w:tcPr>
            <w:tcW w:w="4599" w:type="dxa"/>
            <w:tcBorders>
              <w:top w:val="nil"/>
              <w:left w:val="nil"/>
              <w:bottom w:val="nil"/>
              <w:right w:val="nil"/>
            </w:tcBorders>
          </w:tcPr>
          <w:p w:rsidR="00B87CDA" w:rsidRDefault="00B87CDA" w:rsidP="008C56C0">
            <w:pPr>
              <w:pStyle w:val="BodyText2"/>
              <w:tabs>
                <w:tab w:val="left" w:pos="-720"/>
                <w:tab w:val="left" w:pos="180"/>
                <w:tab w:val="left" w:pos="540"/>
                <w:tab w:val="right" w:leader="dot" w:pos="3960"/>
                <w:tab w:val="left" w:leader="dot" w:pos="6480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Total assets</w:t>
            </w:r>
            <w:r>
              <w:rPr>
                <w:rFonts w:ascii="Times New Roman" w:hAnsi="Times New Roman"/>
                <w:sz w:val="22"/>
              </w:rPr>
              <w:tab/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B87CDA" w:rsidRDefault="00B87CDA" w:rsidP="008C56C0">
            <w:pPr>
              <w:pStyle w:val="BodyText2"/>
              <w:tabs>
                <w:tab w:val="left" w:pos="-720"/>
                <w:tab w:val="left" w:pos="1"/>
                <w:tab w:val="left" w:leader="dot" w:pos="6480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CDA" w:rsidRDefault="001B2DA4" w:rsidP="001B2DA4">
            <w:pPr>
              <w:pStyle w:val="BodyText2"/>
              <w:tabs>
                <w:tab w:val="left" w:pos="-720"/>
                <w:tab w:val="left" w:pos="1"/>
                <w:tab w:val="decimal" w:pos="1062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  <w:r w:rsidR="0050623B">
              <w:rPr>
                <w:rFonts w:ascii="Times New Roman" w:hAnsi="Times New Roman"/>
                <w:sz w:val="22"/>
              </w:rPr>
              <w:t>,</w:t>
            </w:r>
            <w:r>
              <w:rPr>
                <w:rFonts w:ascii="Times New Roman" w:hAnsi="Times New Roman"/>
                <w:sz w:val="22"/>
              </w:rPr>
              <w:t>002</w:t>
            </w:r>
            <w:r w:rsidR="0050623B">
              <w:rPr>
                <w:rFonts w:ascii="Times New Roman" w:hAnsi="Times New Roman"/>
                <w:sz w:val="22"/>
              </w:rPr>
              <w:t>.</w:t>
            </w: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B87CDA" w:rsidRDefault="00B87CDA" w:rsidP="008C56C0">
            <w:pPr>
              <w:pStyle w:val="BodyText2"/>
              <w:tabs>
                <w:tab w:val="left" w:pos="-720"/>
                <w:tab w:val="left" w:pos="1"/>
                <w:tab w:val="left" w:leader="dot" w:pos="6480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CDA" w:rsidRDefault="00B87CDA" w:rsidP="001A77D2">
            <w:pPr>
              <w:pStyle w:val="BodyText2"/>
              <w:tabs>
                <w:tab w:val="left" w:pos="-720"/>
                <w:tab w:val="left" w:pos="1"/>
                <w:tab w:val="decimal" w:pos="1062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7,8</w:t>
            </w:r>
            <w:r w:rsidR="003F5E13">
              <w:rPr>
                <w:rFonts w:ascii="Times New Roman" w:hAnsi="Times New Roman"/>
                <w:sz w:val="22"/>
              </w:rPr>
              <w:t>6</w:t>
            </w:r>
            <w:r w:rsidR="001A77D2"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>.</w:t>
            </w:r>
            <w:r w:rsidR="001A77D2">
              <w:rPr>
                <w:rFonts w:ascii="Times New Roman" w:hAnsi="Times New Roman"/>
                <w:sz w:val="22"/>
              </w:rPr>
              <w:t>1</w:t>
            </w:r>
          </w:p>
        </w:tc>
      </w:tr>
      <w:tr w:rsidR="00B87CDA" w:rsidTr="008C56C0">
        <w:trPr>
          <w:cantSplit/>
          <w:trHeight w:val="267"/>
        </w:trPr>
        <w:tc>
          <w:tcPr>
            <w:tcW w:w="4599" w:type="dxa"/>
            <w:tcBorders>
              <w:top w:val="nil"/>
              <w:left w:val="nil"/>
              <w:bottom w:val="nil"/>
              <w:right w:val="nil"/>
            </w:tcBorders>
          </w:tcPr>
          <w:p w:rsidR="00B87CDA" w:rsidRDefault="00B87CDA" w:rsidP="008C56C0">
            <w:pPr>
              <w:pStyle w:val="BodyText2"/>
              <w:tabs>
                <w:tab w:val="left" w:pos="-720"/>
                <w:tab w:val="left" w:pos="180"/>
                <w:tab w:val="left" w:pos="540"/>
                <w:tab w:val="right" w:leader="dot" w:pos="3960"/>
                <w:tab w:val="left" w:leader="dot" w:pos="6480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Notes payable</w:t>
            </w:r>
            <w:r>
              <w:rPr>
                <w:rFonts w:ascii="Times New Roman" w:hAnsi="Times New Roman"/>
                <w:sz w:val="22"/>
              </w:rPr>
              <w:tab/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B87CDA" w:rsidRDefault="00B87CDA" w:rsidP="008C56C0">
            <w:pPr>
              <w:pStyle w:val="BodyText2"/>
              <w:tabs>
                <w:tab w:val="left" w:pos="-720"/>
                <w:tab w:val="left" w:pos="1"/>
                <w:tab w:val="left" w:leader="dot" w:pos="6480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CDA" w:rsidRDefault="008978DF" w:rsidP="001B2DA4">
            <w:pPr>
              <w:pStyle w:val="BodyText2"/>
              <w:tabs>
                <w:tab w:val="left" w:pos="-720"/>
                <w:tab w:val="left" w:pos="1"/>
                <w:tab w:val="decimal" w:pos="1062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</w:t>
            </w:r>
            <w:r w:rsidR="001B2DA4">
              <w:rPr>
                <w:rFonts w:ascii="Times New Roman" w:hAnsi="Times New Roman"/>
                <w:sz w:val="22"/>
              </w:rPr>
              <w:t>066</w:t>
            </w:r>
            <w:r w:rsidR="0050623B">
              <w:rPr>
                <w:rFonts w:ascii="Times New Roman" w:hAnsi="Times New Roman"/>
                <w:sz w:val="22"/>
              </w:rPr>
              <w:t>.</w:t>
            </w:r>
            <w:r w:rsidR="001B2DA4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B87CDA" w:rsidRDefault="00B87CDA" w:rsidP="008C56C0">
            <w:pPr>
              <w:pStyle w:val="BodyText2"/>
              <w:tabs>
                <w:tab w:val="left" w:pos="-720"/>
                <w:tab w:val="left" w:pos="1"/>
                <w:tab w:val="left" w:leader="dot" w:pos="6480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CDA" w:rsidRDefault="00B87CDA" w:rsidP="003F5E13">
            <w:pPr>
              <w:pStyle w:val="BodyText2"/>
              <w:tabs>
                <w:tab w:val="left" w:pos="-720"/>
                <w:tab w:val="left" w:pos="1"/>
                <w:tab w:val="decimal" w:pos="1062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</w:t>
            </w:r>
            <w:r w:rsidR="003F5E13">
              <w:rPr>
                <w:rFonts w:ascii="Times New Roman" w:hAnsi="Times New Roman"/>
                <w:sz w:val="22"/>
              </w:rPr>
              <w:t>15</w:t>
            </w:r>
            <w:r>
              <w:rPr>
                <w:rFonts w:ascii="Times New Roman" w:hAnsi="Times New Roman"/>
                <w:sz w:val="22"/>
              </w:rPr>
              <w:t>.</w:t>
            </w:r>
            <w:r w:rsidR="003F5E13">
              <w:rPr>
                <w:rFonts w:ascii="Times New Roman" w:hAnsi="Times New Roman"/>
                <w:sz w:val="22"/>
              </w:rPr>
              <w:t>8</w:t>
            </w:r>
          </w:p>
        </w:tc>
      </w:tr>
      <w:tr w:rsidR="00B87CDA" w:rsidTr="008C56C0">
        <w:trPr>
          <w:cantSplit/>
          <w:trHeight w:val="289"/>
        </w:trPr>
        <w:tc>
          <w:tcPr>
            <w:tcW w:w="4599" w:type="dxa"/>
            <w:tcBorders>
              <w:top w:val="nil"/>
              <w:left w:val="nil"/>
              <w:bottom w:val="nil"/>
              <w:right w:val="nil"/>
            </w:tcBorders>
          </w:tcPr>
          <w:p w:rsidR="00B87CDA" w:rsidRDefault="00B87CDA" w:rsidP="008C56C0">
            <w:pPr>
              <w:pStyle w:val="BodyText2"/>
              <w:tabs>
                <w:tab w:val="left" w:pos="-720"/>
                <w:tab w:val="left" w:pos="180"/>
                <w:tab w:val="left" w:pos="540"/>
                <w:tab w:val="right" w:leader="dot" w:pos="3960"/>
                <w:tab w:val="left" w:leader="dot" w:pos="6480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Reserve for claim losses</w:t>
            </w:r>
            <w:r>
              <w:rPr>
                <w:rFonts w:ascii="Times New Roman" w:hAnsi="Times New Roman"/>
                <w:sz w:val="22"/>
              </w:rPr>
              <w:tab/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B87CDA" w:rsidRDefault="00B87CDA" w:rsidP="008C56C0">
            <w:pPr>
              <w:pStyle w:val="BodyText2"/>
              <w:tabs>
                <w:tab w:val="left" w:pos="-720"/>
                <w:tab w:val="left" w:pos="1"/>
                <w:tab w:val="left" w:leader="dot" w:pos="6480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CDA" w:rsidRDefault="001B2DA4" w:rsidP="001B2DA4">
            <w:pPr>
              <w:pStyle w:val="BodyText2"/>
              <w:tabs>
                <w:tab w:val="left" w:pos="-720"/>
                <w:tab w:val="left" w:pos="1"/>
                <w:tab w:val="decimal" w:pos="1062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  <w:r w:rsidR="0050623B">
              <w:rPr>
                <w:rFonts w:ascii="Times New Roman" w:hAnsi="Times New Roman"/>
                <w:sz w:val="22"/>
              </w:rPr>
              <w:t>,</w:t>
            </w:r>
            <w:r>
              <w:rPr>
                <w:rFonts w:ascii="Times New Roman" w:hAnsi="Times New Roman"/>
                <w:sz w:val="22"/>
              </w:rPr>
              <w:t>863</w:t>
            </w:r>
            <w:r w:rsidR="0050623B">
              <w:rPr>
                <w:rFonts w:ascii="Times New Roman" w:hAnsi="Times New Roman"/>
                <w:sz w:val="22"/>
              </w:rPr>
              <w:t>.</w:t>
            </w: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B87CDA" w:rsidRDefault="00B87CDA" w:rsidP="008C56C0">
            <w:pPr>
              <w:pStyle w:val="BodyText2"/>
              <w:tabs>
                <w:tab w:val="left" w:pos="-720"/>
                <w:tab w:val="left" w:pos="1"/>
                <w:tab w:val="left" w:leader="dot" w:pos="6480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CDA" w:rsidRDefault="003F5E13" w:rsidP="003F5E13">
            <w:pPr>
              <w:pStyle w:val="BodyText2"/>
              <w:tabs>
                <w:tab w:val="left" w:pos="-720"/>
                <w:tab w:val="left" w:pos="1"/>
                <w:tab w:val="decimal" w:pos="1062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  <w:r w:rsidR="00B87CDA">
              <w:rPr>
                <w:rFonts w:ascii="Times New Roman" w:hAnsi="Times New Roman"/>
                <w:sz w:val="22"/>
              </w:rPr>
              <w:t>,</w:t>
            </w:r>
            <w:r>
              <w:rPr>
                <w:rFonts w:ascii="Times New Roman" w:hAnsi="Times New Roman"/>
                <w:sz w:val="22"/>
              </w:rPr>
              <w:t>912</w:t>
            </w:r>
            <w:r w:rsidR="00B87CDA">
              <w:rPr>
                <w:rFonts w:ascii="Times New Roman" w:hAnsi="Times New Roman"/>
                <w:sz w:val="22"/>
              </w:rPr>
              <w:t>.</w:t>
            </w:r>
            <w:r>
              <w:rPr>
                <w:rFonts w:ascii="Times New Roman" w:hAnsi="Times New Roman"/>
                <w:sz w:val="22"/>
              </w:rPr>
              <w:t>8</w:t>
            </w:r>
          </w:p>
        </w:tc>
      </w:tr>
      <w:tr w:rsidR="00B87CDA" w:rsidTr="008C56C0">
        <w:trPr>
          <w:cantSplit/>
          <w:trHeight w:val="289"/>
        </w:trPr>
        <w:tc>
          <w:tcPr>
            <w:tcW w:w="4599" w:type="dxa"/>
            <w:tcBorders>
              <w:top w:val="nil"/>
              <w:left w:val="nil"/>
              <w:bottom w:val="nil"/>
              <w:right w:val="nil"/>
            </w:tcBorders>
          </w:tcPr>
          <w:p w:rsidR="00B87CDA" w:rsidRDefault="00B87CDA" w:rsidP="008C56C0">
            <w:pPr>
              <w:pStyle w:val="BodyText2"/>
              <w:tabs>
                <w:tab w:val="left" w:pos="-720"/>
                <w:tab w:val="left" w:pos="180"/>
                <w:tab w:val="left" w:pos="540"/>
                <w:tab w:val="right" w:leader="dot" w:pos="3960"/>
                <w:tab w:val="left" w:leader="dot" w:pos="6480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Secured trust deposits</w:t>
            </w:r>
            <w:r>
              <w:rPr>
                <w:rFonts w:ascii="Times New Roman" w:hAnsi="Times New Roman"/>
                <w:sz w:val="22"/>
              </w:rPr>
              <w:tab/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B87CDA" w:rsidRDefault="00B87CDA" w:rsidP="008C56C0">
            <w:pPr>
              <w:pStyle w:val="BodyText2"/>
              <w:tabs>
                <w:tab w:val="left" w:pos="-720"/>
                <w:tab w:val="left" w:pos="1"/>
                <w:tab w:val="left" w:leader="dot" w:pos="6480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CDA" w:rsidRDefault="001B2DA4" w:rsidP="001B2DA4">
            <w:pPr>
              <w:pStyle w:val="BodyText2"/>
              <w:tabs>
                <w:tab w:val="left" w:pos="-720"/>
                <w:tab w:val="left" w:pos="1"/>
                <w:tab w:val="decimal" w:pos="1062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433.0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B87CDA" w:rsidRDefault="00B87CDA" w:rsidP="008C56C0">
            <w:pPr>
              <w:pStyle w:val="BodyText2"/>
              <w:tabs>
                <w:tab w:val="left" w:pos="-720"/>
                <w:tab w:val="left" w:pos="1"/>
                <w:tab w:val="left" w:leader="dot" w:pos="6480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CDA" w:rsidRDefault="003F5E13" w:rsidP="00B81EED">
            <w:pPr>
              <w:pStyle w:val="BodyText2"/>
              <w:tabs>
                <w:tab w:val="left" w:pos="-720"/>
                <w:tab w:val="left" w:pos="1"/>
                <w:tab w:val="decimal" w:pos="1062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419.9</w:t>
            </w:r>
          </w:p>
        </w:tc>
      </w:tr>
      <w:tr w:rsidR="00B87CDA" w:rsidTr="008C56C0">
        <w:trPr>
          <w:cantSplit/>
          <w:trHeight w:val="267"/>
        </w:trPr>
        <w:tc>
          <w:tcPr>
            <w:tcW w:w="4599" w:type="dxa"/>
            <w:tcBorders>
              <w:top w:val="nil"/>
              <w:left w:val="nil"/>
              <w:bottom w:val="nil"/>
              <w:right w:val="nil"/>
            </w:tcBorders>
          </w:tcPr>
          <w:p w:rsidR="00B87CDA" w:rsidRDefault="00B87CDA" w:rsidP="001A1062">
            <w:pPr>
              <w:pStyle w:val="BodyText2"/>
              <w:tabs>
                <w:tab w:val="left" w:pos="-720"/>
                <w:tab w:val="left" w:pos="180"/>
                <w:tab w:val="left" w:pos="540"/>
                <w:tab w:val="right" w:leader="dot" w:pos="3960"/>
                <w:tab w:val="left" w:leader="dot" w:pos="6480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Total equity</w:t>
            </w:r>
            <w:r>
              <w:rPr>
                <w:rFonts w:ascii="Times New Roman" w:hAnsi="Times New Roman"/>
                <w:sz w:val="22"/>
              </w:rPr>
              <w:tab/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B87CDA" w:rsidRDefault="00B87CDA" w:rsidP="008C56C0">
            <w:pPr>
              <w:pStyle w:val="BodyText2"/>
              <w:tabs>
                <w:tab w:val="left" w:pos="-720"/>
                <w:tab w:val="left" w:pos="1"/>
                <w:tab w:val="left" w:leader="dot" w:pos="6480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CDA" w:rsidRDefault="0050623B" w:rsidP="001B2DA4">
            <w:pPr>
              <w:pStyle w:val="BodyText2"/>
              <w:tabs>
                <w:tab w:val="left" w:pos="-720"/>
                <w:tab w:val="left" w:pos="1"/>
                <w:tab w:val="decimal" w:pos="1062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3,</w:t>
            </w:r>
            <w:r w:rsidR="001B2DA4">
              <w:rPr>
                <w:rFonts w:ascii="Times New Roman" w:hAnsi="Times New Roman"/>
                <w:sz w:val="22"/>
              </w:rPr>
              <w:t>758.3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B87CDA" w:rsidRDefault="00B87CDA" w:rsidP="008C56C0">
            <w:pPr>
              <w:pStyle w:val="BodyText2"/>
              <w:tabs>
                <w:tab w:val="left" w:pos="-720"/>
                <w:tab w:val="left" w:pos="1"/>
                <w:tab w:val="left" w:leader="dot" w:pos="6480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CDA" w:rsidRDefault="00B87CDA" w:rsidP="003F5E13">
            <w:pPr>
              <w:pStyle w:val="BodyText2"/>
              <w:tabs>
                <w:tab w:val="left" w:pos="-720"/>
                <w:tab w:val="left" w:pos="1"/>
                <w:tab w:val="decimal" w:pos="1062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3,</w:t>
            </w:r>
            <w:r w:rsidR="003F5E13">
              <w:rPr>
                <w:rFonts w:ascii="Times New Roman" w:hAnsi="Times New Roman"/>
                <w:sz w:val="22"/>
              </w:rPr>
              <w:t>655</w:t>
            </w:r>
            <w:r>
              <w:rPr>
                <w:rFonts w:ascii="Times New Roman" w:hAnsi="Times New Roman"/>
                <w:sz w:val="22"/>
              </w:rPr>
              <w:t>.</w:t>
            </w:r>
            <w:r w:rsidR="003F5E13">
              <w:rPr>
                <w:rFonts w:ascii="Times New Roman" w:hAnsi="Times New Roman"/>
                <w:sz w:val="22"/>
              </w:rPr>
              <w:t>9</w:t>
            </w:r>
          </w:p>
        </w:tc>
      </w:tr>
      <w:tr w:rsidR="00B87CDA" w:rsidTr="008C56C0">
        <w:trPr>
          <w:cantSplit/>
          <w:trHeight w:val="378"/>
        </w:trPr>
        <w:tc>
          <w:tcPr>
            <w:tcW w:w="4599" w:type="dxa"/>
            <w:tcBorders>
              <w:top w:val="nil"/>
              <w:left w:val="nil"/>
              <w:bottom w:val="nil"/>
              <w:right w:val="nil"/>
            </w:tcBorders>
          </w:tcPr>
          <w:p w:rsidR="00B87CDA" w:rsidRDefault="00B87CDA" w:rsidP="008C56C0">
            <w:pPr>
              <w:pStyle w:val="BodyText2"/>
              <w:tabs>
                <w:tab w:val="left" w:pos="-720"/>
                <w:tab w:val="left" w:pos="180"/>
                <w:tab w:val="left" w:pos="540"/>
                <w:tab w:val="right" w:leader="dot" w:pos="3960"/>
                <w:tab w:val="left" w:leader="dot" w:pos="6480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Book value per share</w:t>
            </w:r>
            <w:r>
              <w:rPr>
                <w:rFonts w:ascii="Times New Roman" w:hAnsi="Times New Roman"/>
                <w:sz w:val="22"/>
              </w:rPr>
              <w:tab/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B87CDA" w:rsidRDefault="00B87CDA" w:rsidP="008C56C0">
            <w:pPr>
              <w:pStyle w:val="BodyText2"/>
              <w:tabs>
                <w:tab w:val="left" w:pos="-720"/>
                <w:tab w:val="left" w:pos="1"/>
                <w:tab w:val="left" w:leader="dot" w:pos="6480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CDA" w:rsidRDefault="00B87CDA" w:rsidP="001B2DA4">
            <w:pPr>
              <w:pStyle w:val="BodyText2"/>
              <w:tabs>
                <w:tab w:val="left" w:pos="-720"/>
                <w:tab w:val="left" w:pos="1"/>
                <w:tab w:val="decimal" w:pos="1062"/>
                <w:tab w:val="left" w:leader="dot" w:pos="6480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</w:t>
            </w:r>
            <w:r w:rsidR="0050623B">
              <w:rPr>
                <w:rFonts w:ascii="Times New Roman" w:hAnsi="Times New Roman"/>
                <w:sz w:val="22"/>
              </w:rPr>
              <w:t>1</w:t>
            </w:r>
            <w:r w:rsidR="001B2DA4">
              <w:rPr>
                <w:rFonts w:ascii="Times New Roman" w:hAnsi="Times New Roman"/>
                <w:sz w:val="22"/>
              </w:rPr>
              <w:t>6</w:t>
            </w:r>
            <w:r w:rsidR="0050623B">
              <w:rPr>
                <w:rFonts w:ascii="Times New Roman" w:hAnsi="Times New Roman"/>
                <w:sz w:val="22"/>
              </w:rPr>
              <w:t>.</w:t>
            </w:r>
            <w:r w:rsidR="001B2DA4">
              <w:rPr>
                <w:rFonts w:ascii="Times New Roman" w:hAnsi="Times New Roman"/>
                <w:sz w:val="22"/>
              </w:rPr>
              <w:t>87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B87CDA" w:rsidRDefault="00B87CDA" w:rsidP="008C56C0">
            <w:pPr>
              <w:pStyle w:val="BodyText2"/>
              <w:tabs>
                <w:tab w:val="left" w:pos="-720"/>
                <w:tab w:val="left" w:pos="1"/>
                <w:tab w:val="left" w:leader="dot" w:pos="6480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CDA" w:rsidRDefault="00B87CDA" w:rsidP="003F5E13">
            <w:pPr>
              <w:pStyle w:val="BodyText2"/>
              <w:tabs>
                <w:tab w:val="left" w:pos="-720"/>
                <w:tab w:val="left" w:pos="1"/>
                <w:tab w:val="decimal" w:pos="1062"/>
                <w:tab w:val="left" w:leader="dot" w:pos="6480"/>
                <w:tab w:val="left" w:pos="7272"/>
                <w:tab w:val="decimal" w:pos="7992"/>
                <w:tab w:val="left" w:pos="8424"/>
                <w:tab w:val="decimal" w:pos="9072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</w:t>
            </w:r>
            <w:r w:rsidR="003F5E13">
              <w:rPr>
                <w:rFonts w:ascii="Times New Roman" w:hAnsi="Times New Roman"/>
                <w:sz w:val="22"/>
              </w:rPr>
              <w:t>6</w:t>
            </w:r>
            <w:r>
              <w:rPr>
                <w:rFonts w:ascii="Times New Roman" w:hAnsi="Times New Roman"/>
                <w:sz w:val="22"/>
              </w:rPr>
              <w:t>.</w:t>
            </w:r>
            <w:r w:rsidR="003F5E13">
              <w:rPr>
                <w:rFonts w:ascii="Times New Roman" w:hAnsi="Times New Roman"/>
                <w:sz w:val="22"/>
              </w:rPr>
              <w:t>57</w:t>
            </w:r>
          </w:p>
        </w:tc>
      </w:tr>
    </w:tbl>
    <w:p w:rsidR="002028FA" w:rsidRDefault="002028FA" w:rsidP="002028FA">
      <w:pPr>
        <w:spacing w:line="480" w:lineRule="auto"/>
        <w:ind w:left="2880" w:firstLine="720"/>
        <w:rPr>
          <w:sz w:val="16"/>
        </w:rPr>
        <w:sectPr w:rsidR="002028FA" w:rsidSect="00CF6FB8">
          <w:type w:val="continuous"/>
          <w:pgSz w:w="12240" w:h="15840"/>
          <w:pgMar w:top="864" w:right="1296" w:bottom="864" w:left="2880" w:header="720" w:footer="720" w:gutter="0"/>
          <w:cols w:space="720"/>
        </w:sectPr>
      </w:pPr>
    </w:p>
    <w:p w:rsidR="002028FA" w:rsidRDefault="002028FA" w:rsidP="002028FA">
      <w:pPr>
        <w:spacing w:line="480" w:lineRule="auto"/>
        <w:ind w:left="2880" w:firstLine="90"/>
        <w:rPr>
          <w:rFonts w:ascii="Times New Roman" w:hAnsi="Times New Roman"/>
          <w:szCs w:val="24"/>
        </w:rPr>
      </w:pPr>
    </w:p>
    <w:p w:rsidR="002028FA" w:rsidRDefault="002028FA" w:rsidP="002028FA">
      <w:pPr>
        <w:spacing w:line="480" w:lineRule="auto"/>
        <w:ind w:left="2880" w:firstLine="90"/>
        <w:rPr>
          <w:rFonts w:ascii="Times New Roman" w:hAnsi="Times New Roman"/>
          <w:szCs w:val="24"/>
        </w:rPr>
      </w:pPr>
      <w:bookmarkStart w:id="0" w:name="NotesToUnauditedProFormaCombinedF_144835"/>
      <w:bookmarkEnd w:id="0"/>
      <w:r w:rsidRPr="00841456">
        <w:rPr>
          <w:rFonts w:ascii="Times New Roman" w:hAnsi="Times New Roman"/>
          <w:szCs w:val="24"/>
        </w:rPr>
        <w:t>##</w:t>
      </w:r>
      <w:r>
        <w:rPr>
          <w:rFonts w:ascii="Times New Roman" w:hAnsi="Times New Roman"/>
          <w:szCs w:val="24"/>
        </w:rPr>
        <w:t>#</w:t>
      </w:r>
    </w:p>
    <w:p w:rsidR="00EC2726" w:rsidRDefault="002028FA" w:rsidP="002028FA">
      <w:pPr>
        <w:ind w:left="-1440"/>
        <w:jc w:val="center"/>
      </w:pPr>
      <w:r>
        <w:t xml:space="preserve"> </w:t>
      </w:r>
    </w:p>
    <w:p w:rsidR="00EC2726" w:rsidRDefault="00EC2726">
      <w:pPr>
        <w:ind w:left="-1440"/>
        <w:jc w:val="center"/>
        <w:rPr>
          <w:rFonts w:ascii="Times New Roman" w:hAnsi="Times New Roman"/>
        </w:rPr>
      </w:pPr>
    </w:p>
    <w:sectPr w:rsidR="00EC2726" w:rsidSect="00CF6FB8">
      <w:type w:val="continuous"/>
      <w:pgSz w:w="12240" w:h="15840"/>
      <w:pgMar w:top="720" w:right="1296" w:bottom="720" w:left="28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B4F" w:rsidRDefault="00596B4F">
      <w:r>
        <w:separator/>
      </w:r>
    </w:p>
  </w:endnote>
  <w:endnote w:type="continuationSeparator" w:id="0">
    <w:p w:rsidR="00596B4F" w:rsidRDefault="00596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altName w:val="Bemb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utch801 Rm B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B4F" w:rsidRDefault="00596B4F">
      <w:r>
        <w:separator/>
      </w:r>
    </w:p>
  </w:footnote>
  <w:footnote w:type="continuationSeparator" w:id="0">
    <w:p w:rsidR="00596B4F" w:rsidRDefault="00596B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457E8"/>
    <w:multiLevelType w:val="hybridMultilevel"/>
    <w:tmpl w:val="65FA9D58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44FC2F9E"/>
    <w:multiLevelType w:val="hybridMultilevel"/>
    <w:tmpl w:val="FC18BBA2"/>
    <w:lvl w:ilvl="0" w:tplc="5EFC8772">
      <w:start w:val="1"/>
      <w:numFmt w:val="decimal"/>
      <w:lvlText w:val="(%1)"/>
      <w:lvlJc w:val="left"/>
      <w:pPr>
        <w:tabs>
          <w:tab w:val="num" w:pos="-3280"/>
        </w:tabs>
        <w:ind w:left="-32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C13986"/>
    <w:multiLevelType w:val="hybridMultilevel"/>
    <w:tmpl w:val="845067BC"/>
    <w:lvl w:ilvl="0" w:tplc="9E303D78">
      <w:numFmt w:val="bullet"/>
      <w:lvlText w:val="-"/>
      <w:lvlJc w:val="left"/>
      <w:pPr>
        <w:tabs>
          <w:tab w:val="num" w:pos="-1170"/>
        </w:tabs>
        <w:ind w:left="-1170" w:hanging="360"/>
      </w:pPr>
      <w:rPr>
        <w:rFonts w:ascii="Times New Roman" w:eastAsia="Courier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450"/>
        </w:tabs>
        <w:ind w:left="-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"/>
        </w:tabs>
        <w:ind w:left="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</w:abstractNum>
  <w:abstractNum w:abstractNumId="3">
    <w:nsid w:val="5386037B"/>
    <w:multiLevelType w:val="hybridMultilevel"/>
    <w:tmpl w:val="562C33F6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5D7A6781"/>
    <w:multiLevelType w:val="hybridMultilevel"/>
    <w:tmpl w:val="2E18B7DA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0205"/>
    <w:rsid w:val="000001F6"/>
    <w:rsid w:val="0000051F"/>
    <w:rsid w:val="000008E9"/>
    <w:rsid w:val="00000F91"/>
    <w:rsid w:val="00001287"/>
    <w:rsid w:val="00002391"/>
    <w:rsid w:val="00002817"/>
    <w:rsid w:val="000046C5"/>
    <w:rsid w:val="000047DD"/>
    <w:rsid w:val="00004AAE"/>
    <w:rsid w:val="00004BF1"/>
    <w:rsid w:val="000065CF"/>
    <w:rsid w:val="00007114"/>
    <w:rsid w:val="00007CBD"/>
    <w:rsid w:val="00010118"/>
    <w:rsid w:val="00010621"/>
    <w:rsid w:val="0001090D"/>
    <w:rsid w:val="0001096C"/>
    <w:rsid w:val="00010991"/>
    <w:rsid w:val="00010C29"/>
    <w:rsid w:val="000129DC"/>
    <w:rsid w:val="0001340D"/>
    <w:rsid w:val="00013484"/>
    <w:rsid w:val="0001379D"/>
    <w:rsid w:val="00014200"/>
    <w:rsid w:val="000168A6"/>
    <w:rsid w:val="000171EC"/>
    <w:rsid w:val="000172D8"/>
    <w:rsid w:val="00017E5E"/>
    <w:rsid w:val="000207FC"/>
    <w:rsid w:val="00021D99"/>
    <w:rsid w:val="000225A0"/>
    <w:rsid w:val="000230AF"/>
    <w:rsid w:val="00023D6C"/>
    <w:rsid w:val="00023EBC"/>
    <w:rsid w:val="00024401"/>
    <w:rsid w:val="00025AE9"/>
    <w:rsid w:val="00025FAA"/>
    <w:rsid w:val="000266C5"/>
    <w:rsid w:val="000300EA"/>
    <w:rsid w:val="000307D4"/>
    <w:rsid w:val="00030F93"/>
    <w:rsid w:val="00031915"/>
    <w:rsid w:val="000339CC"/>
    <w:rsid w:val="00033A9E"/>
    <w:rsid w:val="00034D96"/>
    <w:rsid w:val="00037A32"/>
    <w:rsid w:val="00037CED"/>
    <w:rsid w:val="00040E60"/>
    <w:rsid w:val="0004177C"/>
    <w:rsid w:val="00041917"/>
    <w:rsid w:val="000427E8"/>
    <w:rsid w:val="0004438D"/>
    <w:rsid w:val="00044806"/>
    <w:rsid w:val="00045BA9"/>
    <w:rsid w:val="0004670B"/>
    <w:rsid w:val="00047572"/>
    <w:rsid w:val="0005013C"/>
    <w:rsid w:val="00051ADB"/>
    <w:rsid w:val="00051F30"/>
    <w:rsid w:val="0005210C"/>
    <w:rsid w:val="000527F2"/>
    <w:rsid w:val="00053651"/>
    <w:rsid w:val="00054C3D"/>
    <w:rsid w:val="000565AE"/>
    <w:rsid w:val="000568AE"/>
    <w:rsid w:val="000569EA"/>
    <w:rsid w:val="00056F54"/>
    <w:rsid w:val="000575D0"/>
    <w:rsid w:val="00057DEC"/>
    <w:rsid w:val="00060E5E"/>
    <w:rsid w:val="0006111F"/>
    <w:rsid w:val="000621A5"/>
    <w:rsid w:val="00063B12"/>
    <w:rsid w:val="00065441"/>
    <w:rsid w:val="0006673F"/>
    <w:rsid w:val="0007122C"/>
    <w:rsid w:val="0007319E"/>
    <w:rsid w:val="00073311"/>
    <w:rsid w:val="00074952"/>
    <w:rsid w:val="00074C77"/>
    <w:rsid w:val="000775C7"/>
    <w:rsid w:val="000807BE"/>
    <w:rsid w:val="00082210"/>
    <w:rsid w:val="00084B1B"/>
    <w:rsid w:val="000852D4"/>
    <w:rsid w:val="00091BC7"/>
    <w:rsid w:val="00093AF8"/>
    <w:rsid w:val="000949F5"/>
    <w:rsid w:val="00094EBD"/>
    <w:rsid w:val="000961D7"/>
    <w:rsid w:val="00096D4B"/>
    <w:rsid w:val="00097FC3"/>
    <w:rsid w:val="000A0319"/>
    <w:rsid w:val="000A0526"/>
    <w:rsid w:val="000A0C8D"/>
    <w:rsid w:val="000A11AE"/>
    <w:rsid w:val="000A2055"/>
    <w:rsid w:val="000A33E3"/>
    <w:rsid w:val="000A3BF2"/>
    <w:rsid w:val="000A3D5A"/>
    <w:rsid w:val="000A4996"/>
    <w:rsid w:val="000A570A"/>
    <w:rsid w:val="000A6858"/>
    <w:rsid w:val="000B0787"/>
    <w:rsid w:val="000B0D74"/>
    <w:rsid w:val="000B1D66"/>
    <w:rsid w:val="000B5724"/>
    <w:rsid w:val="000B5BF9"/>
    <w:rsid w:val="000B5CDD"/>
    <w:rsid w:val="000B5FDC"/>
    <w:rsid w:val="000B795B"/>
    <w:rsid w:val="000C1772"/>
    <w:rsid w:val="000C2135"/>
    <w:rsid w:val="000C25A4"/>
    <w:rsid w:val="000C32AA"/>
    <w:rsid w:val="000C3604"/>
    <w:rsid w:val="000C495B"/>
    <w:rsid w:val="000C7208"/>
    <w:rsid w:val="000C7672"/>
    <w:rsid w:val="000D0089"/>
    <w:rsid w:val="000D01B7"/>
    <w:rsid w:val="000D2052"/>
    <w:rsid w:val="000D329F"/>
    <w:rsid w:val="000D4C5E"/>
    <w:rsid w:val="000D4FC4"/>
    <w:rsid w:val="000D61F8"/>
    <w:rsid w:val="000D7312"/>
    <w:rsid w:val="000D7B89"/>
    <w:rsid w:val="000E0035"/>
    <w:rsid w:val="000E0275"/>
    <w:rsid w:val="000E03F9"/>
    <w:rsid w:val="000E2923"/>
    <w:rsid w:val="000E2985"/>
    <w:rsid w:val="000E3E88"/>
    <w:rsid w:val="000E5080"/>
    <w:rsid w:val="000E5275"/>
    <w:rsid w:val="000E6E75"/>
    <w:rsid w:val="000E78B0"/>
    <w:rsid w:val="000E7F51"/>
    <w:rsid w:val="000F05E1"/>
    <w:rsid w:val="000F20D2"/>
    <w:rsid w:val="000F24EE"/>
    <w:rsid w:val="000F44A1"/>
    <w:rsid w:val="000F50AF"/>
    <w:rsid w:val="000F52E2"/>
    <w:rsid w:val="000F57D0"/>
    <w:rsid w:val="000F5CD1"/>
    <w:rsid w:val="000F5EF1"/>
    <w:rsid w:val="000F612F"/>
    <w:rsid w:val="0010098F"/>
    <w:rsid w:val="001058D9"/>
    <w:rsid w:val="00107513"/>
    <w:rsid w:val="00113404"/>
    <w:rsid w:val="00115BE8"/>
    <w:rsid w:val="0011632C"/>
    <w:rsid w:val="001168D2"/>
    <w:rsid w:val="0011706B"/>
    <w:rsid w:val="00117845"/>
    <w:rsid w:val="00117CBA"/>
    <w:rsid w:val="00122AB4"/>
    <w:rsid w:val="00122B09"/>
    <w:rsid w:val="00122E08"/>
    <w:rsid w:val="00122EB2"/>
    <w:rsid w:val="00123A6E"/>
    <w:rsid w:val="00123DC1"/>
    <w:rsid w:val="00123FD2"/>
    <w:rsid w:val="0012513C"/>
    <w:rsid w:val="0012575D"/>
    <w:rsid w:val="0012740E"/>
    <w:rsid w:val="00131575"/>
    <w:rsid w:val="0013279E"/>
    <w:rsid w:val="00132AE9"/>
    <w:rsid w:val="00135AE8"/>
    <w:rsid w:val="00136B44"/>
    <w:rsid w:val="00136C8C"/>
    <w:rsid w:val="00140134"/>
    <w:rsid w:val="00142CBA"/>
    <w:rsid w:val="00142FEF"/>
    <w:rsid w:val="00143B73"/>
    <w:rsid w:val="0014519E"/>
    <w:rsid w:val="00146A7C"/>
    <w:rsid w:val="00146C47"/>
    <w:rsid w:val="00147A43"/>
    <w:rsid w:val="00151F87"/>
    <w:rsid w:val="00153EC7"/>
    <w:rsid w:val="001546F4"/>
    <w:rsid w:val="00154A05"/>
    <w:rsid w:val="00157035"/>
    <w:rsid w:val="00160AF3"/>
    <w:rsid w:val="001610F0"/>
    <w:rsid w:val="00161D47"/>
    <w:rsid w:val="001630AD"/>
    <w:rsid w:val="001655BA"/>
    <w:rsid w:val="001660E5"/>
    <w:rsid w:val="001705BD"/>
    <w:rsid w:val="00172378"/>
    <w:rsid w:val="00175121"/>
    <w:rsid w:val="0017524B"/>
    <w:rsid w:val="001752D5"/>
    <w:rsid w:val="00175F0F"/>
    <w:rsid w:val="001769B2"/>
    <w:rsid w:val="001775D1"/>
    <w:rsid w:val="00177678"/>
    <w:rsid w:val="00177A62"/>
    <w:rsid w:val="00180453"/>
    <w:rsid w:val="00182992"/>
    <w:rsid w:val="001831E2"/>
    <w:rsid w:val="0018409D"/>
    <w:rsid w:val="001853A1"/>
    <w:rsid w:val="0018721C"/>
    <w:rsid w:val="0019069F"/>
    <w:rsid w:val="00190824"/>
    <w:rsid w:val="00192123"/>
    <w:rsid w:val="001931A7"/>
    <w:rsid w:val="00193EF8"/>
    <w:rsid w:val="0019496C"/>
    <w:rsid w:val="00195337"/>
    <w:rsid w:val="00196E13"/>
    <w:rsid w:val="001A00BB"/>
    <w:rsid w:val="001A1015"/>
    <w:rsid w:val="001A1062"/>
    <w:rsid w:val="001A111E"/>
    <w:rsid w:val="001A1A98"/>
    <w:rsid w:val="001A20CF"/>
    <w:rsid w:val="001A3223"/>
    <w:rsid w:val="001A3D9F"/>
    <w:rsid w:val="001A6174"/>
    <w:rsid w:val="001A66FC"/>
    <w:rsid w:val="001A6AC2"/>
    <w:rsid w:val="001A701A"/>
    <w:rsid w:val="001A77D2"/>
    <w:rsid w:val="001A7CB3"/>
    <w:rsid w:val="001B000E"/>
    <w:rsid w:val="001B03C3"/>
    <w:rsid w:val="001B2DA4"/>
    <w:rsid w:val="001B4A42"/>
    <w:rsid w:val="001B5E91"/>
    <w:rsid w:val="001B60A8"/>
    <w:rsid w:val="001B6186"/>
    <w:rsid w:val="001B6F42"/>
    <w:rsid w:val="001C4504"/>
    <w:rsid w:val="001C4512"/>
    <w:rsid w:val="001C5165"/>
    <w:rsid w:val="001C5A35"/>
    <w:rsid w:val="001C6263"/>
    <w:rsid w:val="001C6E06"/>
    <w:rsid w:val="001C6E98"/>
    <w:rsid w:val="001D3C6F"/>
    <w:rsid w:val="001D4495"/>
    <w:rsid w:val="001D48D6"/>
    <w:rsid w:val="001D4DE9"/>
    <w:rsid w:val="001D6D54"/>
    <w:rsid w:val="001D6FE2"/>
    <w:rsid w:val="001E0583"/>
    <w:rsid w:val="001E239C"/>
    <w:rsid w:val="001E372D"/>
    <w:rsid w:val="001E415A"/>
    <w:rsid w:val="001E4199"/>
    <w:rsid w:val="001E537A"/>
    <w:rsid w:val="001E6AE4"/>
    <w:rsid w:val="001E7303"/>
    <w:rsid w:val="001E7E3E"/>
    <w:rsid w:val="001F0EF5"/>
    <w:rsid w:val="001F43F7"/>
    <w:rsid w:val="001F4856"/>
    <w:rsid w:val="001F4E96"/>
    <w:rsid w:val="001F56AF"/>
    <w:rsid w:val="001F5E59"/>
    <w:rsid w:val="001F6710"/>
    <w:rsid w:val="001F6B45"/>
    <w:rsid w:val="001F70E5"/>
    <w:rsid w:val="001F7944"/>
    <w:rsid w:val="001F7F94"/>
    <w:rsid w:val="002026A3"/>
    <w:rsid w:val="002028FA"/>
    <w:rsid w:val="00203069"/>
    <w:rsid w:val="00205A8D"/>
    <w:rsid w:val="00205F1B"/>
    <w:rsid w:val="0020606E"/>
    <w:rsid w:val="00206EAA"/>
    <w:rsid w:val="002071DC"/>
    <w:rsid w:val="00210EB4"/>
    <w:rsid w:val="0021160D"/>
    <w:rsid w:val="002118E9"/>
    <w:rsid w:val="00211975"/>
    <w:rsid w:val="0021249F"/>
    <w:rsid w:val="002141A2"/>
    <w:rsid w:val="00214ED1"/>
    <w:rsid w:val="002210D9"/>
    <w:rsid w:val="0022181F"/>
    <w:rsid w:val="00225048"/>
    <w:rsid w:val="00225200"/>
    <w:rsid w:val="00226E6F"/>
    <w:rsid w:val="00230414"/>
    <w:rsid w:val="0023059E"/>
    <w:rsid w:val="002314A7"/>
    <w:rsid w:val="00231A3D"/>
    <w:rsid w:val="00231F87"/>
    <w:rsid w:val="00231FD0"/>
    <w:rsid w:val="002346B5"/>
    <w:rsid w:val="00235414"/>
    <w:rsid w:val="002374CC"/>
    <w:rsid w:val="0024124F"/>
    <w:rsid w:val="00242373"/>
    <w:rsid w:val="00244083"/>
    <w:rsid w:val="0024556E"/>
    <w:rsid w:val="00245621"/>
    <w:rsid w:val="002464B6"/>
    <w:rsid w:val="002465BB"/>
    <w:rsid w:val="00247A8B"/>
    <w:rsid w:val="0025051A"/>
    <w:rsid w:val="00250C29"/>
    <w:rsid w:val="00251A31"/>
    <w:rsid w:val="002529B1"/>
    <w:rsid w:val="00256685"/>
    <w:rsid w:val="00256D36"/>
    <w:rsid w:val="00260A4B"/>
    <w:rsid w:val="002615B4"/>
    <w:rsid w:val="00261C13"/>
    <w:rsid w:val="002621EA"/>
    <w:rsid w:val="00262651"/>
    <w:rsid w:val="00263C0E"/>
    <w:rsid w:val="00263CEF"/>
    <w:rsid w:val="00264054"/>
    <w:rsid w:val="00264B21"/>
    <w:rsid w:val="0026718F"/>
    <w:rsid w:val="00267787"/>
    <w:rsid w:val="0026794D"/>
    <w:rsid w:val="0027066A"/>
    <w:rsid w:val="00270997"/>
    <w:rsid w:val="00272FB0"/>
    <w:rsid w:val="00272FDF"/>
    <w:rsid w:val="00274BD8"/>
    <w:rsid w:val="00275BAF"/>
    <w:rsid w:val="0027771D"/>
    <w:rsid w:val="00277E73"/>
    <w:rsid w:val="002803BB"/>
    <w:rsid w:val="0028580F"/>
    <w:rsid w:val="00285F1E"/>
    <w:rsid w:val="00286223"/>
    <w:rsid w:val="002869A3"/>
    <w:rsid w:val="00287C0D"/>
    <w:rsid w:val="00291D56"/>
    <w:rsid w:val="00292DEB"/>
    <w:rsid w:val="00293838"/>
    <w:rsid w:val="0029557B"/>
    <w:rsid w:val="00296DF5"/>
    <w:rsid w:val="002A0067"/>
    <w:rsid w:val="002A2131"/>
    <w:rsid w:val="002A2149"/>
    <w:rsid w:val="002A4488"/>
    <w:rsid w:val="002A523A"/>
    <w:rsid w:val="002B160E"/>
    <w:rsid w:val="002B22B4"/>
    <w:rsid w:val="002B2CD4"/>
    <w:rsid w:val="002B32A6"/>
    <w:rsid w:val="002B34A7"/>
    <w:rsid w:val="002B3BFE"/>
    <w:rsid w:val="002B4961"/>
    <w:rsid w:val="002B706B"/>
    <w:rsid w:val="002C02E0"/>
    <w:rsid w:val="002C0F6E"/>
    <w:rsid w:val="002C1CF7"/>
    <w:rsid w:val="002C3962"/>
    <w:rsid w:val="002C6026"/>
    <w:rsid w:val="002C6C51"/>
    <w:rsid w:val="002C72B3"/>
    <w:rsid w:val="002C72D1"/>
    <w:rsid w:val="002D0015"/>
    <w:rsid w:val="002D0B68"/>
    <w:rsid w:val="002D1380"/>
    <w:rsid w:val="002D2B62"/>
    <w:rsid w:val="002D5EF9"/>
    <w:rsid w:val="002E0223"/>
    <w:rsid w:val="002E0619"/>
    <w:rsid w:val="002E1329"/>
    <w:rsid w:val="002E19F1"/>
    <w:rsid w:val="002E2143"/>
    <w:rsid w:val="002E2C4B"/>
    <w:rsid w:val="002E2C54"/>
    <w:rsid w:val="002E3D8F"/>
    <w:rsid w:val="002E4994"/>
    <w:rsid w:val="002E534B"/>
    <w:rsid w:val="002E62F1"/>
    <w:rsid w:val="002E6C59"/>
    <w:rsid w:val="002E7890"/>
    <w:rsid w:val="002F1FE0"/>
    <w:rsid w:val="002F26DE"/>
    <w:rsid w:val="002F2D32"/>
    <w:rsid w:val="002F457E"/>
    <w:rsid w:val="002F48B7"/>
    <w:rsid w:val="002F5D2F"/>
    <w:rsid w:val="002F5EEA"/>
    <w:rsid w:val="002F60D0"/>
    <w:rsid w:val="002F7224"/>
    <w:rsid w:val="003010AB"/>
    <w:rsid w:val="003031B8"/>
    <w:rsid w:val="00305CFE"/>
    <w:rsid w:val="00311271"/>
    <w:rsid w:val="003140D5"/>
    <w:rsid w:val="003166D8"/>
    <w:rsid w:val="00320144"/>
    <w:rsid w:val="00320194"/>
    <w:rsid w:val="00320241"/>
    <w:rsid w:val="00322CA5"/>
    <w:rsid w:val="003238A9"/>
    <w:rsid w:val="00324AF5"/>
    <w:rsid w:val="00324C0A"/>
    <w:rsid w:val="00326D29"/>
    <w:rsid w:val="0032731F"/>
    <w:rsid w:val="003273D4"/>
    <w:rsid w:val="00327B8E"/>
    <w:rsid w:val="0033302C"/>
    <w:rsid w:val="00333D41"/>
    <w:rsid w:val="00335FC7"/>
    <w:rsid w:val="00336753"/>
    <w:rsid w:val="0034140A"/>
    <w:rsid w:val="00342072"/>
    <w:rsid w:val="00342076"/>
    <w:rsid w:val="003428B2"/>
    <w:rsid w:val="00343E2F"/>
    <w:rsid w:val="003446A8"/>
    <w:rsid w:val="00344DBA"/>
    <w:rsid w:val="00345F29"/>
    <w:rsid w:val="0034792F"/>
    <w:rsid w:val="00347987"/>
    <w:rsid w:val="00347AA9"/>
    <w:rsid w:val="0035090C"/>
    <w:rsid w:val="00351DF6"/>
    <w:rsid w:val="00352990"/>
    <w:rsid w:val="003538EA"/>
    <w:rsid w:val="00354725"/>
    <w:rsid w:val="003551E6"/>
    <w:rsid w:val="00355771"/>
    <w:rsid w:val="00355A8C"/>
    <w:rsid w:val="00356E1B"/>
    <w:rsid w:val="003603D6"/>
    <w:rsid w:val="00361047"/>
    <w:rsid w:val="00362088"/>
    <w:rsid w:val="00362A28"/>
    <w:rsid w:val="003635CE"/>
    <w:rsid w:val="00365245"/>
    <w:rsid w:val="00366E2B"/>
    <w:rsid w:val="00366E32"/>
    <w:rsid w:val="00367C0C"/>
    <w:rsid w:val="00370391"/>
    <w:rsid w:val="00372D22"/>
    <w:rsid w:val="00373032"/>
    <w:rsid w:val="00373A7F"/>
    <w:rsid w:val="00374152"/>
    <w:rsid w:val="00374370"/>
    <w:rsid w:val="0037456E"/>
    <w:rsid w:val="00380064"/>
    <w:rsid w:val="00380640"/>
    <w:rsid w:val="00382966"/>
    <w:rsid w:val="003832F2"/>
    <w:rsid w:val="0038435A"/>
    <w:rsid w:val="00386299"/>
    <w:rsid w:val="003873FD"/>
    <w:rsid w:val="00387661"/>
    <w:rsid w:val="00390494"/>
    <w:rsid w:val="003904F8"/>
    <w:rsid w:val="00390ECE"/>
    <w:rsid w:val="00391223"/>
    <w:rsid w:val="0039351B"/>
    <w:rsid w:val="00393AE8"/>
    <w:rsid w:val="00393C6E"/>
    <w:rsid w:val="0039403A"/>
    <w:rsid w:val="0039512A"/>
    <w:rsid w:val="00395275"/>
    <w:rsid w:val="003961FF"/>
    <w:rsid w:val="003962E8"/>
    <w:rsid w:val="00396942"/>
    <w:rsid w:val="00397600"/>
    <w:rsid w:val="003A0BBF"/>
    <w:rsid w:val="003A1B6E"/>
    <w:rsid w:val="003A27EC"/>
    <w:rsid w:val="003A4B0E"/>
    <w:rsid w:val="003A57BC"/>
    <w:rsid w:val="003A5BFE"/>
    <w:rsid w:val="003A5D32"/>
    <w:rsid w:val="003A6458"/>
    <w:rsid w:val="003B0A5B"/>
    <w:rsid w:val="003B194E"/>
    <w:rsid w:val="003B1E73"/>
    <w:rsid w:val="003B2195"/>
    <w:rsid w:val="003B39A9"/>
    <w:rsid w:val="003B42B7"/>
    <w:rsid w:val="003B481B"/>
    <w:rsid w:val="003B68F7"/>
    <w:rsid w:val="003C0525"/>
    <w:rsid w:val="003C108A"/>
    <w:rsid w:val="003C1F2B"/>
    <w:rsid w:val="003C2084"/>
    <w:rsid w:val="003C2C68"/>
    <w:rsid w:val="003C3FF8"/>
    <w:rsid w:val="003C4AC1"/>
    <w:rsid w:val="003D01EB"/>
    <w:rsid w:val="003D0245"/>
    <w:rsid w:val="003D0D2D"/>
    <w:rsid w:val="003D2ECF"/>
    <w:rsid w:val="003D3005"/>
    <w:rsid w:val="003D4122"/>
    <w:rsid w:val="003D6878"/>
    <w:rsid w:val="003D7039"/>
    <w:rsid w:val="003D7B5F"/>
    <w:rsid w:val="003D7CBC"/>
    <w:rsid w:val="003E103F"/>
    <w:rsid w:val="003E10E7"/>
    <w:rsid w:val="003E31FF"/>
    <w:rsid w:val="003E3212"/>
    <w:rsid w:val="003E4231"/>
    <w:rsid w:val="003E461C"/>
    <w:rsid w:val="003E738E"/>
    <w:rsid w:val="003E7853"/>
    <w:rsid w:val="003F0270"/>
    <w:rsid w:val="003F1415"/>
    <w:rsid w:val="003F2C02"/>
    <w:rsid w:val="003F2E5B"/>
    <w:rsid w:val="003F38C6"/>
    <w:rsid w:val="003F4225"/>
    <w:rsid w:val="003F5E13"/>
    <w:rsid w:val="003F60B1"/>
    <w:rsid w:val="003F6BFB"/>
    <w:rsid w:val="00400B6A"/>
    <w:rsid w:val="00400F3B"/>
    <w:rsid w:val="00401094"/>
    <w:rsid w:val="00401B8C"/>
    <w:rsid w:val="004021E1"/>
    <w:rsid w:val="00403349"/>
    <w:rsid w:val="004052AD"/>
    <w:rsid w:val="00406CDB"/>
    <w:rsid w:val="00407772"/>
    <w:rsid w:val="004110C0"/>
    <w:rsid w:val="00412EBC"/>
    <w:rsid w:val="004130A2"/>
    <w:rsid w:val="004142A8"/>
    <w:rsid w:val="00414FEC"/>
    <w:rsid w:val="0041536E"/>
    <w:rsid w:val="004164F9"/>
    <w:rsid w:val="00416F42"/>
    <w:rsid w:val="00417886"/>
    <w:rsid w:val="00417975"/>
    <w:rsid w:val="00420A03"/>
    <w:rsid w:val="004213B9"/>
    <w:rsid w:val="00421AD9"/>
    <w:rsid w:val="004221C1"/>
    <w:rsid w:val="00423D09"/>
    <w:rsid w:val="0042491E"/>
    <w:rsid w:val="00424D67"/>
    <w:rsid w:val="004272A0"/>
    <w:rsid w:val="00427DAB"/>
    <w:rsid w:val="00432018"/>
    <w:rsid w:val="00432F2F"/>
    <w:rsid w:val="00434859"/>
    <w:rsid w:val="0043515F"/>
    <w:rsid w:val="00435707"/>
    <w:rsid w:val="004369D7"/>
    <w:rsid w:val="004371BD"/>
    <w:rsid w:val="004372B3"/>
    <w:rsid w:val="00437546"/>
    <w:rsid w:val="004406F0"/>
    <w:rsid w:val="00440EB2"/>
    <w:rsid w:val="00442F10"/>
    <w:rsid w:val="00443F9B"/>
    <w:rsid w:val="00445FE0"/>
    <w:rsid w:val="0044681C"/>
    <w:rsid w:val="00446C27"/>
    <w:rsid w:val="00447A7B"/>
    <w:rsid w:val="00447DD0"/>
    <w:rsid w:val="00447FFC"/>
    <w:rsid w:val="0045008C"/>
    <w:rsid w:val="00450DBB"/>
    <w:rsid w:val="00450DF3"/>
    <w:rsid w:val="00451DEE"/>
    <w:rsid w:val="00453108"/>
    <w:rsid w:val="004532B8"/>
    <w:rsid w:val="00454F80"/>
    <w:rsid w:val="004552F5"/>
    <w:rsid w:val="004559A0"/>
    <w:rsid w:val="00455B3E"/>
    <w:rsid w:val="00455C3F"/>
    <w:rsid w:val="00457805"/>
    <w:rsid w:val="00461D8B"/>
    <w:rsid w:val="00462649"/>
    <w:rsid w:val="00463C32"/>
    <w:rsid w:val="00465CA5"/>
    <w:rsid w:val="00466633"/>
    <w:rsid w:val="004720CA"/>
    <w:rsid w:val="00474213"/>
    <w:rsid w:val="00477DB9"/>
    <w:rsid w:val="004803A6"/>
    <w:rsid w:val="0048182D"/>
    <w:rsid w:val="00483A33"/>
    <w:rsid w:val="004860CB"/>
    <w:rsid w:val="004867C6"/>
    <w:rsid w:val="004923B2"/>
    <w:rsid w:val="00493A01"/>
    <w:rsid w:val="004950C8"/>
    <w:rsid w:val="004958B4"/>
    <w:rsid w:val="00495D9A"/>
    <w:rsid w:val="00496676"/>
    <w:rsid w:val="00497AAD"/>
    <w:rsid w:val="004A0321"/>
    <w:rsid w:val="004A0456"/>
    <w:rsid w:val="004A1E55"/>
    <w:rsid w:val="004A3385"/>
    <w:rsid w:val="004A4E3E"/>
    <w:rsid w:val="004A6232"/>
    <w:rsid w:val="004A645F"/>
    <w:rsid w:val="004A705B"/>
    <w:rsid w:val="004A7110"/>
    <w:rsid w:val="004A7B71"/>
    <w:rsid w:val="004B084E"/>
    <w:rsid w:val="004B1692"/>
    <w:rsid w:val="004B3C81"/>
    <w:rsid w:val="004B6A33"/>
    <w:rsid w:val="004B7746"/>
    <w:rsid w:val="004C0DC9"/>
    <w:rsid w:val="004C1CF1"/>
    <w:rsid w:val="004C2353"/>
    <w:rsid w:val="004C2C7B"/>
    <w:rsid w:val="004C3FAF"/>
    <w:rsid w:val="004C529D"/>
    <w:rsid w:val="004D2E3A"/>
    <w:rsid w:val="004D3276"/>
    <w:rsid w:val="004D39FD"/>
    <w:rsid w:val="004D408B"/>
    <w:rsid w:val="004D5FF1"/>
    <w:rsid w:val="004D63F0"/>
    <w:rsid w:val="004D7A74"/>
    <w:rsid w:val="004E19D1"/>
    <w:rsid w:val="004E1D6D"/>
    <w:rsid w:val="004E25CB"/>
    <w:rsid w:val="004E2B13"/>
    <w:rsid w:val="004E3129"/>
    <w:rsid w:val="004E4258"/>
    <w:rsid w:val="004E4D4D"/>
    <w:rsid w:val="004E5650"/>
    <w:rsid w:val="004E5958"/>
    <w:rsid w:val="004E67FD"/>
    <w:rsid w:val="004F0639"/>
    <w:rsid w:val="004F1D49"/>
    <w:rsid w:val="004F2B00"/>
    <w:rsid w:val="004F3251"/>
    <w:rsid w:val="004F54D5"/>
    <w:rsid w:val="004F5BBD"/>
    <w:rsid w:val="004F60BE"/>
    <w:rsid w:val="004F68DD"/>
    <w:rsid w:val="00500C42"/>
    <w:rsid w:val="00501083"/>
    <w:rsid w:val="00501B37"/>
    <w:rsid w:val="00501F4A"/>
    <w:rsid w:val="00502256"/>
    <w:rsid w:val="00502B9C"/>
    <w:rsid w:val="005032A2"/>
    <w:rsid w:val="005036E6"/>
    <w:rsid w:val="0050437A"/>
    <w:rsid w:val="0050623B"/>
    <w:rsid w:val="00506A00"/>
    <w:rsid w:val="0050715B"/>
    <w:rsid w:val="00510A71"/>
    <w:rsid w:val="00510B80"/>
    <w:rsid w:val="00510DBE"/>
    <w:rsid w:val="005122AD"/>
    <w:rsid w:val="00513055"/>
    <w:rsid w:val="00513B0D"/>
    <w:rsid w:val="00514DEA"/>
    <w:rsid w:val="005170C2"/>
    <w:rsid w:val="005203DF"/>
    <w:rsid w:val="005229A6"/>
    <w:rsid w:val="00523287"/>
    <w:rsid w:val="0052655C"/>
    <w:rsid w:val="005266DE"/>
    <w:rsid w:val="00527132"/>
    <w:rsid w:val="00532E70"/>
    <w:rsid w:val="00534199"/>
    <w:rsid w:val="00535A73"/>
    <w:rsid w:val="00535ECF"/>
    <w:rsid w:val="00536526"/>
    <w:rsid w:val="00537554"/>
    <w:rsid w:val="00537666"/>
    <w:rsid w:val="005401C8"/>
    <w:rsid w:val="00540EC3"/>
    <w:rsid w:val="00541403"/>
    <w:rsid w:val="00541E26"/>
    <w:rsid w:val="00542799"/>
    <w:rsid w:val="00542B5A"/>
    <w:rsid w:val="00543386"/>
    <w:rsid w:val="00543454"/>
    <w:rsid w:val="005434CF"/>
    <w:rsid w:val="00543857"/>
    <w:rsid w:val="00544D47"/>
    <w:rsid w:val="00544EBB"/>
    <w:rsid w:val="00545AE5"/>
    <w:rsid w:val="00550598"/>
    <w:rsid w:val="0055110D"/>
    <w:rsid w:val="00552017"/>
    <w:rsid w:val="00553BA0"/>
    <w:rsid w:val="00553D9F"/>
    <w:rsid w:val="005547F4"/>
    <w:rsid w:val="005549D0"/>
    <w:rsid w:val="00562066"/>
    <w:rsid w:val="005626B6"/>
    <w:rsid w:val="005651BF"/>
    <w:rsid w:val="00567C40"/>
    <w:rsid w:val="00571046"/>
    <w:rsid w:val="00572D83"/>
    <w:rsid w:val="0057309F"/>
    <w:rsid w:val="00574D71"/>
    <w:rsid w:val="005763F4"/>
    <w:rsid w:val="00577F4A"/>
    <w:rsid w:val="00581FC1"/>
    <w:rsid w:val="005828FD"/>
    <w:rsid w:val="00583720"/>
    <w:rsid w:val="00583B96"/>
    <w:rsid w:val="0058406D"/>
    <w:rsid w:val="0058419B"/>
    <w:rsid w:val="00587DA0"/>
    <w:rsid w:val="00587FA5"/>
    <w:rsid w:val="00590648"/>
    <w:rsid w:val="0059209C"/>
    <w:rsid w:val="005920A9"/>
    <w:rsid w:val="00593645"/>
    <w:rsid w:val="00595BEF"/>
    <w:rsid w:val="0059676B"/>
    <w:rsid w:val="00596B4F"/>
    <w:rsid w:val="005A23F5"/>
    <w:rsid w:val="005A28EE"/>
    <w:rsid w:val="005A3447"/>
    <w:rsid w:val="005A3B6E"/>
    <w:rsid w:val="005A3DFB"/>
    <w:rsid w:val="005A3EE8"/>
    <w:rsid w:val="005A464E"/>
    <w:rsid w:val="005A61AA"/>
    <w:rsid w:val="005A6654"/>
    <w:rsid w:val="005A6C72"/>
    <w:rsid w:val="005B0B05"/>
    <w:rsid w:val="005B1263"/>
    <w:rsid w:val="005B18FB"/>
    <w:rsid w:val="005B22CE"/>
    <w:rsid w:val="005B3996"/>
    <w:rsid w:val="005B3C76"/>
    <w:rsid w:val="005B4765"/>
    <w:rsid w:val="005B5CD8"/>
    <w:rsid w:val="005B64C0"/>
    <w:rsid w:val="005B7F7A"/>
    <w:rsid w:val="005C02EC"/>
    <w:rsid w:val="005C252C"/>
    <w:rsid w:val="005C3320"/>
    <w:rsid w:val="005C4145"/>
    <w:rsid w:val="005C698D"/>
    <w:rsid w:val="005D0DB8"/>
    <w:rsid w:val="005D1E8E"/>
    <w:rsid w:val="005D309C"/>
    <w:rsid w:val="005D44BD"/>
    <w:rsid w:val="005D642C"/>
    <w:rsid w:val="005E02C8"/>
    <w:rsid w:val="005E0340"/>
    <w:rsid w:val="005E0B39"/>
    <w:rsid w:val="005E10BB"/>
    <w:rsid w:val="005E1CA8"/>
    <w:rsid w:val="005E1F2E"/>
    <w:rsid w:val="005E2707"/>
    <w:rsid w:val="005E272B"/>
    <w:rsid w:val="005E2847"/>
    <w:rsid w:val="005E4715"/>
    <w:rsid w:val="005E5055"/>
    <w:rsid w:val="005E5964"/>
    <w:rsid w:val="005E69F8"/>
    <w:rsid w:val="005E6A25"/>
    <w:rsid w:val="005F047C"/>
    <w:rsid w:val="005F0F3D"/>
    <w:rsid w:val="005F1FE2"/>
    <w:rsid w:val="005F2051"/>
    <w:rsid w:val="005F2BCB"/>
    <w:rsid w:val="005F2DBD"/>
    <w:rsid w:val="005F4C36"/>
    <w:rsid w:val="005F53C9"/>
    <w:rsid w:val="005F581D"/>
    <w:rsid w:val="005F5BEA"/>
    <w:rsid w:val="005F5DA5"/>
    <w:rsid w:val="005F5E2D"/>
    <w:rsid w:val="005F5F88"/>
    <w:rsid w:val="005F6457"/>
    <w:rsid w:val="005F6949"/>
    <w:rsid w:val="00602BB3"/>
    <w:rsid w:val="00603BF9"/>
    <w:rsid w:val="00604132"/>
    <w:rsid w:val="006055FA"/>
    <w:rsid w:val="006056DA"/>
    <w:rsid w:val="00611855"/>
    <w:rsid w:val="0061247B"/>
    <w:rsid w:val="00613203"/>
    <w:rsid w:val="00614D15"/>
    <w:rsid w:val="00614DD2"/>
    <w:rsid w:val="006156E4"/>
    <w:rsid w:val="00615BF3"/>
    <w:rsid w:val="00615D70"/>
    <w:rsid w:val="00616482"/>
    <w:rsid w:val="00617596"/>
    <w:rsid w:val="00620D03"/>
    <w:rsid w:val="0062151A"/>
    <w:rsid w:val="00621FD6"/>
    <w:rsid w:val="006236F6"/>
    <w:rsid w:val="00624E9A"/>
    <w:rsid w:val="0062596F"/>
    <w:rsid w:val="0063067C"/>
    <w:rsid w:val="00630C11"/>
    <w:rsid w:val="006319AF"/>
    <w:rsid w:val="00633008"/>
    <w:rsid w:val="00633558"/>
    <w:rsid w:val="00634355"/>
    <w:rsid w:val="00634A39"/>
    <w:rsid w:val="00640A51"/>
    <w:rsid w:val="00641459"/>
    <w:rsid w:val="006416D6"/>
    <w:rsid w:val="006417BA"/>
    <w:rsid w:val="0064268F"/>
    <w:rsid w:val="006432CE"/>
    <w:rsid w:val="006434DB"/>
    <w:rsid w:val="00646AE3"/>
    <w:rsid w:val="00646E0B"/>
    <w:rsid w:val="006471AC"/>
    <w:rsid w:val="006476FD"/>
    <w:rsid w:val="006505AE"/>
    <w:rsid w:val="0065185B"/>
    <w:rsid w:val="0065224F"/>
    <w:rsid w:val="00652F12"/>
    <w:rsid w:val="00654F0C"/>
    <w:rsid w:val="00655953"/>
    <w:rsid w:val="00656394"/>
    <w:rsid w:val="00656D36"/>
    <w:rsid w:val="00656D85"/>
    <w:rsid w:val="00657365"/>
    <w:rsid w:val="006574E4"/>
    <w:rsid w:val="00660E16"/>
    <w:rsid w:val="00660EAC"/>
    <w:rsid w:val="00660F5F"/>
    <w:rsid w:val="0066140B"/>
    <w:rsid w:val="006618BF"/>
    <w:rsid w:val="006627E8"/>
    <w:rsid w:val="006631F4"/>
    <w:rsid w:val="00665E3B"/>
    <w:rsid w:val="00667454"/>
    <w:rsid w:val="00667DEB"/>
    <w:rsid w:val="006702F2"/>
    <w:rsid w:val="00670AFE"/>
    <w:rsid w:val="00670E87"/>
    <w:rsid w:val="00671AF5"/>
    <w:rsid w:val="006721AF"/>
    <w:rsid w:val="00672916"/>
    <w:rsid w:val="006732ED"/>
    <w:rsid w:val="00673DB4"/>
    <w:rsid w:val="00674ED3"/>
    <w:rsid w:val="0067521C"/>
    <w:rsid w:val="00675DB4"/>
    <w:rsid w:val="006761C1"/>
    <w:rsid w:val="006777FE"/>
    <w:rsid w:val="0068174D"/>
    <w:rsid w:val="00681790"/>
    <w:rsid w:val="00682E9D"/>
    <w:rsid w:val="00682EE2"/>
    <w:rsid w:val="00683B89"/>
    <w:rsid w:val="00686CFF"/>
    <w:rsid w:val="006906C8"/>
    <w:rsid w:val="00690871"/>
    <w:rsid w:val="006909E5"/>
    <w:rsid w:val="00691601"/>
    <w:rsid w:val="00691E4C"/>
    <w:rsid w:val="006928C1"/>
    <w:rsid w:val="00692E07"/>
    <w:rsid w:val="00693960"/>
    <w:rsid w:val="0069463C"/>
    <w:rsid w:val="00697584"/>
    <w:rsid w:val="006A0C43"/>
    <w:rsid w:val="006A15CD"/>
    <w:rsid w:val="006A3288"/>
    <w:rsid w:val="006A366F"/>
    <w:rsid w:val="006A434E"/>
    <w:rsid w:val="006A45ED"/>
    <w:rsid w:val="006A5828"/>
    <w:rsid w:val="006A619D"/>
    <w:rsid w:val="006A6ABF"/>
    <w:rsid w:val="006B1CFA"/>
    <w:rsid w:val="006B35F7"/>
    <w:rsid w:val="006B42A6"/>
    <w:rsid w:val="006B43D6"/>
    <w:rsid w:val="006B463E"/>
    <w:rsid w:val="006B4705"/>
    <w:rsid w:val="006B5CED"/>
    <w:rsid w:val="006B7964"/>
    <w:rsid w:val="006C01E1"/>
    <w:rsid w:val="006C07D8"/>
    <w:rsid w:val="006C23EA"/>
    <w:rsid w:val="006C3339"/>
    <w:rsid w:val="006C438D"/>
    <w:rsid w:val="006C688E"/>
    <w:rsid w:val="006C77C1"/>
    <w:rsid w:val="006D10B8"/>
    <w:rsid w:val="006D143E"/>
    <w:rsid w:val="006D1847"/>
    <w:rsid w:val="006D2E90"/>
    <w:rsid w:val="006D369C"/>
    <w:rsid w:val="006D37A7"/>
    <w:rsid w:val="006D3BEC"/>
    <w:rsid w:val="006D5198"/>
    <w:rsid w:val="006D795E"/>
    <w:rsid w:val="006E06FA"/>
    <w:rsid w:val="006E0B4C"/>
    <w:rsid w:val="006E16F7"/>
    <w:rsid w:val="006E182D"/>
    <w:rsid w:val="006E24B5"/>
    <w:rsid w:val="006E4553"/>
    <w:rsid w:val="006E47EF"/>
    <w:rsid w:val="006E53A4"/>
    <w:rsid w:val="006E5ADB"/>
    <w:rsid w:val="006E6200"/>
    <w:rsid w:val="006E6534"/>
    <w:rsid w:val="006E6E73"/>
    <w:rsid w:val="006F11F4"/>
    <w:rsid w:val="006F1B30"/>
    <w:rsid w:val="006F301F"/>
    <w:rsid w:val="006F3DA6"/>
    <w:rsid w:val="006F48FC"/>
    <w:rsid w:val="00700F9D"/>
    <w:rsid w:val="00701636"/>
    <w:rsid w:val="007018AD"/>
    <w:rsid w:val="0070297D"/>
    <w:rsid w:val="00702B32"/>
    <w:rsid w:val="00702C2B"/>
    <w:rsid w:val="00703ED1"/>
    <w:rsid w:val="00704172"/>
    <w:rsid w:val="00706699"/>
    <w:rsid w:val="00710899"/>
    <w:rsid w:val="00711094"/>
    <w:rsid w:val="00714362"/>
    <w:rsid w:val="00715DF4"/>
    <w:rsid w:val="00715F34"/>
    <w:rsid w:val="00716C7A"/>
    <w:rsid w:val="00720D24"/>
    <w:rsid w:val="00720F9C"/>
    <w:rsid w:val="00721B7F"/>
    <w:rsid w:val="007223D7"/>
    <w:rsid w:val="00722442"/>
    <w:rsid w:val="0072300E"/>
    <w:rsid w:val="00724431"/>
    <w:rsid w:val="007273D3"/>
    <w:rsid w:val="00730407"/>
    <w:rsid w:val="00730728"/>
    <w:rsid w:val="00733F35"/>
    <w:rsid w:val="007343B9"/>
    <w:rsid w:val="00735814"/>
    <w:rsid w:val="00735C26"/>
    <w:rsid w:val="00736CBA"/>
    <w:rsid w:val="00737114"/>
    <w:rsid w:val="0074066A"/>
    <w:rsid w:val="007424F0"/>
    <w:rsid w:val="00744352"/>
    <w:rsid w:val="00744643"/>
    <w:rsid w:val="0074490C"/>
    <w:rsid w:val="007449CE"/>
    <w:rsid w:val="00746D51"/>
    <w:rsid w:val="00746D9B"/>
    <w:rsid w:val="00747412"/>
    <w:rsid w:val="0075123F"/>
    <w:rsid w:val="00752615"/>
    <w:rsid w:val="007545E0"/>
    <w:rsid w:val="00756494"/>
    <w:rsid w:val="00756561"/>
    <w:rsid w:val="00757380"/>
    <w:rsid w:val="00760E78"/>
    <w:rsid w:val="007622A7"/>
    <w:rsid w:val="007626F0"/>
    <w:rsid w:val="007629EB"/>
    <w:rsid w:val="007635A2"/>
    <w:rsid w:val="007650A9"/>
    <w:rsid w:val="007651C9"/>
    <w:rsid w:val="007651F7"/>
    <w:rsid w:val="00766BFF"/>
    <w:rsid w:val="0077035C"/>
    <w:rsid w:val="007730D5"/>
    <w:rsid w:val="007735E8"/>
    <w:rsid w:val="00774937"/>
    <w:rsid w:val="00774BD5"/>
    <w:rsid w:val="00775646"/>
    <w:rsid w:val="00777A79"/>
    <w:rsid w:val="007804EE"/>
    <w:rsid w:val="007808EE"/>
    <w:rsid w:val="00782C8B"/>
    <w:rsid w:val="0078300C"/>
    <w:rsid w:val="007834E2"/>
    <w:rsid w:val="00783711"/>
    <w:rsid w:val="007847D3"/>
    <w:rsid w:val="00785702"/>
    <w:rsid w:val="0078681F"/>
    <w:rsid w:val="0079005F"/>
    <w:rsid w:val="0079029A"/>
    <w:rsid w:val="00790722"/>
    <w:rsid w:val="0079283E"/>
    <w:rsid w:val="0079374B"/>
    <w:rsid w:val="00794A98"/>
    <w:rsid w:val="00794FF2"/>
    <w:rsid w:val="00797405"/>
    <w:rsid w:val="007A0128"/>
    <w:rsid w:val="007A0339"/>
    <w:rsid w:val="007A0AB8"/>
    <w:rsid w:val="007A20F5"/>
    <w:rsid w:val="007A3251"/>
    <w:rsid w:val="007A3359"/>
    <w:rsid w:val="007A4D82"/>
    <w:rsid w:val="007A5E68"/>
    <w:rsid w:val="007A6437"/>
    <w:rsid w:val="007A6536"/>
    <w:rsid w:val="007A744C"/>
    <w:rsid w:val="007A773A"/>
    <w:rsid w:val="007B057A"/>
    <w:rsid w:val="007B1F55"/>
    <w:rsid w:val="007B208E"/>
    <w:rsid w:val="007B49B9"/>
    <w:rsid w:val="007B513C"/>
    <w:rsid w:val="007B7708"/>
    <w:rsid w:val="007B7969"/>
    <w:rsid w:val="007C0802"/>
    <w:rsid w:val="007C0E9E"/>
    <w:rsid w:val="007C1468"/>
    <w:rsid w:val="007C18B5"/>
    <w:rsid w:val="007C1A22"/>
    <w:rsid w:val="007C20D6"/>
    <w:rsid w:val="007C21BF"/>
    <w:rsid w:val="007C2A07"/>
    <w:rsid w:val="007C339A"/>
    <w:rsid w:val="007C3720"/>
    <w:rsid w:val="007C5717"/>
    <w:rsid w:val="007C630B"/>
    <w:rsid w:val="007C7861"/>
    <w:rsid w:val="007C78F2"/>
    <w:rsid w:val="007D1A12"/>
    <w:rsid w:val="007D2031"/>
    <w:rsid w:val="007D3176"/>
    <w:rsid w:val="007D4324"/>
    <w:rsid w:val="007D432F"/>
    <w:rsid w:val="007D68E2"/>
    <w:rsid w:val="007D6AF1"/>
    <w:rsid w:val="007D6D2A"/>
    <w:rsid w:val="007D727E"/>
    <w:rsid w:val="007D7F6A"/>
    <w:rsid w:val="007E105B"/>
    <w:rsid w:val="007E1313"/>
    <w:rsid w:val="007E15E5"/>
    <w:rsid w:val="007E2D34"/>
    <w:rsid w:val="007E3D72"/>
    <w:rsid w:val="007E4695"/>
    <w:rsid w:val="007E4FE1"/>
    <w:rsid w:val="007E5F24"/>
    <w:rsid w:val="007E693E"/>
    <w:rsid w:val="007E7940"/>
    <w:rsid w:val="007F00BF"/>
    <w:rsid w:val="007F0D8A"/>
    <w:rsid w:val="007F1BBB"/>
    <w:rsid w:val="007F1BCC"/>
    <w:rsid w:val="007F2BEC"/>
    <w:rsid w:val="007F2D98"/>
    <w:rsid w:val="007F34E9"/>
    <w:rsid w:val="007F3D53"/>
    <w:rsid w:val="007F47EB"/>
    <w:rsid w:val="007F629D"/>
    <w:rsid w:val="007F645C"/>
    <w:rsid w:val="007F697F"/>
    <w:rsid w:val="007F7B16"/>
    <w:rsid w:val="00800506"/>
    <w:rsid w:val="00800AEA"/>
    <w:rsid w:val="008015AD"/>
    <w:rsid w:val="00801B79"/>
    <w:rsid w:val="008021A0"/>
    <w:rsid w:val="008028BD"/>
    <w:rsid w:val="00804410"/>
    <w:rsid w:val="00805926"/>
    <w:rsid w:val="00805ACF"/>
    <w:rsid w:val="00805C9B"/>
    <w:rsid w:val="0080686D"/>
    <w:rsid w:val="00806E52"/>
    <w:rsid w:val="008071A7"/>
    <w:rsid w:val="0081051B"/>
    <w:rsid w:val="008105BD"/>
    <w:rsid w:val="008148EA"/>
    <w:rsid w:val="00814D2D"/>
    <w:rsid w:val="0081511E"/>
    <w:rsid w:val="008157A0"/>
    <w:rsid w:val="008160B0"/>
    <w:rsid w:val="00816686"/>
    <w:rsid w:val="00820A42"/>
    <w:rsid w:val="008212B4"/>
    <w:rsid w:val="00822142"/>
    <w:rsid w:val="00822498"/>
    <w:rsid w:val="008228AC"/>
    <w:rsid w:val="008235F9"/>
    <w:rsid w:val="00823F51"/>
    <w:rsid w:val="00825CE8"/>
    <w:rsid w:val="00825DAD"/>
    <w:rsid w:val="008268FA"/>
    <w:rsid w:val="00826E8C"/>
    <w:rsid w:val="00827047"/>
    <w:rsid w:val="00830205"/>
    <w:rsid w:val="00830459"/>
    <w:rsid w:val="00831F66"/>
    <w:rsid w:val="00833A11"/>
    <w:rsid w:val="00835266"/>
    <w:rsid w:val="00835666"/>
    <w:rsid w:val="00836CDF"/>
    <w:rsid w:val="00837830"/>
    <w:rsid w:val="00837E94"/>
    <w:rsid w:val="008413B9"/>
    <w:rsid w:val="00841456"/>
    <w:rsid w:val="00841F5E"/>
    <w:rsid w:val="00842743"/>
    <w:rsid w:val="00842A81"/>
    <w:rsid w:val="00844373"/>
    <w:rsid w:val="008443E9"/>
    <w:rsid w:val="00846625"/>
    <w:rsid w:val="008469C3"/>
    <w:rsid w:val="00847834"/>
    <w:rsid w:val="0085038C"/>
    <w:rsid w:val="00850945"/>
    <w:rsid w:val="008529ED"/>
    <w:rsid w:val="00852B33"/>
    <w:rsid w:val="00852D68"/>
    <w:rsid w:val="00853A6C"/>
    <w:rsid w:val="008543B7"/>
    <w:rsid w:val="008550B4"/>
    <w:rsid w:val="00856061"/>
    <w:rsid w:val="00857790"/>
    <w:rsid w:val="00860AF6"/>
    <w:rsid w:val="00861A9F"/>
    <w:rsid w:val="00862FF7"/>
    <w:rsid w:val="008641F2"/>
    <w:rsid w:val="008711A1"/>
    <w:rsid w:val="008713DD"/>
    <w:rsid w:val="008714DC"/>
    <w:rsid w:val="00871962"/>
    <w:rsid w:val="00872386"/>
    <w:rsid w:val="0087240E"/>
    <w:rsid w:val="00872FB1"/>
    <w:rsid w:val="0087522E"/>
    <w:rsid w:val="00875E8A"/>
    <w:rsid w:val="00876C35"/>
    <w:rsid w:val="00877A83"/>
    <w:rsid w:val="00877EBC"/>
    <w:rsid w:val="00881179"/>
    <w:rsid w:val="008811E9"/>
    <w:rsid w:val="008839CB"/>
    <w:rsid w:val="00884AF6"/>
    <w:rsid w:val="00885CF0"/>
    <w:rsid w:val="00886083"/>
    <w:rsid w:val="008907D3"/>
    <w:rsid w:val="00891D7B"/>
    <w:rsid w:val="0089260F"/>
    <w:rsid w:val="0089628A"/>
    <w:rsid w:val="00897046"/>
    <w:rsid w:val="008978DF"/>
    <w:rsid w:val="00897BDC"/>
    <w:rsid w:val="008A16EC"/>
    <w:rsid w:val="008A2B7B"/>
    <w:rsid w:val="008A2CE9"/>
    <w:rsid w:val="008A5F9C"/>
    <w:rsid w:val="008A6FE2"/>
    <w:rsid w:val="008A712B"/>
    <w:rsid w:val="008A7489"/>
    <w:rsid w:val="008A7B5A"/>
    <w:rsid w:val="008B0508"/>
    <w:rsid w:val="008B25B7"/>
    <w:rsid w:val="008B2C66"/>
    <w:rsid w:val="008B7ECB"/>
    <w:rsid w:val="008C06D3"/>
    <w:rsid w:val="008C0872"/>
    <w:rsid w:val="008C1528"/>
    <w:rsid w:val="008C1A5C"/>
    <w:rsid w:val="008C1A8D"/>
    <w:rsid w:val="008C203B"/>
    <w:rsid w:val="008C267C"/>
    <w:rsid w:val="008C2BDD"/>
    <w:rsid w:val="008C32B4"/>
    <w:rsid w:val="008C4E07"/>
    <w:rsid w:val="008C4E0E"/>
    <w:rsid w:val="008C56C0"/>
    <w:rsid w:val="008C6319"/>
    <w:rsid w:val="008C6A38"/>
    <w:rsid w:val="008C7BB8"/>
    <w:rsid w:val="008C7C47"/>
    <w:rsid w:val="008D37C6"/>
    <w:rsid w:val="008D3BAB"/>
    <w:rsid w:val="008D3E16"/>
    <w:rsid w:val="008D7F0C"/>
    <w:rsid w:val="008D7F58"/>
    <w:rsid w:val="008E285A"/>
    <w:rsid w:val="008E30FE"/>
    <w:rsid w:val="008E33C5"/>
    <w:rsid w:val="008E370B"/>
    <w:rsid w:val="008E3803"/>
    <w:rsid w:val="008E3EE4"/>
    <w:rsid w:val="008E5183"/>
    <w:rsid w:val="008E64A3"/>
    <w:rsid w:val="008E6625"/>
    <w:rsid w:val="008E78C4"/>
    <w:rsid w:val="008F0BD3"/>
    <w:rsid w:val="008F4AD4"/>
    <w:rsid w:val="008F5097"/>
    <w:rsid w:val="008F52B3"/>
    <w:rsid w:val="008F61E4"/>
    <w:rsid w:val="008F6A07"/>
    <w:rsid w:val="008F6D02"/>
    <w:rsid w:val="008F746A"/>
    <w:rsid w:val="00900154"/>
    <w:rsid w:val="009007CF"/>
    <w:rsid w:val="00900F29"/>
    <w:rsid w:val="00900FFE"/>
    <w:rsid w:val="009011A8"/>
    <w:rsid w:val="009029E0"/>
    <w:rsid w:val="009056E5"/>
    <w:rsid w:val="00913153"/>
    <w:rsid w:val="00913AAF"/>
    <w:rsid w:val="0091446C"/>
    <w:rsid w:val="00917CB5"/>
    <w:rsid w:val="009225DC"/>
    <w:rsid w:val="009227D8"/>
    <w:rsid w:val="00922BBA"/>
    <w:rsid w:val="0092393D"/>
    <w:rsid w:val="009255C0"/>
    <w:rsid w:val="00925D81"/>
    <w:rsid w:val="0093049D"/>
    <w:rsid w:val="00930F51"/>
    <w:rsid w:val="009314ED"/>
    <w:rsid w:val="00931C26"/>
    <w:rsid w:val="00933E5D"/>
    <w:rsid w:val="00933E98"/>
    <w:rsid w:val="009343AC"/>
    <w:rsid w:val="0093442F"/>
    <w:rsid w:val="009357A4"/>
    <w:rsid w:val="00935806"/>
    <w:rsid w:val="00936D75"/>
    <w:rsid w:val="0094128F"/>
    <w:rsid w:val="00941E09"/>
    <w:rsid w:val="00941FA2"/>
    <w:rsid w:val="00943E68"/>
    <w:rsid w:val="009440B7"/>
    <w:rsid w:val="00944250"/>
    <w:rsid w:val="00945FE6"/>
    <w:rsid w:val="00946652"/>
    <w:rsid w:val="009467EB"/>
    <w:rsid w:val="00946868"/>
    <w:rsid w:val="00951D11"/>
    <w:rsid w:val="009528F3"/>
    <w:rsid w:val="00953233"/>
    <w:rsid w:val="009557C9"/>
    <w:rsid w:val="009561EB"/>
    <w:rsid w:val="00956A85"/>
    <w:rsid w:val="00960971"/>
    <w:rsid w:val="00962BC1"/>
    <w:rsid w:val="00963E49"/>
    <w:rsid w:val="00964BDD"/>
    <w:rsid w:val="00967232"/>
    <w:rsid w:val="009672C1"/>
    <w:rsid w:val="0096782A"/>
    <w:rsid w:val="00967A87"/>
    <w:rsid w:val="00970E09"/>
    <w:rsid w:val="00971EA9"/>
    <w:rsid w:val="00971F8C"/>
    <w:rsid w:val="00974674"/>
    <w:rsid w:val="00974B42"/>
    <w:rsid w:val="00974F01"/>
    <w:rsid w:val="009761FF"/>
    <w:rsid w:val="009774AE"/>
    <w:rsid w:val="00985957"/>
    <w:rsid w:val="00985BBC"/>
    <w:rsid w:val="00986996"/>
    <w:rsid w:val="00987DA5"/>
    <w:rsid w:val="009912DF"/>
    <w:rsid w:val="00991872"/>
    <w:rsid w:val="0099242D"/>
    <w:rsid w:val="00993B3A"/>
    <w:rsid w:val="00995304"/>
    <w:rsid w:val="009A0CFD"/>
    <w:rsid w:val="009A1C23"/>
    <w:rsid w:val="009A2E80"/>
    <w:rsid w:val="009A4545"/>
    <w:rsid w:val="009A5373"/>
    <w:rsid w:val="009B00E1"/>
    <w:rsid w:val="009B1FAF"/>
    <w:rsid w:val="009B2070"/>
    <w:rsid w:val="009B4E1C"/>
    <w:rsid w:val="009B50EE"/>
    <w:rsid w:val="009C00C4"/>
    <w:rsid w:val="009C1BC7"/>
    <w:rsid w:val="009C1E8F"/>
    <w:rsid w:val="009C33C3"/>
    <w:rsid w:val="009C35F6"/>
    <w:rsid w:val="009C473C"/>
    <w:rsid w:val="009C4BCD"/>
    <w:rsid w:val="009C500C"/>
    <w:rsid w:val="009D2C74"/>
    <w:rsid w:val="009D396F"/>
    <w:rsid w:val="009D4382"/>
    <w:rsid w:val="009D4D24"/>
    <w:rsid w:val="009D7AAD"/>
    <w:rsid w:val="009D7B37"/>
    <w:rsid w:val="009E0259"/>
    <w:rsid w:val="009E0A6F"/>
    <w:rsid w:val="009E1B4E"/>
    <w:rsid w:val="009E24D5"/>
    <w:rsid w:val="009E38AA"/>
    <w:rsid w:val="009E3CDE"/>
    <w:rsid w:val="009E54BB"/>
    <w:rsid w:val="009E5C62"/>
    <w:rsid w:val="009E6A87"/>
    <w:rsid w:val="009E733B"/>
    <w:rsid w:val="009F0657"/>
    <w:rsid w:val="009F66D5"/>
    <w:rsid w:val="00A00A9B"/>
    <w:rsid w:val="00A02872"/>
    <w:rsid w:val="00A02D15"/>
    <w:rsid w:val="00A0316F"/>
    <w:rsid w:val="00A043B3"/>
    <w:rsid w:val="00A04D74"/>
    <w:rsid w:val="00A05E67"/>
    <w:rsid w:val="00A07281"/>
    <w:rsid w:val="00A07C30"/>
    <w:rsid w:val="00A12F24"/>
    <w:rsid w:val="00A140EC"/>
    <w:rsid w:val="00A15459"/>
    <w:rsid w:val="00A15B60"/>
    <w:rsid w:val="00A166B2"/>
    <w:rsid w:val="00A16ADB"/>
    <w:rsid w:val="00A16D46"/>
    <w:rsid w:val="00A17B01"/>
    <w:rsid w:val="00A17D50"/>
    <w:rsid w:val="00A20223"/>
    <w:rsid w:val="00A21B1A"/>
    <w:rsid w:val="00A21CBC"/>
    <w:rsid w:val="00A2496C"/>
    <w:rsid w:val="00A26007"/>
    <w:rsid w:val="00A2660B"/>
    <w:rsid w:val="00A267BA"/>
    <w:rsid w:val="00A26A09"/>
    <w:rsid w:val="00A272DE"/>
    <w:rsid w:val="00A300EF"/>
    <w:rsid w:val="00A317E1"/>
    <w:rsid w:val="00A3198A"/>
    <w:rsid w:val="00A32302"/>
    <w:rsid w:val="00A3276A"/>
    <w:rsid w:val="00A32A39"/>
    <w:rsid w:val="00A33434"/>
    <w:rsid w:val="00A339F4"/>
    <w:rsid w:val="00A33CB7"/>
    <w:rsid w:val="00A35A04"/>
    <w:rsid w:val="00A375C6"/>
    <w:rsid w:val="00A40023"/>
    <w:rsid w:val="00A40D44"/>
    <w:rsid w:val="00A40DCE"/>
    <w:rsid w:val="00A42FF2"/>
    <w:rsid w:val="00A4389E"/>
    <w:rsid w:val="00A43921"/>
    <w:rsid w:val="00A43C76"/>
    <w:rsid w:val="00A45605"/>
    <w:rsid w:val="00A46147"/>
    <w:rsid w:val="00A47D53"/>
    <w:rsid w:val="00A5001F"/>
    <w:rsid w:val="00A503B1"/>
    <w:rsid w:val="00A50BF5"/>
    <w:rsid w:val="00A511CA"/>
    <w:rsid w:val="00A5225B"/>
    <w:rsid w:val="00A52609"/>
    <w:rsid w:val="00A539DA"/>
    <w:rsid w:val="00A54DFB"/>
    <w:rsid w:val="00A5508C"/>
    <w:rsid w:val="00A578E2"/>
    <w:rsid w:val="00A57FB3"/>
    <w:rsid w:val="00A6009E"/>
    <w:rsid w:val="00A60B96"/>
    <w:rsid w:val="00A61374"/>
    <w:rsid w:val="00A6227A"/>
    <w:rsid w:val="00A6232E"/>
    <w:rsid w:val="00A64F02"/>
    <w:rsid w:val="00A660E4"/>
    <w:rsid w:val="00A670D5"/>
    <w:rsid w:val="00A678AF"/>
    <w:rsid w:val="00A70038"/>
    <w:rsid w:val="00A706C3"/>
    <w:rsid w:val="00A713B8"/>
    <w:rsid w:val="00A713EA"/>
    <w:rsid w:val="00A71431"/>
    <w:rsid w:val="00A715DD"/>
    <w:rsid w:val="00A73897"/>
    <w:rsid w:val="00A73D11"/>
    <w:rsid w:val="00A74646"/>
    <w:rsid w:val="00A75371"/>
    <w:rsid w:val="00A755AC"/>
    <w:rsid w:val="00A757B0"/>
    <w:rsid w:val="00A763FF"/>
    <w:rsid w:val="00A76D4D"/>
    <w:rsid w:val="00A776BE"/>
    <w:rsid w:val="00A80329"/>
    <w:rsid w:val="00A81D18"/>
    <w:rsid w:val="00A820E6"/>
    <w:rsid w:val="00A8321A"/>
    <w:rsid w:val="00A83AAF"/>
    <w:rsid w:val="00A846F9"/>
    <w:rsid w:val="00A84DE4"/>
    <w:rsid w:val="00A86D74"/>
    <w:rsid w:val="00A90E4E"/>
    <w:rsid w:val="00A93EB6"/>
    <w:rsid w:val="00A940B6"/>
    <w:rsid w:val="00A951E3"/>
    <w:rsid w:val="00A956DE"/>
    <w:rsid w:val="00A958E8"/>
    <w:rsid w:val="00A96385"/>
    <w:rsid w:val="00A96564"/>
    <w:rsid w:val="00A96605"/>
    <w:rsid w:val="00A97213"/>
    <w:rsid w:val="00A97970"/>
    <w:rsid w:val="00AA0DFE"/>
    <w:rsid w:val="00AA1ADA"/>
    <w:rsid w:val="00AA2763"/>
    <w:rsid w:val="00AA3604"/>
    <w:rsid w:val="00AA3CA2"/>
    <w:rsid w:val="00AA61E1"/>
    <w:rsid w:val="00AA6FC1"/>
    <w:rsid w:val="00AA72B6"/>
    <w:rsid w:val="00AB0183"/>
    <w:rsid w:val="00AB070A"/>
    <w:rsid w:val="00AB1D36"/>
    <w:rsid w:val="00AB2E9E"/>
    <w:rsid w:val="00AB311D"/>
    <w:rsid w:val="00AB3345"/>
    <w:rsid w:val="00AB4BB2"/>
    <w:rsid w:val="00AB5258"/>
    <w:rsid w:val="00AB7CF9"/>
    <w:rsid w:val="00AC0442"/>
    <w:rsid w:val="00AC2E87"/>
    <w:rsid w:val="00AC38EA"/>
    <w:rsid w:val="00AC3C2A"/>
    <w:rsid w:val="00AC4330"/>
    <w:rsid w:val="00AC56EA"/>
    <w:rsid w:val="00AC5E7B"/>
    <w:rsid w:val="00AC5F70"/>
    <w:rsid w:val="00AC70CD"/>
    <w:rsid w:val="00AD0180"/>
    <w:rsid w:val="00AD0AFD"/>
    <w:rsid w:val="00AD197A"/>
    <w:rsid w:val="00AD1E6D"/>
    <w:rsid w:val="00AD2700"/>
    <w:rsid w:val="00AD3349"/>
    <w:rsid w:val="00AD34C4"/>
    <w:rsid w:val="00AD49C4"/>
    <w:rsid w:val="00AD61F0"/>
    <w:rsid w:val="00AD715B"/>
    <w:rsid w:val="00AD71BA"/>
    <w:rsid w:val="00AE0A83"/>
    <w:rsid w:val="00AE0B39"/>
    <w:rsid w:val="00AE15F1"/>
    <w:rsid w:val="00AE18DC"/>
    <w:rsid w:val="00AE248B"/>
    <w:rsid w:val="00AE2634"/>
    <w:rsid w:val="00AE27F3"/>
    <w:rsid w:val="00AE4334"/>
    <w:rsid w:val="00AE52D6"/>
    <w:rsid w:val="00AE6BD6"/>
    <w:rsid w:val="00AF1302"/>
    <w:rsid w:val="00AF3C6B"/>
    <w:rsid w:val="00AF5268"/>
    <w:rsid w:val="00AF688B"/>
    <w:rsid w:val="00AF6F29"/>
    <w:rsid w:val="00AF7021"/>
    <w:rsid w:val="00AF73C3"/>
    <w:rsid w:val="00B006D3"/>
    <w:rsid w:val="00B01BE3"/>
    <w:rsid w:val="00B02C15"/>
    <w:rsid w:val="00B03421"/>
    <w:rsid w:val="00B03E16"/>
    <w:rsid w:val="00B044DF"/>
    <w:rsid w:val="00B06723"/>
    <w:rsid w:val="00B07545"/>
    <w:rsid w:val="00B12A9C"/>
    <w:rsid w:val="00B13554"/>
    <w:rsid w:val="00B14164"/>
    <w:rsid w:val="00B16195"/>
    <w:rsid w:val="00B17EE1"/>
    <w:rsid w:val="00B20A27"/>
    <w:rsid w:val="00B20D36"/>
    <w:rsid w:val="00B216FC"/>
    <w:rsid w:val="00B21A19"/>
    <w:rsid w:val="00B223B6"/>
    <w:rsid w:val="00B23802"/>
    <w:rsid w:val="00B25F70"/>
    <w:rsid w:val="00B26350"/>
    <w:rsid w:val="00B267D4"/>
    <w:rsid w:val="00B272AB"/>
    <w:rsid w:val="00B30C69"/>
    <w:rsid w:val="00B31289"/>
    <w:rsid w:val="00B31B9C"/>
    <w:rsid w:val="00B327EF"/>
    <w:rsid w:val="00B339FA"/>
    <w:rsid w:val="00B33B12"/>
    <w:rsid w:val="00B33BBA"/>
    <w:rsid w:val="00B359AC"/>
    <w:rsid w:val="00B35EA3"/>
    <w:rsid w:val="00B37E3C"/>
    <w:rsid w:val="00B40020"/>
    <w:rsid w:val="00B4077F"/>
    <w:rsid w:val="00B4216F"/>
    <w:rsid w:val="00B43698"/>
    <w:rsid w:val="00B4507B"/>
    <w:rsid w:val="00B451EC"/>
    <w:rsid w:val="00B460D0"/>
    <w:rsid w:val="00B468D8"/>
    <w:rsid w:val="00B47363"/>
    <w:rsid w:val="00B51878"/>
    <w:rsid w:val="00B5248D"/>
    <w:rsid w:val="00B53D6A"/>
    <w:rsid w:val="00B5497E"/>
    <w:rsid w:val="00B55841"/>
    <w:rsid w:val="00B606C2"/>
    <w:rsid w:val="00B62CAD"/>
    <w:rsid w:val="00B6305C"/>
    <w:rsid w:val="00B64AEC"/>
    <w:rsid w:val="00B6685F"/>
    <w:rsid w:val="00B67261"/>
    <w:rsid w:val="00B678E1"/>
    <w:rsid w:val="00B7250B"/>
    <w:rsid w:val="00B74050"/>
    <w:rsid w:val="00B743A4"/>
    <w:rsid w:val="00B744EE"/>
    <w:rsid w:val="00B74A3C"/>
    <w:rsid w:val="00B7770C"/>
    <w:rsid w:val="00B77723"/>
    <w:rsid w:val="00B77EA5"/>
    <w:rsid w:val="00B81EED"/>
    <w:rsid w:val="00B81F18"/>
    <w:rsid w:val="00B82116"/>
    <w:rsid w:val="00B82DF6"/>
    <w:rsid w:val="00B83A33"/>
    <w:rsid w:val="00B853A7"/>
    <w:rsid w:val="00B8744F"/>
    <w:rsid w:val="00B87CDA"/>
    <w:rsid w:val="00B90361"/>
    <w:rsid w:val="00B9151D"/>
    <w:rsid w:val="00B915D5"/>
    <w:rsid w:val="00B927F7"/>
    <w:rsid w:val="00B9287C"/>
    <w:rsid w:val="00B93E79"/>
    <w:rsid w:val="00B942EA"/>
    <w:rsid w:val="00B94B89"/>
    <w:rsid w:val="00B95DFD"/>
    <w:rsid w:val="00B967AD"/>
    <w:rsid w:val="00B97915"/>
    <w:rsid w:val="00B97B3F"/>
    <w:rsid w:val="00BA05EE"/>
    <w:rsid w:val="00BA1BF8"/>
    <w:rsid w:val="00BA1C79"/>
    <w:rsid w:val="00BA1DB8"/>
    <w:rsid w:val="00BA1E95"/>
    <w:rsid w:val="00BA315B"/>
    <w:rsid w:val="00BA400A"/>
    <w:rsid w:val="00BA53DE"/>
    <w:rsid w:val="00BA53E3"/>
    <w:rsid w:val="00BB01C7"/>
    <w:rsid w:val="00BB05C9"/>
    <w:rsid w:val="00BB10C0"/>
    <w:rsid w:val="00BB16EE"/>
    <w:rsid w:val="00BB37CB"/>
    <w:rsid w:val="00BB45F7"/>
    <w:rsid w:val="00BB46D4"/>
    <w:rsid w:val="00BB5ABD"/>
    <w:rsid w:val="00BB60A3"/>
    <w:rsid w:val="00BB625B"/>
    <w:rsid w:val="00BB726D"/>
    <w:rsid w:val="00BC02E2"/>
    <w:rsid w:val="00BC39BF"/>
    <w:rsid w:val="00BC4965"/>
    <w:rsid w:val="00BC5B0C"/>
    <w:rsid w:val="00BD23EE"/>
    <w:rsid w:val="00BD274D"/>
    <w:rsid w:val="00BD2C9D"/>
    <w:rsid w:val="00BD3A6D"/>
    <w:rsid w:val="00BD4DA1"/>
    <w:rsid w:val="00BD68BB"/>
    <w:rsid w:val="00BD7EA4"/>
    <w:rsid w:val="00BE040C"/>
    <w:rsid w:val="00BE0EFB"/>
    <w:rsid w:val="00BE1124"/>
    <w:rsid w:val="00BE14D2"/>
    <w:rsid w:val="00BE2DD7"/>
    <w:rsid w:val="00BE3052"/>
    <w:rsid w:val="00BE30FF"/>
    <w:rsid w:val="00BE32B5"/>
    <w:rsid w:val="00BE3D7B"/>
    <w:rsid w:val="00BE41E9"/>
    <w:rsid w:val="00BE7CAC"/>
    <w:rsid w:val="00BF03E9"/>
    <w:rsid w:val="00BF03FB"/>
    <w:rsid w:val="00BF0AD9"/>
    <w:rsid w:val="00BF390C"/>
    <w:rsid w:val="00BF3BC8"/>
    <w:rsid w:val="00BF48D7"/>
    <w:rsid w:val="00BF499F"/>
    <w:rsid w:val="00BF584D"/>
    <w:rsid w:val="00BF6065"/>
    <w:rsid w:val="00BF6493"/>
    <w:rsid w:val="00BF7C27"/>
    <w:rsid w:val="00C0176C"/>
    <w:rsid w:val="00C01C47"/>
    <w:rsid w:val="00C01D51"/>
    <w:rsid w:val="00C02191"/>
    <w:rsid w:val="00C059DE"/>
    <w:rsid w:val="00C06E18"/>
    <w:rsid w:val="00C07663"/>
    <w:rsid w:val="00C10D3C"/>
    <w:rsid w:val="00C11231"/>
    <w:rsid w:val="00C12096"/>
    <w:rsid w:val="00C13ECC"/>
    <w:rsid w:val="00C13F62"/>
    <w:rsid w:val="00C14732"/>
    <w:rsid w:val="00C14EBB"/>
    <w:rsid w:val="00C16C70"/>
    <w:rsid w:val="00C20279"/>
    <w:rsid w:val="00C20C83"/>
    <w:rsid w:val="00C21EAD"/>
    <w:rsid w:val="00C2222C"/>
    <w:rsid w:val="00C22E6F"/>
    <w:rsid w:val="00C2380C"/>
    <w:rsid w:val="00C23C01"/>
    <w:rsid w:val="00C30824"/>
    <w:rsid w:val="00C31612"/>
    <w:rsid w:val="00C31626"/>
    <w:rsid w:val="00C31F04"/>
    <w:rsid w:val="00C32A18"/>
    <w:rsid w:val="00C32E63"/>
    <w:rsid w:val="00C330A5"/>
    <w:rsid w:val="00C35222"/>
    <w:rsid w:val="00C3602E"/>
    <w:rsid w:val="00C36047"/>
    <w:rsid w:val="00C404C1"/>
    <w:rsid w:val="00C41712"/>
    <w:rsid w:val="00C42DB5"/>
    <w:rsid w:val="00C44393"/>
    <w:rsid w:val="00C46B1D"/>
    <w:rsid w:val="00C47C1C"/>
    <w:rsid w:val="00C5024C"/>
    <w:rsid w:val="00C50310"/>
    <w:rsid w:val="00C504E5"/>
    <w:rsid w:val="00C50DF0"/>
    <w:rsid w:val="00C51008"/>
    <w:rsid w:val="00C51863"/>
    <w:rsid w:val="00C53B27"/>
    <w:rsid w:val="00C54558"/>
    <w:rsid w:val="00C55AEF"/>
    <w:rsid w:val="00C562F6"/>
    <w:rsid w:val="00C565A7"/>
    <w:rsid w:val="00C5680B"/>
    <w:rsid w:val="00C56AEE"/>
    <w:rsid w:val="00C65F71"/>
    <w:rsid w:val="00C6728A"/>
    <w:rsid w:val="00C70140"/>
    <w:rsid w:val="00C707CD"/>
    <w:rsid w:val="00C71DD0"/>
    <w:rsid w:val="00C73F56"/>
    <w:rsid w:val="00C7536A"/>
    <w:rsid w:val="00C77A5E"/>
    <w:rsid w:val="00C77C47"/>
    <w:rsid w:val="00C801C9"/>
    <w:rsid w:val="00C832E6"/>
    <w:rsid w:val="00C83382"/>
    <w:rsid w:val="00C86617"/>
    <w:rsid w:val="00C90B07"/>
    <w:rsid w:val="00C91565"/>
    <w:rsid w:val="00C91A9B"/>
    <w:rsid w:val="00C92E9D"/>
    <w:rsid w:val="00C938F8"/>
    <w:rsid w:val="00C9468F"/>
    <w:rsid w:val="00C94E01"/>
    <w:rsid w:val="00C94F4B"/>
    <w:rsid w:val="00C955F6"/>
    <w:rsid w:val="00C97BDF"/>
    <w:rsid w:val="00CA216B"/>
    <w:rsid w:val="00CA34E9"/>
    <w:rsid w:val="00CA47E6"/>
    <w:rsid w:val="00CA5329"/>
    <w:rsid w:val="00CA5665"/>
    <w:rsid w:val="00CA5830"/>
    <w:rsid w:val="00CA6ADB"/>
    <w:rsid w:val="00CB102E"/>
    <w:rsid w:val="00CB1209"/>
    <w:rsid w:val="00CB3E57"/>
    <w:rsid w:val="00CB723F"/>
    <w:rsid w:val="00CC1444"/>
    <w:rsid w:val="00CC157C"/>
    <w:rsid w:val="00CC1D40"/>
    <w:rsid w:val="00CC21C8"/>
    <w:rsid w:val="00CC33D8"/>
    <w:rsid w:val="00CC39C3"/>
    <w:rsid w:val="00CC656B"/>
    <w:rsid w:val="00CC741F"/>
    <w:rsid w:val="00CC7911"/>
    <w:rsid w:val="00CD0104"/>
    <w:rsid w:val="00CD2B1F"/>
    <w:rsid w:val="00CD4B60"/>
    <w:rsid w:val="00CD56B4"/>
    <w:rsid w:val="00CD78BF"/>
    <w:rsid w:val="00CE0443"/>
    <w:rsid w:val="00CE157B"/>
    <w:rsid w:val="00CE1805"/>
    <w:rsid w:val="00CE1B3B"/>
    <w:rsid w:val="00CE20B8"/>
    <w:rsid w:val="00CE2394"/>
    <w:rsid w:val="00CE4031"/>
    <w:rsid w:val="00CE40BA"/>
    <w:rsid w:val="00CE53EE"/>
    <w:rsid w:val="00CF1047"/>
    <w:rsid w:val="00CF25CC"/>
    <w:rsid w:val="00CF358C"/>
    <w:rsid w:val="00CF3944"/>
    <w:rsid w:val="00CF3DFD"/>
    <w:rsid w:val="00CF43D1"/>
    <w:rsid w:val="00CF45C0"/>
    <w:rsid w:val="00CF5442"/>
    <w:rsid w:val="00CF6FB8"/>
    <w:rsid w:val="00D01A65"/>
    <w:rsid w:val="00D02430"/>
    <w:rsid w:val="00D04FAA"/>
    <w:rsid w:val="00D05EC5"/>
    <w:rsid w:val="00D068C2"/>
    <w:rsid w:val="00D07AFC"/>
    <w:rsid w:val="00D12942"/>
    <w:rsid w:val="00D12C9B"/>
    <w:rsid w:val="00D12CC6"/>
    <w:rsid w:val="00D1450D"/>
    <w:rsid w:val="00D16003"/>
    <w:rsid w:val="00D16C8E"/>
    <w:rsid w:val="00D16FF5"/>
    <w:rsid w:val="00D17754"/>
    <w:rsid w:val="00D205F3"/>
    <w:rsid w:val="00D21CD7"/>
    <w:rsid w:val="00D22B79"/>
    <w:rsid w:val="00D239F1"/>
    <w:rsid w:val="00D24FEF"/>
    <w:rsid w:val="00D258A6"/>
    <w:rsid w:val="00D26AC0"/>
    <w:rsid w:val="00D26FC4"/>
    <w:rsid w:val="00D3159F"/>
    <w:rsid w:val="00D32FD9"/>
    <w:rsid w:val="00D343F3"/>
    <w:rsid w:val="00D344DF"/>
    <w:rsid w:val="00D34C11"/>
    <w:rsid w:val="00D3562F"/>
    <w:rsid w:val="00D37A86"/>
    <w:rsid w:val="00D405CF"/>
    <w:rsid w:val="00D40E1D"/>
    <w:rsid w:val="00D420EB"/>
    <w:rsid w:val="00D42C6C"/>
    <w:rsid w:val="00D42EE2"/>
    <w:rsid w:val="00D4305A"/>
    <w:rsid w:val="00D43472"/>
    <w:rsid w:val="00D44FBC"/>
    <w:rsid w:val="00D45ABA"/>
    <w:rsid w:val="00D46224"/>
    <w:rsid w:val="00D46899"/>
    <w:rsid w:val="00D46E15"/>
    <w:rsid w:val="00D508AE"/>
    <w:rsid w:val="00D50AC0"/>
    <w:rsid w:val="00D50F75"/>
    <w:rsid w:val="00D51D36"/>
    <w:rsid w:val="00D530CC"/>
    <w:rsid w:val="00D54EB2"/>
    <w:rsid w:val="00D5671A"/>
    <w:rsid w:val="00D576FC"/>
    <w:rsid w:val="00D60689"/>
    <w:rsid w:val="00D61074"/>
    <w:rsid w:val="00D62C90"/>
    <w:rsid w:val="00D63D04"/>
    <w:rsid w:val="00D6496C"/>
    <w:rsid w:val="00D649CB"/>
    <w:rsid w:val="00D64D20"/>
    <w:rsid w:val="00D6621C"/>
    <w:rsid w:val="00D66F3F"/>
    <w:rsid w:val="00D66FA4"/>
    <w:rsid w:val="00D671AB"/>
    <w:rsid w:val="00D70C8B"/>
    <w:rsid w:val="00D710FB"/>
    <w:rsid w:val="00D72C2C"/>
    <w:rsid w:val="00D7378A"/>
    <w:rsid w:val="00D737E4"/>
    <w:rsid w:val="00D74692"/>
    <w:rsid w:val="00D757AA"/>
    <w:rsid w:val="00D77791"/>
    <w:rsid w:val="00D80369"/>
    <w:rsid w:val="00D81FAC"/>
    <w:rsid w:val="00D824C9"/>
    <w:rsid w:val="00D8265A"/>
    <w:rsid w:val="00D8369A"/>
    <w:rsid w:val="00D8422A"/>
    <w:rsid w:val="00D8502E"/>
    <w:rsid w:val="00D85173"/>
    <w:rsid w:val="00D852E4"/>
    <w:rsid w:val="00D85598"/>
    <w:rsid w:val="00D8578A"/>
    <w:rsid w:val="00D85DD9"/>
    <w:rsid w:val="00D86916"/>
    <w:rsid w:val="00D87ED7"/>
    <w:rsid w:val="00D901DB"/>
    <w:rsid w:val="00D90628"/>
    <w:rsid w:val="00D90A18"/>
    <w:rsid w:val="00D923FA"/>
    <w:rsid w:val="00D92DBE"/>
    <w:rsid w:val="00D938A2"/>
    <w:rsid w:val="00D94227"/>
    <w:rsid w:val="00D94449"/>
    <w:rsid w:val="00D9474E"/>
    <w:rsid w:val="00D9474F"/>
    <w:rsid w:val="00D96001"/>
    <w:rsid w:val="00D978DA"/>
    <w:rsid w:val="00DA011C"/>
    <w:rsid w:val="00DA01B5"/>
    <w:rsid w:val="00DA0AD3"/>
    <w:rsid w:val="00DA119E"/>
    <w:rsid w:val="00DA4E54"/>
    <w:rsid w:val="00DA5CD9"/>
    <w:rsid w:val="00DA68FE"/>
    <w:rsid w:val="00DB1277"/>
    <w:rsid w:val="00DB3BC5"/>
    <w:rsid w:val="00DB4D03"/>
    <w:rsid w:val="00DB539C"/>
    <w:rsid w:val="00DB5883"/>
    <w:rsid w:val="00DB5DF9"/>
    <w:rsid w:val="00DB7404"/>
    <w:rsid w:val="00DB74E5"/>
    <w:rsid w:val="00DB790E"/>
    <w:rsid w:val="00DB7B0C"/>
    <w:rsid w:val="00DC3482"/>
    <w:rsid w:val="00DC35B2"/>
    <w:rsid w:val="00DC47D8"/>
    <w:rsid w:val="00DC49E0"/>
    <w:rsid w:val="00DC4BBB"/>
    <w:rsid w:val="00DC65AB"/>
    <w:rsid w:val="00DC77CD"/>
    <w:rsid w:val="00DD0533"/>
    <w:rsid w:val="00DD09E3"/>
    <w:rsid w:val="00DD1371"/>
    <w:rsid w:val="00DD2B09"/>
    <w:rsid w:val="00DD3B1B"/>
    <w:rsid w:val="00DD7C51"/>
    <w:rsid w:val="00DE0A20"/>
    <w:rsid w:val="00DE19C3"/>
    <w:rsid w:val="00DE21E6"/>
    <w:rsid w:val="00DE41F9"/>
    <w:rsid w:val="00DE4378"/>
    <w:rsid w:val="00DE46F7"/>
    <w:rsid w:val="00DE49B9"/>
    <w:rsid w:val="00DE57C7"/>
    <w:rsid w:val="00DE5909"/>
    <w:rsid w:val="00DE5BA3"/>
    <w:rsid w:val="00DE7BB8"/>
    <w:rsid w:val="00DF1BCF"/>
    <w:rsid w:val="00DF2A59"/>
    <w:rsid w:val="00DF310B"/>
    <w:rsid w:val="00DF31CE"/>
    <w:rsid w:val="00DF331B"/>
    <w:rsid w:val="00DF3466"/>
    <w:rsid w:val="00DF3E26"/>
    <w:rsid w:val="00DF5E4F"/>
    <w:rsid w:val="00DF67D4"/>
    <w:rsid w:val="00DF7276"/>
    <w:rsid w:val="00DF73A6"/>
    <w:rsid w:val="00DF76CC"/>
    <w:rsid w:val="00E00FED"/>
    <w:rsid w:val="00E0114D"/>
    <w:rsid w:val="00E01E85"/>
    <w:rsid w:val="00E03C7B"/>
    <w:rsid w:val="00E049BC"/>
    <w:rsid w:val="00E04CC9"/>
    <w:rsid w:val="00E04EB2"/>
    <w:rsid w:val="00E052B2"/>
    <w:rsid w:val="00E07972"/>
    <w:rsid w:val="00E07F63"/>
    <w:rsid w:val="00E10FBC"/>
    <w:rsid w:val="00E12281"/>
    <w:rsid w:val="00E16252"/>
    <w:rsid w:val="00E1670B"/>
    <w:rsid w:val="00E17D07"/>
    <w:rsid w:val="00E207D2"/>
    <w:rsid w:val="00E20A68"/>
    <w:rsid w:val="00E2251C"/>
    <w:rsid w:val="00E26AF6"/>
    <w:rsid w:val="00E30FF1"/>
    <w:rsid w:val="00E316EC"/>
    <w:rsid w:val="00E31AB6"/>
    <w:rsid w:val="00E328D1"/>
    <w:rsid w:val="00E32E1F"/>
    <w:rsid w:val="00E32E43"/>
    <w:rsid w:val="00E33658"/>
    <w:rsid w:val="00E357AC"/>
    <w:rsid w:val="00E374D4"/>
    <w:rsid w:val="00E409D8"/>
    <w:rsid w:val="00E41EAF"/>
    <w:rsid w:val="00E42D6F"/>
    <w:rsid w:val="00E42F3F"/>
    <w:rsid w:val="00E437E4"/>
    <w:rsid w:val="00E46055"/>
    <w:rsid w:val="00E46B5E"/>
    <w:rsid w:val="00E46C9E"/>
    <w:rsid w:val="00E47B65"/>
    <w:rsid w:val="00E500A5"/>
    <w:rsid w:val="00E50504"/>
    <w:rsid w:val="00E513CB"/>
    <w:rsid w:val="00E517CE"/>
    <w:rsid w:val="00E55589"/>
    <w:rsid w:val="00E56267"/>
    <w:rsid w:val="00E57334"/>
    <w:rsid w:val="00E573E6"/>
    <w:rsid w:val="00E57BC7"/>
    <w:rsid w:val="00E60D33"/>
    <w:rsid w:val="00E613C4"/>
    <w:rsid w:val="00E61C8A"/>
    <w:rsid w:val="00E61E64"/>
    <w:rsid w:val="00E62074"/>
    <w:rsid w:val="00E62DA4"/>
    <w:rsid w:val="00E62EA3"/>
    <w:rsid w:val="00E63811"/>
    <w:rsid w:val="00E6479A"/>
    <w:rsid w:val="00E66769"/>
    <w:rsid w:val="00E66E25"/>
    <w:rsid w:val="00E67C5C"/>
    <w:rsid w:val="00E70894"/>
    <w:rsid w:val="00E715EF"/>
    <w:rsid w:val="00E7164A"/>
    <w:rsid w:val="00E7201B"/>
    <w:rsid w:val="00E737AD"/>
    <w:rsid w:val="00E738E7"/>
    <w:rsid w:val="00E75E84"/>
    <w:rsid w:val="00E76EF3"/>
    <w:rsid w:val="00E7733F"/>
    <w:rsid w:val="00E77489"/>
    <w:rsid w:val="00E7752E"/>
    <w:rsid w:val="00E777CB"/>
    <w:rsid w:val="00E777ED"/>
    <w:rsid w:val="00E8045B"/>
    <w:rsid w:val="00E81227"/>
    <w:rsid w:val="00E812FD"/>
    <w:rsid w:val="00E817E7"/>
    <w:rsid w:val="00E825B0"/>
    <w:rsid w:val="00E83A47"/>
    <w:rsid w:val="00E848A6"/>
    <w:rsid w:val="00E84C86"/>
    <w:rsid w:val="00E85CFD"/>
    <w:rsid w:val="00E85E14"/>
    <w:rsid w:val="00E86041"/>
    <w:rsid w:val="00E86320"/>
    <w:rsid w:val="00E87107"/>
    <w:rsid w:val="00E87874"/>
    <w:rsid w:val="00E87969"/>
    <w:rsid w:val="00E90988"/>
    <w:rsid w:val="00E925BA"/>
    <w:rsid w:val="00E9478E"/>
    <w:rsid w:val="00E95901"/>
    <w:rsid w:val="00E96387"/>
    <w:rsid w:val="00E97D7C"/>
    <w:rsid w:val="00EA1FB4"/>
    <w:rsid w:val="00EA2449"/>
    <w:rsid w:val="00EA4E9D"/>
    <w:rsid w:val="00EA5F93"/>
    <w:rsid w:val="00EA6418"/>
    <w:rsid w:val="00EB0280"/>
    <w:rsid w:val="00EB0F71"/>
    <w:rsid w:val="00EB18D2"/>
    <w:rsid w:val="00EB4838"/>
    <w:rsid w:val="00EB5C98"/>
    <w:rsid w:val="00EC004F"/>
    <w:rsid w:val="00EC252E"/>
    <w:rsid w:val="00EC2726"/>
    <w:rsid w:val="00EC2945"/>
    <w:rsid w:val="00EC2B49"/>
    <w:rsid w:val="00EC3694"/>
    <w:rsid w:val="00EC394B"/>
    <w:rsid w:val="00EC5C44"/>
    <w:rsid w:val="00EC654F"/>
    <w:rsid w:val="00EC7491"/>
    <w:rsid w:val="00EC7A0F"/>
    <w:rsid w:val="00ED4284"/>
    <w:rsid w:val="00ED524E"/>
    <w:rsid w:val="00ED5EC7"/>
    <w:rsid w:val="00ED690D"/>
    <w:rsid w:val="00ED750A"/>
    <w:rsid w:val="00ED7C3C"/>
    <w:rsid w:val="00EE018B"/>
    <w:rsid w:val="00EE289D"/>
    <w:rsid w:val="00EE3456"/>
    <w:rsid w:val="00EE49CF"/>
    <w:rsid w:val="00EE4B2A"/>
    <w:rsid w:val="00EE5231"/>
    <w:rsid w:val="00EE5571"/>
    <w:rsid w:val="00EE5D18"/>
    <w:rsid w:val="00EE6AF5"/>
    <w:rsid w:val="00EE766D"/>
    <w:rsid w:val="00EF0CB2"/>
    <w:rsid w:val="00EF225E"/>
    <w:rsid w:val="00EF264A"/>
    <w:rsid w:val="00EF3BCB"/>
    <w:rsid w:val="00EF5207"/>
    <w:rsid w:val="00EF7909"/>
    <w:rsid w:val="00F005EE"/>
    <w:rsid w:val="00F00724"/>
    <w:rsid w:val="00F00B15"/>
    <w:rsid w:val="00F018C2"/>
    <w:rsid w:val="00F019B7"/>
    <w:rsid w:val="00F01FE3"/>
    <w:rsid w:val="00F0291B"/>
    <w:rsid w:val="00F04175"/>
    <w:rsid w:val="00F119E2"/>
    <w:rsid w:val="00F11A3E"/>
    <w:rsid w:val="00F125E4"/>
    <w:rsid w:val="00F12D89"/>
    <w:rsid w:val="00F136F3"/>
    <w:rsid w:val="00F15A37"/>
    <w:rsid w:val="00F22DE4"/>
    <w:rsid w:val="00F24805"/>
    <w:rsid w:val="00F24AE9"/>
    <w:rsid w:val="00F24ED7"/>
    <w:rsid w:val="00F253F3"/>
    <w:rsid w:val="00F26B4D"/>
    <w:rsid w:val="00F26FA5"/>
    <w:rsid w:val="00F274B7"/>
    <w:rsid w:val="00F3141C"/>
    <w:rsid w:val="00F32804"/>
    <w:rsid w:val="00F33191"/>
    <w:rsid w:val="00F339D3"/>
    <w:rsid w:val="00F3562B"/>
    <w:rsid w:val="00F35BDB"/>
    <w:rsid w:val="00F36D7F"/>
    <w:rsid w:val="00F40659"/>
    <w:rsid w:val="00F40DA7"/>
    <w:rsid w:val="00F4187C"/>
    <w:rsid w:val="00F428FE"/>
    <w:rsid w:val="00F42E18"/>
    <w:rsid w:val="00F447D1"/>
    <w:rsid w:val="00F44891"/>
    <w:rsid w:val="00F45BCB"/>
    <w:rsid w:val="00F45F03"/>
    <w:rsid w:val="00F46636"/>
    <w:rsid w:val="00F508D7"/>
    <w:rsid w:val="00F51972"/>
    <w:rsid w:val="00F51D9E"/>
    <w:rsid w:val="00F52FDF"/>
    <w:rsid w:val="00F5534A"/>
    <w:rsid w:val="00F55CF5"/>
    <w:rsid w:val="00F56903"/>
    <w:rsid w:val="00F56C1C"/>
    <w:rsid w:val="00F56EF5"/>
    <w:rsid w:val="00F57245"/>
    <w:rsid w:val="00F5793E"/>
    <w:rsid w:val="00F60742"/>
    <w:rsid w:val="00F65267"/>
    <w:rsid w:val="00F6548D"/>
    <w:rsid w:val="00F65B93"/>
    <w:rsid w:val="00F65BC3"/>
    <w:rsid w:val="00F668AC"/>
    <w:rsid w:val="00F66962"/>
    <w:rsid w:val="00F70BD7"/>
    <w:rsid w:val="00F72216"/>
    <w:rsid w:val="00F725D5"/>
    <w:rsid w:val="00F7766D"/>
    <w:rsid w:val="00F77BD3"/>
    <w:rsid w:val="00F81901"/>
    <w:rsid w:val="00F85E6B"/>
    <w:rsid w:val="00F86129"/>
    <w:rsid w:val="00F86977"/>
    <w:rsid w:val="00F87C08"/>
    <w:rsid w:val="00F90066"/>
    <w:rsid w:val="00F90339"/>
    <w:rsid w:val="00F90712"/>
    <w:rsid w:val="00F924A8"/>
    <w:rsid w:val="00F94CBC"/>
    <w:rsid w:val="00F9559C"/>
    <w:rsid w:val="00F96497"/>
    <w:rsid w:val="00F964C7"/>
    <w:rsid w:val="00F96B4F"/>
    <w:rsid w:val="00F97376"/>
    <w:rsid w:val="00F9765C"/>
    <w:rsid w:val="00FA1B5E"/>
    <w:rsid w:val="00FA240F"/>
    <w:rsid w:val="00FA447B"/>
    <w:rsid w:val="00FA58D4"/>
    <w:rsid w:val="00FA6A57"/>
    <w:rsid w:val="00FA7540"/>
    <w:rsid w:val="00FA76D2"/>
    <w:rsid w:val="00FA7C5E"/>
    <w:rsid w:val="00FB0B5F"/>
    <w:rsid w:val="00FB3C40"/>
    <w:rsid w:val="00FB3EBB"/>
    <w:rsid w:val="00FB4A77"/>
    <w:rsid w:val="00FB50E9"/>
    <w:rsid w:val="00FB5370"/>
    <w:rsid w:val="00FB5390"/>
    <w:rsid w:val="00FB53D4"/>
    <w:rsid w:val="00FC058A"/>
    <w:rsid w:val="00FC3B91"/>
    <w:rsid w:val="00FC3CDF"/>
    <w:rsid w:val="00FC4ACC"/>
    <w:rsid w:val="00FC536C"/>
    <w:rsid w:val="00FC55DF"/>
    <w:rsid w:val="00FC71F4"/>
    <w:rsid w:val="00FC7F3A"/>
    <w:rsid w:val="00FD0455"/>
    <w:rsid w:val="00FD15C2"/>
    <w:rsid w:val="00FD2B12"/>
    <w:rsid w:val="00FD2B3B"/>
    <w:rsid w:val="00FD34B3"/>
    <w:rsid w:val="00FD4932"/>
    <w:rsid w:val="00FD6198"/>
    <w:rsid w:val="00FE08BB"/>
    <w:rsid w:val="00FE1B8F"/>
    <w:rsid w:val="00FE2193"/>
    <w:rsid w:val="00FE3F40"/>
    <w:rsid w:val="00FE421D"/>
    <w:rsid w:val="00FE5964"/>
    <w:rsid w:val="00FE7353"/>
    <w:rsid w:val="00FE7E39"/>
    <w:rsid w:val="00FF0F93"/>
    <w:rsid w:val="00FF10C4"/>
    <w:rsid w:val="00FF7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2D89"/>
    <w:rPr>
      <w:sz w:val="24"/>
    </w:rPr>
  </w:style>
  <w:style w:type="paragraph" w:styleId="Heading2">
    <w:name w:val="heading 2"/>
    <w:basedOn w:val="Normal"/>
    <w:qFormat/>
    <w:rsid w:val="00E81227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E81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</w:rPr>
  </w:style>
  <w:style w:type="character" w:styleId="Hyperlink">
    <w:name w:val="Hyperlink"/>
    <w:basedOn w:val="DefaultParagraphFont"/>
    <w:rsid w:val="00E81227"/>
    <w:rPr>
      <w:color w:val="0000FF"/>
      <w:u w:val="single"/>
    </w:rPr>
  </w:style>
  <w:style w:type="paragraph" w:styleId="BodyTextIndent">
    <w:name w:val="Body Text Indent"/>
    <w:basedOn w:val="Normal"/>
    <w:rsid w:val="00E81227"/>
    <w:pPr>
      <w:spacing w:line="480" w:lineRule="auto"/>
      <w:ind w:firstLine="720"/>
    </w:pPr>
    <w:rPr>
      <w:rFonts w:ascii="Times New Roman" w:eastAsia="Times New Roman" w:hAnsi="Times New Roman"/>
      <w:sz w:val="20"/>
    </w:rPr>
  </w:style>
  <w:style w:type="paragraph" w:styleId="Header">
    <w:name w:val="header"/>
    <w:basedOn w:val="Normal"/>
    <w:rsid w:val="00E81227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0"/>
    </w:rPr>
  </w:style>
  <w:style w:type="character" w:styleId="FollowedHyperlink">
    <w:name w:val="FollowedHyperlink"/>
    <w:basedOn w:val="DefaultParagraphFont"/>
    <w:rsid w:val="00E81227"/>
    <w:rPr>
      <w:color w:val="800080"/>
      <w:u w:val="single"/>
    </w:rPr>
  </w:style>
  <w:style w:type="paragraph" w:styleId="BodyText3">
    <w:name w:val="Body Text 3"/>
    <w:basedOn w:val="Normal"/>
    <w:rsid w:val="00E81227"/>
    <w:rPr>
      <w:rFonts w:ascii="Times New Roman" w:hAnsi="Times New Roman"/>
      <w:sz w:val="16"/>
    </w:rPr>
  </w:style>
  <w:style w:type="paragraph" w:styleId="BodyText2">
    <w:name w:val="Body Text 2"/>
    <w:basedOn w:val="Normal"/>
    <w:rsid w:val="00E81227"/>
    <w:pPr>
      <w:jc w:val="center"/>
    </w:pPr>
    <w:rPr>
      <w:rFonts w:ascii="CG Times" w:eastAsia="Times New Roman" w:hAnsi="CG Times"/>
      <w:sz w:val="20"/>
    </w:rPr>
  </w:style>
  <w:style w:type="character" w:customStyle="1" w:styleId="DeltaViewInsertion">
    <w:name w:val="DeltaView Insertion"/>
    <w:rsid w:val="00E81227"/>
    <w:rPr>
      <w:b/>
      <w:bCs/>
      <w:color w:val="0000FF"/>
      <w:spacing w:val="0"/>
      <w:u w:val="double"/>
    </w:rPr>
  </w:style>
  <w:style w:type="paragraph" w:styleId="BalloonText">
    <w:name w:val="Balloon Text"/>
    <w:basedOn w:val="Normal"/>
    <w:semiHidden/>
    <w:rsid w:val="00E81227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E81227"/>
    <w:pPr>
      <w:spacing w:line="480" w:lineRule="auto"/>
      <w:ind w:left="2880" w:firstLine="720"/>
      <w:jc w:val="center"/>
    </w:pPr>
    <w:rPr>
      <w:rFonts w:ascii="Times New Roman" w:hAnsi="Times New Roman"/>
    </w:rPr>
  </w:style>
  <w:style w:type="table" w:styleId="TableGrid">
    <w:name w:val="Table Grid"/>
    <w:basedOn w:val="TableNormal"/>
    <w:rsid w:val="00CA47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9">
    <w:name w:val="Pa9"/>
    <w:basedOn w:val="Normal"/>
    <w:next w:val="Normal"/>
    <w:rsid w:val="00B07545"/>
    <w:pPr>
      <w:autoSpaceDE w:val="0"/>
      <w:autoSpaceDN w:val="0"/>
      <w:adjustRightInd w:val="0"/>
      <w:spacing w:before="120" w:line="211" w:lineRule="atLeast"/>
    </w:pPr>
    <w:rPr>
      <w:rFonts w:ascii="Bembo" w:eastAsia="Times New Roman" w:hAnsi="Bembo"/>
      <w:szCs w:val="24"/>
    </w:rPr>
  </w:style>
  <w:style w:type="paragraph" w:customStyle="1" w:styleId="Char">
    <w:name w:val="Char"/>
    <w:basedOn w:val="Normal"/>
    <w:rsid w:val="00D72C2C"/>
    <w:pPr>
      <w:spacing w:after="160" w:line="240" w:lineRule="exact"/>
    </w:pPr>
    <w:rPr>
      <w:rFonts w:ascii="Times New Roman" w:eastAsia="Times New Roman" w:hAnsi="Times New Roman"/>
      <w:sz w:val="20"/>
    </w:rPr>
  </w:style>
  <w:style w:type="paragraph" w:customStyle="1" w:styleId="LSTNumBlockedLeftLevel-1">
    <w:name w:val="LST/Num Blocked Left Level-1"/>
    <w:basedOn w:val="Normal"/>
    <w:rsid w:val="00DC4BBB"/>
    <w:pPr>
      <w:tabs>
        <w:tab w:val="left" w:pos="800"/>
      </w:tabs>
      <w:spacing w:after="120"/>
      <w:ind w:left="400" w:hanging="400"/>
    </w:pPr>
    <w:rPr>
      <w:rFonts w:ascii="Dutch801 Rm BT" w:eastAsia="Times New Roman" w:hAnsi="Dutch801 Rm BT"/>
      <w:sz w:val="20"/>
    </w:rPr>
  </w:style>
  <w:style w:type="paragraph" w:customStyle="1" w:styleId="HEDHeadCenteredBold">
    <w:name w:val="HED/Head Centered Bold"/>
    <w:basedOn w:val="Normal"/>
    <w:rsid w:val="00DC4BBB"/>
    <w:pPr>
      <w:keepNext/>
      <w:keepLines/>
      <w:suppressAutoHyphens/>
      <w:spacing w:after="120"/>
      <w:jc w:val="center"/>
    </w:pPr>
    <w:rPr>
      <w:rFonts w:ascii="Dutch801 Rm BT" w:eastAsia="Times New Roman" w:hAnsi="Dutch801 Rm BT"/>
      <w:b/>
      <w:bCs/>
      <w:sz w:val="20"/>
    </w:rPr>
  </w:style>
  <w:style w:type="paragraph" w:customStyle="1" w:styleId="HEDHeadLeftBoldItalicLevel-1">
    <w:name w:val="HED/Head Left Bold Italic Level-1"/>
    <w:basedOn w:val="Normal"/>
    <w:rsid w:val="00DC4BBB"/>
    <w:pPr>
      <w:keepNext/>
      <w:keepLines/>
      <w:suppressAutoHyphens/>
      <w:spacing w:after="120"/>
      <w:ind w:left="200" w:hanging="200"/>
    </w:pPr>
    <w:rPr>
      <w:rFonts w:ascii="Dutch801 Rm BT" w:eastAsia="Times New Roman" w:hAnsi="Dutch801 Rm BT"/>
      <w:b/>
      <w:i/>
      <w:sz w:val="20"/>
    </w:rPr>
  </w:style>
  <w:style w:type="paragraph" w:customStyle="1" w:styleId="TXTParaStandardRomanLevel-1">
    <w:name w:val="TXT/Para Standard Roman Level-1"/>
    <w:basedOn w:val="Normal"/>
    <w:rsid w:val="00DC4BBB"/>
    <w:pPr>
      <w:spacing w:after="120"/>
      <w:ind w:firstLine="400"/>
    </w:pPr>
    <w:rPr>
      <w:rFonts w:ascii="Dutch801 Rm BT" w:eastAsia="Times New Roman" w:hAnsi="Dutch801 Rm BT"/>
      <w:sz w:val="20"/>
    </w:rPr>
  </w:style>
  <w:style w:type="paragraph" w:customStyle="1" w:styleId="TBLFootnoteLevel-1">
    <w:name w:val="TBL/Footnote Level-1"/>
    <w:basedOn w:val="Normal"/>
    <w:rsid w:val="00DC4BBB"/>
    <w:pPr>
      <w:tabs>
        <w:tab w:val="left" w:pos="800"/>
      </w:tabs>
      <w:spacing w:after="120"/>
      <w:ind w:left="400" w:hanging="400"/>
    </w:pPr>
    <w:rPr>
      <w:rFonts w:ascii="Dutch801 Rm BT" w:eastAsia="Times New Roman" w:hAnsi="Dutch801 Rm B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kmurphy@fnf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nf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nf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DEC7C-588B-47AC-BFD8-6F3CF933C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6</Pages>
  <Words>1897</Words>
  <Characters>11340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IMMEDIATE RELEASE</vt:lpstr>
    </vt:vector>
  </TitlesOfParts>
  <Company>MML</Company>
  <LinksUpToDate>false</LinksUpToDate>
  <CharactersWithSpaces>13211</CharactersWithSpaces>
  <SharedDoc>false</SharedDoc>
  <HLinks>
    <vt:vector size="24" baseType="variant">
      <vt:variant>
        <vt:i4>1966142</vt:i4>
      </vt:variant>
      <vt:variant>
        <vt:i4>9</vt:i4>
      </vt:variant>
      <vt:variant>
        <vt:i4>0</vt:i4>
      </vt:variant>
      <vt:variant>
        <vt:i4>5</vt:i4>
      </vt:variant>
      <vt:variant>
        <vt:lpwstr>mailto:dkmurphy@fnf.com</vt:lpwstr>
      </vt:variant>
      <vt:variant>
        <vt:lpwstr/>
      </vt:variant>
      <vt:variant>
        <vt:i4>2424959</vt:i4>
      </vt:variant>
      <vt:variant>
        <vt:i4>6</vt:i4>
      </vt:variant>
      <vt:variant>
        <vt:i4>0</vt:i4>
      </vt:variant>
      <vt:variant>
        <vt:i4>5</vt:i4>
      </vt:variant>
      <vt:variant>
        <vt:lpwstr>http://www.fnf.com/</vt:lpwstr>
      </vt:variant>
      <vt:variant>
        <vt:lpwstr/>
      </vt:variant>
      <vt:variant>
        <vt:i4>2424959</vt:i4>
      </vt:variant>
      <vt:variant>
        <vt:i4>3</vt:i4>
      </vt:variant>
      <vt:variant>
        <vt:i4>0</vt:i4>
      </vt:variant>
      <vt:variant>
        <vt:i4>5</vt:i4>
      </vt:variant>
      <vt:variant>
        <vt:lpwstr>http://www.fnf.com/</vt:lpwstr>
      </vt:variant>
      <vt:variant>
        <vt:lpwstr/>
      </vt:variant>
      <vt:variant>
        <vt:i4>2424959</vt:i4>
      </vt:variant>
      <vt:variant>
        <vt:i4>0</vt:i4>
      </vt:variant>
      <vt:variant>
        <vt:i4>0</vt:i4>
      </vt:variant>
      <vt:variant>
        <vt:i4>5</vt:i4>
      </vt:variant>
      <vt:variant>
        <vt:lpwstr>http://www.fnf.com/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IMMEDIATE RELEASE</dc:title>
  <dc:creator>Miles Linklater</dc:creator>
  <cp:lastModifiedBy>Dan Murphy</cp:lastModifiedBy>
  <cp:revision>22</cp:revision>
  <cp:lastPrinted>2012-04-24T20:01:00Z</cp:lastPrinted>
  <dcterms:created xsi:type="dcterms:W3CDTF">2012-04-18T14:27:00Z</dcterms:created>
  <dcterms:modified xsi:type="dcterms:W3CDTF">2012-04-25T17:44:00Z</dcterms:modified>
</cp:coreProperties>
</file>