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2023</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r>
      <w:tr>
        <w:trPr>
          <w:trHeight w:val="35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40" w:type="dxa"/>
            <w:vAlign w:val="bottom"/>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left="320" w:right="300"/>
        <w:spacing w:after="0" w:line="265" w:lineRule="auto"/>
        <w:rPr>
          <w:sz w:val="20"/>
          <w:szCs w:val="20"/>
          <w:color w:val="auto"/>
        </w:rPr>
      </w:pPr>
      <w:r>
        <w:rPr>
          <w:rFonts w:ascii="Times New Roman" w:cs="Times New Roman" w:eastAsia="Times New Roman" w:hAnsi="Times New Roman"/>
          <w:sz w:val="17"/>
          <w:szCs w:val="17"/>
          <w:color w:val="auto"/>
        </w:rPr>
        <w:t>Fidelity National Financial, Inc. (“FNF” or the “Company”) recently became aware of a cybersecurity incident that impacted certain FNF systems. FNF promptly commenced an investigation, retained leading experts to assist the Company, notified law enforcement authorities, and implemented</w:t>
      </w:r>
    </w:p>
    <w:p>
      <w:pPr>
        <w:ind w:left="320"/>
        <w:spacing w:after="0" w:line="268" w:lineRule="auto"/>
        <w:rPr>
          <w:sz w:val="20"/>
          <w:szCs w:val="20"/>
          <w:color w:val="auto"/>
        </w:rPr>
      </w:pPr>
      <w:r>
        <w:rPr>
          <w:rFonts w:ascii="Times New Roman" w:cs="Times New Roman" w:eastAsia="Times New Roman" w:hAnsi="Times New Roman"/>
          <w:sz w:val="18"/>
          <w:szCs w:val="18"/>
          <w:color w:val="auto"/>
        </w:rPr>
        <w:t>certain measures to assess and contain the incident. Among other containment measures, we blocked access to certain of our systems, which resulted in disruptions to our business. For example, the services we provide related to title insurance, escrow and other title-related services, mortgage</w:t>
      </w:r>
    </w:p>
    <w:p>
      <w:pPr>
        <w:spacing w:after="0" w:line="2" w:lineRule="exact"/>
        <w:rPr>
          <w:sz w:val="20"/>
          <w:szCs w:val="20"/>
          <w:color w:val="auto"/>
        </w:rPr>
      </w:pPr>
    </w:p>
    <w:p>
      <w:pPr>
        <w:ind w:left="320" w:right="120"/>
        <w:spacing w:after="0" w:line="245" w:lineRule="auto"/>
        <w:rPr>
          <w:sz w:val="20"/>
          <w:szCs w:val="20"/>
          <w:color w:val="auto"/>
        </w:rPr>
      </w:pPr>
      <w:r>
        <w:rPr>
          <w:rFonts w:ascii="Times New Roman" w:cs="Times New Roman" w:eastAsia="Times New Roman" w:hAnsi="Times New Roman"/>
          <w:sz w:val="18"/>
          <w:szCs w:val="18"/>
          <w:color w:val="auto"/>
        </w:rPr>
        <w:t>transaction services, and technology to the real estate and mortgage industries, have been affected by these measures. Our majority-owned subsidiary, F&amp;G Annuities &amp; Life, a leading provider of insurance solutions, was not impacted by the incident.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our investigation to date, FNF has determined that an unauthorized third party accessed certain FNF systems and acquired certain credentials.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investigation remains ongoing at this time.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FNF will continue to assess the impact of the incident and whether the incident may have a material impact on the Company.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working diligently to address the incident and to restore normal operations as quickly and safely as possible.</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ind w:left="320" w:right="40"/>
        <w:spacing w:after="0" w:line="24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and the Private Securities Litigation Reform Act of 1995 that involve risk and uncertainties. These forward-looking statements are based on our current beliefs, understandings and expectations and may relate to, among other things, statements regarding our current beliefs, understanding and expectations regarding this cybersecurity incident and its impact on our business, operations and financial results. These forward-looking statements are neither promises nor guarantees, but are subject to a variety of risks and uncertainties, many of which are beyond our control, which could cause actual results to differ materially from those contemplated in these forward-looking statements. Factors that could cause actual results to differ materially from those expressed or implied include legal, reputational, operational, and financial risks resulting from this cybersecurity incident, our ongoing investigation of the incident, including the Company’s potential discovery of additional information related to the incident in connection with this investigation, any potential regulatory inquiries and/or litigation to which the Company may become subject in connection with this incident, the extent of remediation and other additional costs that may be incurred by the Company in connection with this incident, the extent of insurance coverage and contractual indemnification, and the risks set forth in our Annual Report on Form 10-K for the year ended December 31, 2022, filed with the Securities and Exchange Commission on February 27, 2023, and our other filings with the Securities and Exchange Commission. The Company undertakes no obligation to revise or update any forward-looking statements,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1735455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2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78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21, 2023</w:t>
            </w:r>
          </w:p>
        </w:tc>
        <w:tc>
          <w:tcPr>
            <w:tcW w:w="5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18"/>
        </w:trPr>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1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34"/>
        </w:trPr>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0480"/>
      </w:cols>
      <w:pgMar w:left="58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2023-11-21T16:54:13Z</dcterms:created>
  <dcterms:modified xsi:type="dcterms:W3CDTF">2023-11-21T16:54:13Z</dcterms:modified>
</cp:coreProperties>
</file>