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481965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448310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85725</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111125</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68" w:lineRule="exact"/>
        <w:rPr>
          <w:sz w:val="24"/>
          <w:szCs w:val="24"/>
          <w:color w:val="auto"/>
        </w:rPr>
      </w:pPr>
    </w:p>
    <w:p>
      <w:pPr>
        <w:ind w:left="47"/>
        <w:spacing w:after="0"/>
        <w:rPr>
          <w:sz w:val="20"/>
          <w:szCs w:val="20"/>
          <w:color w:val="auto"/>
        </w:rPr>
      </w:pPr>
      <w:r>
        <w:rPr>
          <w:rFonts w:ascii="Times New Roman" w:cs="Times New Roman" w:eastAsia="Times New Roman" w:hAnsi="Times New Roman"/>
          <w:sz w:val="18"/>
          <w:szCs w:val="18"/>
          <w:color w:val="auto"/>
        </w:rPr>
        <w:t>(Mark One)</w:t>
      </w:r>
    </w:p>
    <w:p>
      <w:pPr>
        <w:spacing w:after="0" w:line="175" w:lineRule="exact"/>
        <w:rPr>
          <w:sz w:val="24"/>
          <w:szCs w:val="24"/>
          <w:color w:val="auto"/>
        </w:rPr>
      </w:pPr>
    </w:p>
    <w:p>
      <w:pPr>
        <w:ind w:left="527" w:hanging="457"/>
        <w:spacing w:after="0"/>
        <w:tabs>
          <w:tab w:leader="none" w:pos="52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12"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8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8" w:lineRule="exact"/>
        <w:rPr>
          <w:sz w:val="24"/>
          <w:szCs w:val="24"/>
          <w:color w:val="auto"/>
        </w:rPr>
      </w:pPr>
    </w:p>
    <w:p>
      <w:pPr>
        <w:ind w:left="547" w:hanging="547"/>
        <w:spacing w:after="0"/>
        <w:tabs>
          <w:tab w:leader="none" w:pos="547"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98"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90170</wp:posOffset>
            </wp:positionV>
            <wp:extent cx="3659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182245</wp:posOffset>
            </wp:positionV>
            <wp:extent cx="1671320" cy="693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693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887" w:type="dxa"/>
        <w:tblCellMar>
          <w:top w:w="0" w:type="dxa"/>
          <w:left w:w="0" w:type="dxa"/>
          <w:bottom w:w="0" w:type="dxa"/>
          <w:right w:w="0" w:type="dxa"/>
        </w:tblCellMar>
      </w:tblPr>
      <w:tr>
        <w:trPr>
          <w:trHeight w:val="280"/>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6"/>
          </w:tcPr>
          <w:p>
            <w:pPr>
              <w:jc w:val="center"/>
              <w:ind w:right="2140"/>
              <w:spacing w:after="0"/>
              <w:rPr>
                <w:sz w:val="20"/>
                <w:szCs w:val="20"/>
                <w:color w:val="auto"/>
              </w:rPr>
            </w:pPr>
            <w:r>
              <w:rPr>
                <w:rFonts w:ascii="Times New Roman" w:cs="Times New Roman" w:eastAsia="Times New Roman" w:hAnsi="Times New Roman"/>
                <w:sz w:val="21"/>
                <w:szCs w:val="21"/>
                <w:b w:val="1"/>
                <w:bCs w:val="1"/>
                <w:color w:val="auto"/>
                <w:w w:val="99"/>
              </w:rPr>
              <w:t>FIDELITY NATIONAL FINANCIAL, INC.</w:t>
            </w:r>
          </w:p>
        </w:tc>
      </w:tr>
      <w:tr>
        <w:trPr>
          <w:trHeight w:val="238"/>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9"/>
        </w:trPr>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0"/>
        </w:trPr>
        <w:tc>
          <w:tcPr>
            <w:tcW w:w="560" w:type="dxa"/>
            <w:vAlign w:val="bottom"/>
          </w:tcPr>
          <w:p>
            <w:pPr>
              <w:spacing w:after="0"/>
              <w:rPr>
                <w:sz w:val="24"/>
                <w:szCs w:val="24"/>
                <w:color w:val="auto"/>
              </w:rPr>
            </w:pPr>
          </w:p>
        </w:tc>
        <w:tc>
          <w:tcPr>
            <w:tcW w:w="196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20" w:type="dxa"/>
            <w:vAlign w:val="bottom"/>
            <w:gridSpan w:val="3"/>
          </w:tcPr>
          <w:p>
            <w:pPr>
              <w:jc w:val="center"/>
              <w:ind w:left="1744"/>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5"/>
        </w:trPr>
        <w:tc>
          <w:tcPr>
            <w:tcW w:w="2520" w:type="dxa"/>
            <w:vAlign w:val="bottom"/>
            <w:gridSpan w:val="4"/>
          </w:tcPr>
          <w:p>
            <w:pPr>
              <w:jc w:val="center"/>
              <w:ind w:right="68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5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gridSpan w:val="2"/>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3"/>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Jacksonville, Florida, 32204</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5"/>
        </w:trPr>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57"/>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gridSpan w:val="3"/>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8"/>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6"/>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69"/>
        </w:trPr>
        <w:tc>
          <w:tcPr>
            <w:tcW w:w="56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980" w:type="dxa"/>
            <w:vAlign w:val="bottom"/>
          </w:tcPr>
          <w:p>
            <w:pPr>
              <w:spacing w:after="0"/>
              <w:rPr>
                <w:sz w:val="14"/>
                <w:szCs w:val="14"/>
                <w:color w:val="auto"/>
              </w:rPr>
            </w:pPr>
          </w:p>
        </w:tc>
        <w:tc>
          <w:tcPr>
            <w:tcW w:w="278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6"/>
        </w:trPr>
        <w:tc>
          <w:tcPr>
            <w:tcW w:w="25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w w:val="99"/>
              </w:rPr>
              <w:t>FNF Common Stock, $0.0001 par value</w:t>
            </w:r>
          </w:p>
        </w:tc>
        <w:tc>
          <w:tcPr>
            <w:tcW w:w="980" w:type="dxa"/>
            <w:vAlign w:val="bottom"/>
          </w:tcPr>
          <w:p>
            <w:pPr>
              <w:spacing w:after="0"/>
              <w:rPr>
                <w:sz w:val="17"/>
                <w:szCs w:val="17"/>
                <w:color w:val="auto"/>
              </w:rPr>
            </w:pPr>
          </w:p>
        </w:tc>
        <w:tc>
          <w:tcPr>
            <w:tcW w:w="278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color w:val="auto"/>
                <w:w w:val="93"/>
              </w:rPr>
              <w:t>FNF</w:t>
            </w:r>
          </w:p>
        </w:tc>
        <w:tc>
          <w:tcPr>
            <w:tcW w:w="2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98425</wp:posOffset>
            </wp:positionV>
            <wp:extent cx="3659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258" w:lineRule="exact"/>
        <w:rPr>
          <w:sz w:val="24"/>
          <w:szCs w:val="24"/>
          <w:color w:val="auto"/>
        </w:rPr>
      </w:pPr>
    </w:p>
    <w:p>
      <w:pPr>
        <w:ind w:left="47"/>
        <w:spacing w:after="0" w:line="23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46" w:lineRule="exact"/>
        <w:rPr>
          <w:sz w:val="24"/>
          <w:szCs w:val="24"/>
          <w:color w:val="auto"/>
        </w:rPr>
      </w:pPr>
    </w:p>
    <w:p>
      <w:pPr>
        <w:ind w:left="47"/>
        <w:spacing w:after="0" w:line="241"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36" w:lineRule="exact"/>
        <w:rPr>
          <w:sz w:val="24"/>
          <w:szCs w:val="24"/>
          <w:color w:val="auto"/>
        </w:rPr>
      </w:pPr>
    </w:p>
    <w:p>
      <w:pPr>
        <w:ind w:left="47"/>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592455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7"/>
          </w:cols>
          <w:pgMar w:left="273" w:top="226" w:right="339" w:bottom="1440" w:gutter="0" w:footer="0" w:header="0"/>
        </w:sectPr>
      </w:pPr>
    </w:p>
    <w:bookmarkStart w:id="1" w:name="page2"/>
    <w:bookmarkEnd w:id="1"/>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5"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4" w:lineRule="exact"/>
        <w:rPr>
          <w:sz w:val="20"/>
          <w:szCs w:val="20"/>
          <w:color w:val="auto"/>
        </w:rPr>
      </w:pPr>
    </w:p>
    <w:p>
      <w:pPr>
        <w:sectPr>
          <w:pgSz w:w="11900" w:h="16838" w:orient="portrait"/>
          <w:cols w:equalWidth="0" w:num="4">
            <w:col w:w="4020" w:space="720"/>
            <w:col w:w="220" w:space="700"/>
            <w:col w:w="3300" w:space="720"/>
            <w:col w:w="1280"/>
          </w:cols>
          <w:pgMar w:left="320" w:top="1249" w:right="619" w:bottom="1440" w:gutter="0" w:footer="0" w:header="0"/>
        </w:sectPr>
      </w:pPr>
    </w:p>
    <w:p>
      <w:pPr>
        <w:spacing w:after="0" w:line="23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 w:lineRule="exact"/>
        <w:rPr>
          <w:sz w:val="20"/>
          <w:szCs w:val="20"/>
          <w:color w:val="auto"/>
        </w:rPr>
      </w:pPr>
    </w:p>
    <w:p>
      <w:pPr>
        <w:spacing w:after="0" w:line="242" w:lineRule="exact"/>
        <w:tabs>
          <w:tab w:leader="none" w:pos="7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April 30, 2022 were:</w:t>
      </w:r>
    </w:p>
    <w:p>
      <w:pPr>
        <w:spacing w:after="0" w:line="109" w:lineRule="exact"/>
        <w:rPr>
          <w:sz w:val="20"/>
          <w:szCs w:val="20"/>
          <w:color w:val="auto"/>
        </w:rPr>
      </w:pPr>
    </w:p>
    <w:p>
      <w:pPr>
        <w:ind w:left="320"/>
        <w:spacing w:after="0"/>
        <w:tabs>
          <w:tab w:leader="none" w:pos="1940" w:val="left"/>
        </w:tabs>
        <w:rPr>
          <w:sz w:val="20"/>
          <w:szCs w:val="20"/>
          <w:color w:val="auto"/>
        </w:rPr>
      </w:pPr>
      <w:r>
        <w:rPr>
          <w:rFonts w:ascii="Times New Roman" w:cs="Times New Roman" w:eastAsia="Times New Roman" w:hAnsi="Times New Roman"/>
          <w:sz w:val="18"/>
          <w:szCs w:val="18"/>
          <w:color w:val="auto"/>
        </w:rPr>
        <w:t>FNF Common Stock</w:t>
      </w:r>
      <w:r>
        <w:rPr>
          <w:sz w:val="20"/>
          <w:szCs w:val="20"/>
          <w:color w:val="auto"/>
        </w:rPr>
        <w:tab/>
      </w:r>
      <w:r>
        <w:rPr>
          <w:rFonts w:ascii="Times New Roman" w:cs="Times New Roman" w:eastAsia="Times New Roman" w:hAnsi="Times New Roman"/>
          <w:sz w:val="16"/>
          <w:szCs w:val="16"/>
          <w:color w:val="auto"/>
        </w:rPr>
        <w:t>280,703,586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786765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122555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960"/>
          </w:cols>
          <w:pgMar w:left="320" w:top="1249" w:right="6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3"/>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6"/>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5"/>
              </w:rPr>
              <w:t>QUARTERLY REPORT</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7"/>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7"/>
              </w:rPr>
              <w:t>Quarter Ended March 31, 2022</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gridSpan w:val="5"/>
          </w:tcPr>
          <w:p>
            <w:pPr>
              <w:ind w:left="18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40" w:type="dxa"/>
            <w:vAlign w:val="bottom"/>
            <w:gridSpan w:val="11"/>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700" w:type="dxa"/>
            <w:vAlign w:val="bottom"/>
            <w:gridSpan w:val="17"/>
          </w:tcPr>
          <w:p>
            <w:pPr>
              <w:spacing w:after="0" w:line="178" w:lineRule="exact"/>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5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3</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58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98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34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80" w:type="dxa"/>
            <w:vAlign w:val="bottom"/>
            <w:gridSpan w:val="15"/>
          </w:tcPr>
          <w:p>
            <w:pPr>
              <w:spacing w:after="0" w:line="190"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0E32E1"/>
            </w:tcBorders>
          </w:tcPr>
          <w:p>
            <w:pPr>
              <w:jc w:val="center"/>
              <w:spacing w:after="0" w:line="190" w:lineRule="exact"/>
              <w:rPr>
                <w:sz w:val="20"/>
                <w:szCs w:val="20"/>
                <w:color w:val="auto"/>
              </w:rPr>
            </w:pPr>
            <w:r>
              <w:rPr>
                <w:rFonts w:ascii="Times New Roman" w:cs="Times New Roman" w:eastAsia="Times New Roman" w:hAnsi="Times New Roman"/>
                <w:sz w:val="18"/>
                <w:szCs w:val="18"/>
                <w:color w:val="0E32E1"/>
              </w:rPr>
              <w:t>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47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70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tcBorders>
              <w:bottom w:val="single" w:sz="8" w:color="0E32E1"/>
            </w:tcBorders>
            <w:gridSpan w:val="11"/>
          </w:tcPr>
          <w:p>
            <w:pPr>
              <w:spacing w:after="0" w:line="190" w:lineRule="exact"/>
              <w:rPr>
                <w:sz w:val="20"/>
                <w:szCs w:val="20"/>
                <w:color w:val="auto"/>
              </w:rPr>
            </w:pPr>
            <w:r>
              <w:rPr>
                <w:rFonts w:ascii="Times New Roman" w:cs="Times New Roman" w:eastAsia="Times New Roman" w:hAnsi="Times New Roman"/>
                <w:sz w:val="18"/>
                <w:szCs w:val="18"/>
                <w:color w:val="0E32E1"/>
                <w:w w:val="97"/>
              </w:rPr>
              <w:t>Item 3. Quantitative and Qualitative Disclosures about Market Risk</w:t>
            </w:r>
          </w:p>
        </w:tc>
        <w:tc>
          <w:tcPr>
            <w:tcW w:w="3940" w:type="dxa"/>
            <w:vAlign w:val="bottom"/>
            <w:gridSpan w:val="5"/>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70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160" w:type="dxa"/>
            <w:vAlign w:val="bottom"/>
            <w:gridSpan w:val="5"/>
          </w:tcPr>
          <w:p>
            <w:pPr>
              <w:jc w:val="center"/>
              <w:ind w:left="1781"/>
              <w:spacing w:after="0" w:line="204" w:lineRule="exact"/>
              <w:rPr>
                <w:sz w:val="20"/>
                <w:szCs w:val="20"/>
                <w:color w:val="auto"/>
              </w:rPr>
            </w:pPr>
            <w:r>
              <w:rPr>
                <w:rFonts w:ascii="Times New Roman" w:cs="Times New Roman" w:eastAsia="Times New Roman" w:hAnsi="Times New Roman"/>
                <w:sz w:val="18"/>
                <w:szCs w:val="18"/>
                <w:color w:val="0E32E1"/>
                <w:w w:val="99"/>
              </w:rPr>
              <w:t>77</w:t>
            </w:r>
          </w:p>
        </w:tc>
        <w:tc>
          <w:tcPr>
            <w:tcW w:w="0" w:type="dxa"/>
            <w:vAlign w:val="bottom"/>
          </w:tcPr>
          <w:p>
            <w:pPr>
              <w:spacing w:after="0"/>
              <w:rPr>
                <w:sz w:val="1"/>
                <w:szCs w:val="1"/>
                <w:color w:val="auto"/>
              </w:rPr>
            </w:pPr>
          </w:p>
        </w:tc>
      </w:tr>
      <w:tr>
        <w:trPr>
          <w:trHeight w:val="506"/>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440" w:type="dxa"/>
            <w:vAlign w:val="bottom"/>
            <w:gridSpan w:val="11"/>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PART II. OTHER INFORMATION</w:t>
            </w:r>
          </w:p>
        </w:tc>
        <w:tc>
          <w:tcPr>
            <w:tcW w:w="1920" w:type="dxa"/>
            <w:vAlign w:val="bottom"/>
          </w:tcPr>
          <w:p>
            <w:pPr>
              <w:spacing w:after="0"/>
              <w:rPr>
                <w:sz w:val="24"/>
                <w:szCs w:val="24"/>
                <w:color w:val="auto"/>
              </w:rPr>
            </w:pPr>
          </w:p>
        </w:tc>
        <w:tc>
          <w:tcPr>
            <w:tcW w:w="180" w:type="dxa"/>
            <w:vAlign w:val="bottom"/>
            <w:tcBorders>
              <w:top w:val="single" w:sz="8" w:color="0E32E1"/>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E32E1"/>
                <w:w w:val="99"/>
              </w:rPr>
              <w:t>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700" w:type="dxa"/>
            <w:vAlign w:val="bottom"/>
            <w:gridSpan w:val="17"/>
          </w:tcPr>
          <w:p>
            <w:pPr>
              <w:spacing w:after="0" w:line="178" w:lineRule="exact"/>
              <w:rPr>
                <w:sz w:val="20"/>
                <w:szCs w:val="20"/>
                <w:color w:val="auto"/>
              </w:rPr>
            </w:pPr>
            <w:r>
              <w:rPr>
                <w:rFonts w:ascii="Times New Roman" w:cs="Times New Roman" w:eastAsia="Times New Roman" w:hAnsi="Times New Roman"/>
                <w:sz w:val="18"/>
                <w:szCs w:val="18"/>
                <w:color w:val="0000FF"/>
              </w:rPr>
              <w:t>Item 1. Legal Proceedings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0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3660" w:type="dxa"/>
            <w:vAlign w:val="bottom"/>
            <w:tcBorders>
              <w:bottom w:val="single" w:sz="8" w:color="0000FF"/>
            </w:tcBorders>
            <w:gridSpan w:val="9"/>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0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Item 6. Exhibits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00" w:type="dxa"/>
            <w:vAlign w:val="bottom"/>
            <w:gridSpan w:val="17"/>
          </w:tcPr>
          <w:p>
            <w:pPr>
              <w:spacing w:after="0" w:line="190" w:lineRule="exact"/>
              <w:rPr>
                <w:sz w:val="20"/>
                <w:szCs w:val="20"/>
                <w:color w:val="auto"/>
              </w:rPr>
            </w:pPr>
            <w:r>
              <w:rPr>
                <w:rFonts w:ascii="Times New Roman" w:cs="Times New Roman" w:eastAsia="Times New Roman" w:hAnsi="Times New Roman"/>
                <w:sz w:val="18"/>
                <w:szCs w:val="18"/>
                <w:color w:val="0000FF"/>
              </w:rPr>
              <w:t>Signatures</w:t>
            </w:r>
          </w:p>
        </w:tc>
        <w:tc>
          <w:tcPr>
            <w:tcW w:w="192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0E32E1"/>
                <w:w w:val="99"/>
              </w:rPr>
              <w:t>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data)</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6"/>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9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92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w w:val="99"/>
              </w:rPr>
              <w:t>Fixed maturity securities available for sale, at fair value, at March 31, 2022 and December 31, 2021, at an amortized cost of $32,508 and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$30,705, respectively, net of allowance for credit losses of $11 and $8, respectively, and includes pledged fixed maturity securities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0" w:type="dxa"/>
            <w:vAlign w:val="bottom"/>
          </w:tcPr>
          <w:p>
            <w:pPr>
              <w:spacing w:after="0"/>
              <w:rPr>
                <w:sz w:val="1"/>
                <w:szCs w:val="1"/>
                <w:color w:val="auto"/>
              </w:rPr>
            </w:pPr>
          </w:p>
        </w:tc>
      </w:tr>
      <w:tr>
        <w:trPr>
          <w:trHeight w:val="211"/>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$450 and $460, respectively, related to secured trust deposits</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for credit losses of $32 and $31 at March 31, 2022 and December 31, 2021,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Short-term investments, at March 31, 2022 and December 31, 2021 includes pledged short-term investments of $1 related to secured</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09"/>
        </w:trPr>
        <w:tc>
          <w:tcPr>
            <w:tcW w:w="8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trust deposits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42,775</w:t>
            </w:r>
          </w:p>
        </w:tc>
        <w:tc>
          <w:tcPr>
            <w:tcW w:w="0" w:type="dxa"/>
            <w:vAlign w:val="bottom"/>
          </w:tcPr>
          <w:p>
            <w:pPr>
              <w:spacing w:after="0"/>
              <w:rPr>
                <w:sz w:val="1"/>
                <w:szCs w:val="1"/>
                <w:color w:val="auto"/>
              </w:rPr>
            </w:pPr>
          </w:p>
        </w:tc>
      </w:tr>
      <w:tr>
        <w:trPr>
          <w:trHeight w:val="158"/>
        </w:trPr>
        <w:tc>
          <w:tcPr>
            <w:tcW w:w="89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and cash equivalents, at March 31, 2022 and December 31, 2021 includes $521 and $480, respectively, of pledged cash related to</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of $32 at March 31, 2022 and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for credit losses of $20 at March 31, 2022 and December 31,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1"/>
        </w:trPr>
        <w:tc>
          <w:tcPr>
            <w:tcW w:w="8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35,525</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9"/>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2"/>
        </w:trPr>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FNF common stock, $0.0001 par value; authorized 600,000,000 shares as of March 31, 2022 and December 31, 2021; outstanding of</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w w:val="98"/>
              </w:rPr>
              <w:t>281,117,483 and 283,778,574 as of March 31, 2022 and December 31, 2021, respectively, and issued of 325,573,748 and 325,486,429 as</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of March 31, 2022 and December 31, 2021, respectively</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09"/>
        </w:trPr>
        <w:tc>
          <w:tcPr>
            <w:tcW w:w="8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earnings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Treasury stock, 44,456,265 shares and 41,707,855 shares as of March 31, 2022 and December 31, 2021, respectively, at cost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02"/>
        </w:trPr>
        <w:tc>
          <w:tcPr>
            <w:tcW w:w="8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2"/>
        </w:trPr>
        <w:tc>
          <w:tcPr>
            <w:tcW w:w="89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9,457</w:t>
            </w:r>
          </w:p>
        </w:tc>
        <w:tc>
          <w:tcPr>
            <w:tcW w:w="0" w:type="dxa"/>
            <w:vAlign w:val="bottom"/>
          </w:tcPr>
          <w:p>
            <w:pPr>
              <w:spacing w:after="0"/>
              <w:rPr>
                <w:sz w:val="1"/>
                <w:szCs w:val="1"/>
                <w:color w:val="auto"/>
              </w:rPr>
            </w:pPr>
          </w:p>
        </w:tc>
      </w:tr>
      <w:tr>
        <w:trPr>
          <w:trHeight w:val="231"/>
        </w:trPr>
        <w:tc>
          <w:tcPr>
            <w:tcW w:w="8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w:t>
      </w:r>
    </w:p>
    <w:p>
      <w:pPr>
        <w:spacing w:after="0" w:line="257" w:lineRule="exact"/>
        <w:rPr>
          <w:sz w:val="20"/>
          <w:szCs w:val="20"/>
          <w:color w:val="auto"/>
        </w:rPr>
      </w:pP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1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3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9"/>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2"/>
        </w:trPr>
        <w:tc>
          <w:tcPr>
            <w:tcW w:w="61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3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06"/>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earnings of unconsolidated affiliates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net of tax</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3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618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3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from continuing operations attributable to common shareholders</w:t>
            </w:r>
          </w:p>
        </w:tc>
        <w:tc>
          <w:tcPr>
            <w:tcW w:w="31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common shareholders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3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i w:val="1"/>
                <w:iCs w:val="1"/>
                <w:color w:val="auto"/>
              </w:rPr>
              <w:t>Diluted</w:t>
            </w:r>
          </w:p>
        </w:tc>
        <w:tc>
          <w:tcPr>
            <w:tcW w:w="3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from continuing operations attributable to common shareholders</w:t>
            </w:r>
          </w:p>
        </w:tc>
        <w:tc>
          <w:tcPr>
            <w:tcW w:w="31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common shareholders</w:t>
            </w: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3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618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740"/>
              <w:spacing w:after="0"/>
              <w:rPr>
                <w:sz w:val="20"/>
                <w:szCs w:val="20"/>
                <w:color w:val="auto"/>
              </w:rPr>
            </w:pPr>
            <w:r>
              <w:rPr>
                <w:rFonts w:ascii="Times New Roman" w:cs="Times New Roman" w:eastAsia="Times New Roman" w:hAnsi="Times New Roman"/>
                <w:sz w:val="16"/>
                <w:szCs w:val="16"/>
                <w:color w:val="auto"/>
                <w:w w:val="95"/>
              </w:rPr>
              <w:t>See Notes to Condensed Consolidated</w:t>
            </w:r>
            <w:r>
              <w:rPr>
                <w:rFonts w:ascii="Times New Roman" w:cs="Times New Roman" w:eastAsia="Times New Roman" w:hAnsi="Times New Roman"/>
                <w:sz w:val="17"/>
                <w:szCs w:val="17"/>
                <w:color w:val="auto"/>
                <w:w w:val="95"/>
              </w:rPr>
              <w:t>4</w:t>
            </w:r>
          </w:p>
        </w:tc>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180" w:type="dxa"/>
            <w:vAlign w:val="bottom"/>
            <w:vMerge w:val="continue"/>
          </w:tcPr>
          <w:p>
            <w:pPr>
              <w:spacing w:after="0"/>
              <w:rPr>
                <w:sz w:val="24"/>
                <w:szCs w:val="24"/>
                <w:color w:val="auto"/>
              </w:rPr>
            </w:pPr>
          </w:p>
        </w:tc>
        <w:tc>
          <w:tcPr>
            <w:tcW w:w="3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1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206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9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9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1"/>
        </w:trPr>
        <w:tc>
          <w:tcPr>
            <w:tcW w:w="9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6"/>
                <w:szCs w:val="16"/>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1"/>
        </w:trPr>
        <w:tc>
          <w:tcPr>
            <w:tcW w:w="91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w w:val="99"/>
              </w:rPr>
              <w:t>Unrealized loss on investments and other financial instruments, net of adjustments to intangible assets and unearned revenue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37"/>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(excluding investments in unconsolidated affiliates) (1)</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4"/>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foreign currency translation (3)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7"/>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earnings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earnings attributable to Fidelity National Financial, Inc. common shareholders</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9" w:lineRule="exact"/>
        <w:rPr>
          <w:sz w:val="20"/>
          <w:szCs w:val="20"/>
          <w:color w:val="auto"/>
        </w:rPr>
      </w:pPr>
    </w:p>
    <w:p>
      <w:pPr>
        <w:ind w:left="940" w:hanging="935"/>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$291 million and $146 million for the three months ended March 31, 2022 and 2021, respectively.</w:t>
      </w:r>
    </w:p>
    <w:p>
      <w:pPr>
        <w:spacing w:after="0" w:line="161"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$2 million and $3 million for the three months ended March 31, 2022 and 2021, respectively.</w:t>
      </w:r>
    </w:p>
    <w:p>
      <w:pPr>
        <w:spacing w:after="0" w:line="161"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less than $1 million for the three months ended March 31, 2022 and 2021.</w:t>
      </w:r>
    </w:p>
    <w:p>
      <w:pPr>
        <w:spacing w:after="0" w:line="161" w:lineRule="exact"/>
        <w:rPr>
          <w:rFonts w:ascii="Times New Roman" w:cs="Times New Roman" w:eastAsia="Times New Roman" w:hAnsi="Times New Roman"/>
          <w:sz w:val="18"/>
          <w:szCs w:val="18"/>
          <w:color w:val="auto"/>
        </w:rPr>
      </w:pPr>
    </w:p>
    <w:p>
      <w:pPr>
        <w:ind w:left="3220" w:right="800" w:hanging="3215"/>
        <w:spacing w:after="0" w:line="451" w:lineRule="auto"/>
        <w:tabs>
          <w:tab w:leader="none" w:pos="9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$(9) million and $12 million for the three months ended March 31, 2022 and 2021, respectively. 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left="579"/>
              <w:spacing w:after="0"/>
              <w:rPr>
                <w:sz w:val="20"/>
                <w:szCs w:val="20"/>
                <w:color w:val="auto"/>
              </w:rPr>
            </w:pPr>
            <w:r>
              <w:rPr>
                <w:rFonts w:ascii="Times New Roman" w:cs="Times New Roman" w:eastAsia="Times New Roman" w:hAnsi="Times New Roman"/>
                <w:sz w:val="12"/>
                <w:szCs w:val="12"/>
                <w:b w:val="1"/>
                <w:bCs w:val="1"/>
                <w:color w:val="auto"/>
              </w:rPr>
              <w:t>FNF</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left="379"/>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1"/>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4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2021</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5,720</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8,392</w:t>
            </w:r>
          </w:p>
        </w:tc>
        <w:tc>
          <w:tcPr>
            <w:tcW w:w="120" w:type="dxa"/>
            <w:vAlign w:val="bottom"/>
          </w:tcPr>
          <w:p>
            <w:pPr>
              <w:spacing w:after="0"/>
              <w:rPr>
                <w:sz w:val="14"/>
                <w:szCs w:val="14"/>
                <w:color w:val="auto"/>
              </w:rPr>
            </w:pPr>
          </w:p>
        </w:tc>
      </w:tr>
      <w:tr>
        <w:trPr>
          <w:trHeight w:val="177"/>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5"/>
                <w:szCs w:val="15"/>
                <w:color w:val="auto"/>
              </w:rPr>
            </w:pP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20" w:type="dxa"/>
            <w:vAlign w:val="bottom"/>
          </w:tcPr>
          <w:p>
            <w:pPr>
              <w:spacing w:after="0"/>
              <w:rPr>
                <w:sz w:val="14"/>
                <w:szCs w:val="14"/>
                <w:color w:val="auto"/>
              </w:rPr>
            </w:pPr>
          </w:p>
        </w:tc>
      </w:tr>
      <w:tr>
        <w:trPr>
          <w:trHeight w:val="124"/>
        </w:trPr>
        <w:tc>
          <w:tcPr>
            <w:tcW w:w="24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 unrealized loss</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18"/>
        </w:trPr>
        <w:tc>
          <w:tcPr>
            <w:tcW w:w="240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on investments and other financial</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instruments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120" w:type="dxa"/>
            <w:vAlign w:val="bottom"/>
            <w:shd w:val="clear" w:color="auto" w:fill="CCEEFF"/>
          </w:tcPr>
          <w:p>
            <w:pPr>
              <w:spacing w:after="0"/>
              <w:rPr>
                <w:sz w:val="16"/>
                <w:szCs w:val="16"/>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gain on investments in unconsolidated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affiliates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5"/>
                <w:szCs w:val="15"/>
                <w:color w:val="auto"/>
              </w:rPr>
            </w:pPr>
          </w:p>
        </w:tc>
      </w:tr>
      <w:tr>
        <w:trPr>
          <w:trHeight w:val="127"/>
        </w:trPr>
        <w:tc>
          <w:tcPr>
            <w:tcW w:w="240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loss - unrealized loss</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 foreign currency translation</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Reclassification adjustments for change in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unrealized gains and losses included in net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5"/>
                <w:szCs w:val="15"/>
                <w:color w:val="auto"/>
              </w:rPr>
            </w:pPr>
          </w:p>
        </w:tc>
      </w:tr>
      <w:tr>
        <w:trPr>
          <w:trHeight w:val="17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5"/>
                <w:szCs w:val="15"/>
                <w:color w:val="auto"/>
              </w:rPr>
            </w:pP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$0.36 per common share</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20" w:type="dxa"/>
            <w:vAlign w:val="bottom"/>
          </w:tcPr>
          <w:p>
            <w:pPr>
              <w:spacing w:after="0"/>
              <w:rPr>
                <w:sz w:val="14"/>
                <w:szCs w:val="14"/>
                <w:color w:val="auto"/>
              </w:rPr>
            </w:pPr>
          </w:p>
        </w:tc>
      </w:tr>
      <w:tr>
        <w:trPr>
          <w:trHeight w:val="124"/>
        </w:trPr>
        <w:tc>
          <w:tcPr>
            <w:tcW w:w="24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Subsidiary dividends declared to non-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controlling interests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120" w:type="dxa"/>
            <w:vAlign w:val="bottom"/>
          </w:tcPr>
          <w:p>
            <w:pPr>
              <w:spacing w:after="0"/>
              <w:rPr>
                <w:sz w:val="14"/>
                <w:szCs w:val="14"/>
                <w:color w:val="auto"/>
              </w:rPr>
            </w:pPr>
          </w:p>
        </w:tc>
      </w:tr>
      <w:tr>
        <w:trPr>
          <w:trHeight w:val="195"/>
        </w:trPr>
        <w:tc>
          <w:tcPr>
            <w:tcW w:w="2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52"/>
        </w:trPr>
        <w:tc>
          <w:tcPr>
            <w:tcW w:w="2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9,457</w:t>
            </w:r>
          </w:p>
        </w:tc>
        <w:tc>
          <w:tcPr>
            <w:tcW w:w="120" w:type="dxa"/>
            <w:vAlign w:val="bottom"/>
            <w:shd w:val="clear" w:color="auto" w:fill="CCEEFF"/>
          </w:tcPr>
          <w:p>
            <w:pPr>
              <w:spacing w:after="0"/>
              <w:rPr>
                <w:sz w:val="14"/>
                <w:szCs w:val="14"/>
                <w:color w:val="auto"/>
              </w:rPr>
            </w:pP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r>
      <w:tr>
        <w:trPr>
          <w:trHeight w:val="177"/>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shd w:val="clear" w:color="auto" w:fill="CCEEFF"/>
          </w:tcPr>
          <w:p>
            <w:pPr>
              <w:spacing w:after="0"/>
              <w:rPr>
                <w:sz w:val="15"/>
                <w:szCs w:val="15"/>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loss - unrealized loss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on investments and other financial</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instruments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120" w:type="dxa"/>
            <w:vAlign w:val="bottom"/>
          </w:tcPr>
          <w:p>
            <w:pPr>
              <w:spacing w:after="0"/>
              <w:rPr>
                <w:sz w:val="15"/>
                <w:szCs w:val="15"/>
                <w:color w:val="auto"/>
              </w:rPr>
            </w:pPr>
          </w:p>
        </w:tc>
      </w:tr>
      <w:tr>
        <w:trPr>
          <w:trHeight w:val="127"/>
        </w:trPr>
        <w:tc>
          <w:tcPr>
            <w:tcW w:w="240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Other comprehensive earnings - unrealized</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18"/>
        </w:trPr>
        <w:tc>
          <w:tcPr>
            <w:tcW w:w="240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gain on investments in unconsolidated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affiliates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Other comprehensive loss - unrealized loss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 foreign currency translation</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r>
      <w:tr>
        <w:trPr>
          <w:trHeight w:val="127"/>
        </w:trPr>
        <w:tc>
          <w:tcPr>
            <w:tcW w:w="240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Reclassification adjustments for change in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18"/>
        </w:trPr>
        <w:tc>
          <w:tcPr>
            <w:tcW w:w="240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unrealized gains and losses included in net</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6"/>
                <w:szCs w:val="16"/>
                <w:color w:val="auto"/>
              </w:rPr>
            </w:pPr>
          </w:p>
        </w:tc>
      </w:tr>
      <w:tr>
        <w:trPr>
          <w:trHeight w:val="16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4"/>
                <w:szCs w:val="14"/>
                <w:color w:val="auto"/>
              </w:rPr>
            </w:pPr>
          </w:p>
        </w:tc>
      </w:tr>
      <w:tr>
        <w:trPr>
          <w:trHeight w:val="177"/>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$0.44 per common share</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shd w:val="clear" w:color="auto" w:fill="CCEEFF"/>
          </w:tcPr>
          <w:p>
            <w:pPr>
              <w:spacing w:after="0"/>
              <w:rPr>
                <w:sz w:val="15"/>
                <w:szCs w:val="15"/>
                <w:color w:val="auto"/>
              </w:rPr>
            </w:pPr>
          </w:p>
        </w:tc>
      </w:tr>
      <w:tr>
        <w:trPr>
          <w:trHeight w:val="118"/>
        </w:trPr>
        <w:tc>
          <w:tcPr>
            <w:tcW w:w="2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Subsidiary dividends declared to non-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controlling interests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r>
      <w:tr>
        <w:trPr>
          <w:trHeight w:val="17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120" w:type="dxa"/>
            <w:vAlign w:val="bottom"/>
            <w:shd w:val="clear" w:color="auto" w:fill="CCEEFF"/>
          </w:tcPr>
          <w:p>
            <w:pPr>
              <w:spacing w:after="0"/>
              <w:rPr>
                <w:sz w:val="15"/>
                <w:szCs w:val="15"/>
                <w:color w:val="auto"/>
              </w:rPr>
            </w:pPr>
          </w:p>
        </w:tc>
      </w:tr>
      <w:tr>
        <w:trPr>
          <w:trHeight w:val="16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March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5,826</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(1,679)</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8,118</w:t>
            </w:r>
          </w:p>
        </w:tc>
        <w:tc>
          <w:tcPr>
            <w:tcW w:w="120" w:type="dxa"/>
            <w:vAlign w:val="bottom"/>
          </w:tcPr>
          <w:p>
            <w:pPr>
              <w:spacing w:after="0"/>
              <w:rPr>
                <w:sz w:val="14"/>
                <w:szCs w:val="14"/>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0"/>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190"/>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84"/>
        </w:trPr>
        <w:tc>
          <w:tcPr>
            <w:tcW w:w="9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6"/>
                <w:szCs w:val="16"/>
                <w:color w:val="auto"/>
              </w:rPr>
            </w:pPr>
          </w:p>
        </w:tc>
      </w:tr>
      <w:tr>
        <w:trPr>
          <w:trHeight w:val="186"/>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7"/>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Gain on sales of investments and other assets and asset impairments, net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5"/>
        </w:trPr>
        <w:tc>
          <w:tcPr>
            <w:tcW w:w="9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0"/>
        </w:trPr>
        <w:tc>
          <w:tcPr>
            <w:tcW w:w="9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and preferred securities, net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 trade receivables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9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increase in reserve for title claim losses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5"/>
        </w:trPr>
        <w:tc>
          <w:tcPr>
            <w:tcW w:w="9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1"/>
        </w:trPr>
        <w:tc>
          <w:tcPr>
            <w:tcW w:w="93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19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4"/>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(purchases of) proceeds from sales and maturities of short-term investment securities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Collections of notes receivable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20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r>
      <w:tr>
        <w:trPr>
          <w:trHeight w:val="190"/>
        </w:trPr>
        <w:tc>
          <w:tcPr>
            <w:tcW w:w="9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05"/>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4"/>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9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1"/>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w:t>
            </w:r>
          </w:p>
        </w:tc>
      </w:tr>
      <w:tr>
        <w:trPr>
          <w:trHeight w:val="222"/>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4" w:lineRule="exact"/>
        <w:rPr>
          <w:sz w:val="20"/>
          <w:szCs w:val="20"/>
          <w:color w:val="auto"/>
        </w:rPr>
      </w:pPr>
    </w:p>
    <w:p>
      <w:pPr>
        <w:jc w:val="both"/>
        <w:ind w:firstLine="316"/>
        <w:spacing w:after="0" w:line="245"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3"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products, (ii) technology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wholly-owned subsidiary, F&amp;G Annuities &amp; Life ("F&amp;G").</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Distribution</w:t>
      </w:r>
    </w:p>
    <w:p>
      <w:pPr>
        <w:spacing w:after="0" w:line="111"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On March 14, 2022, our Board of Directors approved a dividend to our shareholders, on a pro rata basis, of 15% of the common stock of F&amp;G (the "F&amp;G Distribution"). We intend to retain control of F&amp;G through our 85% ownership stake. The proposed F&amp;G Distribution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The proposed F&amp;G Distribution is intended to be structured as a taxable dividend to our shareholders and is targeted to be completed in late third quarter or early fourth quarter of 2022. However, there can be no assurance regarding the timeframe for completing the F&amp;G Distribution or that the conditions of the F&amp;G Distribution will be met.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87" w:lineRule="exact"/>
        <w:rPr>
          <w:sz w:val="20"/>
          <w:szCs w:val="20"/>
          <w:color w:val="auto"/>
        </w:rPr>
      </w:pPr>
    </w:p>
    <w:p>
      <w:pPr>
        <w:jc w:val="both"/>
        <w:ind w:firstLine="316"/>
        <w:spacing w:after="0" w:line="242" w:lineRule="auto"/>
        <w:rPr>
          <w:sz w:val="20"/>
          <w:szCs w:val="20"/>
          <w:color w:val="auto"/>
        </w:rPr>
      </w:pPr>
      <w:r>
        <w:rPr>
          <w:rFonts w:ascii="Times New Roman" w:cs="Times New Roman" w:eastAsia="Times New Roman" w:hAnsi="Times New Roman"/>
          <w:sz w:val="18"/>
          <w:szCs w:val="18"/>
          <w:color w:val="auto"/>
        </w:rPr>
        <w:t>Income tax expense was $155 million and $166 million in the three months ended March 31, 2022 and 2021, respectively. Income tax expense as a percentage of earnings before income taxes was 28% and 22% in the three months ended March 31, 2022 and 2021, respectively. The increase in income tax expense as a percentage of earnings before taxes in the three months ended March 31, 2022 as compared to the corresponding period in 2021 is primarily attributable to the recording of a valuation allowance in the 2022 period for tax benefits associated with deferred tax assets, related to realized losses on the past sales of discontinued operations, for which it is more likely than not that we will not be able to realize for tax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75"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Options or other instruments, which provide the ability to purchase shares of our common stock that are antidilutive, are excluded from the computation of diluted earnings per share. There were fewer than 1 million antidilutive instruments outstanding during the three months ended March 31, 2022 and 2021.</w:t>
      </w:r>
    </w:p>
    <w:p>
      <w:pPr>
        <w:spacing w:after="0" w:line="13" w:lineRule="exact"/>
        <w:rPr>
          <w:sz w:val="20"/>
          <w:szCs w:val="20"/>
          <w:color w:val="auto"/>
        </w:rPr>
      </w:pPr>
    </w:p>
    <w:p>
      <w:pPr>
        <w:jc w:val="right"/>
        <w:ind w:right="858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34"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1" w:lineRule="exact"/>
        <w:rPr>
          <w:sz w:val="20"/>
          <w:szCs w:val="20"/>
          <w:color w:val="auto"/>
        </w:rPr>
      </w:pPr>
    </w:p>
    <w:p>
      <w:pPr>
        <w:jc w:val="both"/>
        <w:ind w:firstLine="316"/>
        <w:spacing w:after="0" w:line="278" w:lineRule="auto"/>
        <w:rPr>
          <w:sz w:val="20"/>
          <w:szCs w:val="20"/>
          <w:color w:val="auto"/>
        </w:rPr>
      </w:pPr>
      <w:r>
        <w:rPr>
          <w:rFonts w:ascii="Times New Roman" w:cs="Times New Roman" w:eastAsia="Times New Roman" w:hAnsi="Times New Roman"/>
          <w:sz w:val="16"/>
          <w:szCs w:val="16"/>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 The amendments in this ASU may be early adopted as of the beginning of an annual reporting period for which financial statements have not yet been issued, including interim financial statements. We will not early adopt this standard. We have identified specific areas that will be impacted by the new guidance. This guidance will bring significant changes to how we account for certain insurance and annuity products within our business. As we continue to make progress on adopting this new guidance, we will be able to provide a better assessment of the specific impacts to our consolidated financial statements.</w:t>
      </w:r>
    </w:p>
    <w:p>
      <w:pPr>
        <w:spacing w:after="0" w:line="280"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Instruments-Credit Losses (Topic 326): Troubled Debt Restructurings and Vintage Disclosures. The amendments in this update eliminate the Troubled Debt Restructuring ("TDR") recognition and measurement guidance for creditors and, instead, require that an entity evaluate whether the modification represents a new loan or a continuation of an existing loan. The amendments also enhance existing disclosure requirements and introduce new requirements related to certain modifications of receivables made to borrowers experiencing financial difficulty. Additionally, these amendments require that an entity disclose current-period gross write-offs by year of origination for financing receivables and net investment in leases within the scope of Subtopic 326-20. The guidance is effective for entities that have adopted ASU 2016-13 Financial Instruments – Credit Losses: Measurement of Credit Losses on Financial Instruments (Topic 326) for fiscal years beginning after December 15, 2022, including interim periods within those fiscal years, though early adoption is permitted. We do not currently expect to early adopt this standard and are in the process of assessing this standard and its impact on our accounting and disclosures.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9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91"/>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6"/>
                <w:szCs w:val="16"/>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108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17"/>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1,683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through her former company, ANI Development LLC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the plaintiffs’ funds were deposited.</w:t>
      </w:r>
    </w:p>
    <w:p>
      <w:pPr>
        <w:spacing w:after="0" w:line="206" w:lineRule="exact"/>
        <w:rPr>
          <w:sz w:val="20"/>
          <w:szCs w:val="20"/>
          <w:color w:val="auto"/>
        </w:rPr>
      </w:pPr>
    </w:p>
    <w:p>
      <w:pPr>
        <w:jc w:val="both"/>
        <w:ind w:firstLine="316"/>
        <w:spacing w:after="0" w:line="230" w:lineRule="auto"/>
        <w:rPr>
          <w:sz w:val="20"/>
          <w:szCs w:val="20"/>
          <w:color w:val="auto"/>
        </w:rPr>
      </w:pPr>
      <w:r>
        <w:rPr>
          <w:rFonts w:ascii="Times New Roman" w:cs="Times New Roman" w:eastAsia="Times New Roman" w:hAnsi="Times New Roman"/>
          <w:sz w:val="18"/>
          <w:szCs w:val="18"/>
          <w:color w:val="auto"/>
        </w:rPr>
        <w:t>The following lawsuits are pending in the Superior Court of San Diego County for the State of California and have been set for jury trial on December 2, 2022. While they have not been consolidated into one action, they have been deemed by the court to be related and are assigned to the same judge for purposes of judicial economy.</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On December 13, 2019, a lawsuit styled, </w:t>
      </w:r>
      <w:r>
        <w:rPr>
          <w:rFonts w:ascii="Times New Roman" w:cs="Times New Roman" w:eastAsia="Times New Roman" w:hAnsi="Times New Roman"/>
          <w:sz w:val="18"/>
          <w:szCs w:val="18"/>
          <w:i w:val="1"/>
          <w:iCs w:val="1"/>
          <w:color w:val="auto"/>
        </w:rPr>
        <w:t>Kim Funding, LLC, Kim H. Peterson, Joseph J. Cohen, ABC Funding Strategies, LLC,Payson R. Stevens;</w:t>
      </w:r>
    </w:p>
    <w:p>
      <w:pPr>
        <w:spacing w:after="0" w:line="12" w:lineRule="exact"/>
        <w:rPr>
          <w:sz w:val="20"/>
          <w:szCs w:val="20"/>
          <w:color w:val="auto"/>
        </w:rPr>
      </w:pPr>
    </w:p>
    <w:p>
      <w:pPr>
        <w:jc w:val="both"/>
        <w:ind w:left="320"/>
        <w:spacing w:after="0" w:line="219" w:lineRule="auto"/>
        <w:rPr>
          <w:sz w:val="20"/>
          <w:szCs w:val="20"/>
          <w:color w:val="auto"/>
        </w:rPr>
      </w:pPr>
      <w:r>
        <w:rPr>
          <w:rFonts w:ascii="Times New Roman" w:cs="Times New Roman" w:eastAsia="Times New Roman" w:hAnsi="Times New Roman"/>
          <w:sz w:val="18"/>
          <w:szCs w:val="18"/>
          <w:i w:val="1"/>
          <w:iCs w:val="1"/>
          <w:color w:val="auto"/>
        </w:rPr>
        <w:t>Kamaljit K. Kapur and The Payson R. Stevens &amp; Kamaljit Kaur Kapur Trust Dated March 28, 2014 v. Chicago Title Co., Chicago Title Ins. Co., Thomas Schwiebert, Adelle Ducharme, and Betty Elixman</w:t>
      </w:r>
      <w:r>
        <w:rPr>
          <w:rFonts w:ascii="Times New Roman" w:cs="Times New Roman" w:eastAsia="Times New Roman" w:hAnsi="Times New Roman"/>
          <w:sz w:val="18"/>
          <w:szCs w:val="18"/>
          <w:color w:val="auto"/>
        </w:rPr>
        <w:t>, was filed in San Diego County Superior Court. Plaintiffs claim losses of more than $250 million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alleged fraud scheme, and also seek statutory, treble, and punitive damages, as well as the recovery of attorneys fees. The Named Companies have filed a cross-complaint against Ms. Champion-Cain, and others. The Named Companies have reached a conditional settlement with members of ABC Funding Strategies, LLC plaintiffs under confidential terms.</w:t>
      </w:r>
    </w:p>
    <w:p>
      <w:pPr>
        <w:spacing w:after="0" w:line="3" w:lineRule="exact"/>
        <w:rPr>
          <w:sz w:val="20"/>
          <w:szCs w:val="20"/>
          <w:color w:val="auto"/>
        </w:rPr>
      </w:pPr>
    </w:p>
    <w:p>
      <w:pPr>
        <w:jc w:val="both"/>
        <w:ind w:left="320" w:firstLine="316"/>
        <w:spacing w:after="0" w:line="239" w:lineRule="auto"/>
        <w:rPr>
          <w:sz w:val="20"/>
          <w:szCs w:val="20"/>
          <w:color w:val="auto"/>
        </w:rPr>
      </w:pPr>
      <w:r>
        <w:rPr>
          <w:rFonts w:ascii="Times New Roman" w:cs="Times New Roman" w:eastAsia="Times New Roman" w:hAnsi="Times New Roman"/>
          <w:sz w:val="18"/>
          <w:szCs w:val="18"/>
          <w:color w:val="auto"/>
        </w:rPr>
        <w:t xml:space="preserve">On March 6, 2020, a lawsuit styled, </w:t>
      </w:r>
      <w:r>
        <w:rPr>
          <w:rFonts w:ascii="Times New Roman" w:cs="Times New Roman" w:eastAsia="Times New Roman" w:hAnsi="Times New Roman"/>
          <w:sz w:val="18"/>
          <w:szCs w:val="18"/>
          <w:i w:val="1"/>
          <w:iCs w:val="1"/>
          <w:color w:val="auto"/>
        </w:rPr>
        <w:t>Wakefield Capital, LLC, Wakefield Investments, LLC, 2Budz Holding, LLC, Doug and Kristine Heidrich, and Jeff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Heidi Orr v. Chicago Title Co. and Chicago Title Ins. Co.</w:t>
      </w:r>
      <w:r>
        <w:rPr>
          <w:rFonts w:ascii="Times New Roman" w:cs="Times New Roman" w:eastAsia="Times New Roman" w:hAnsi="Times New Roman"/>
          <w:sz w:val="18"/>
          <w:szCs w:val="18"/>
          <w:color w:val="auto"/>
        </w:rPr>
        <w:t>, was filed in San Diego County Superior Court. Plaintiffs claim losses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million as a result of the alleged fraud scheme, and also seek punitive damages, recovery of attorneys’ fees, and disgorgement.</w:t>
      </w:r>
    </w:p>
    <w:p>
      <w:pPr>
        <w:jc w:val="both"/>
        <w:ind w:left="320" w:firstLine="316"/>
        <w:spacing w:after="0" w:line="246" w:lineRule="auto"/>
        <w:rPr>
          <w:sz w:val="20"/>
          <w:szCs w:val="20"/>
          <w:color w:val="auto"/>
        </w:rPr>
      </w:pPr>
      <w:r>
        <w:rPr>
          <w:rFonts w:ascii="Times New Roman" w:cs="Times New Roman" w:eastAsia="Times New Roman" w:hAnsi="Times New Roman"/>
          <w:sz w:val="16"/>
          <w:szCs w:val="16"/>
          <w:color w:val="auto"/>
        </w:rPr>
        <w:t xml:space="preserve">On June 29, 2020, a lawsuit styled, </w:t>
      </w:r>
      <w:r>
        <w:rPr>
          <w:rFonts w:ascii="Times New Roman" w:cs="Times New Roman" w:eastAsia="Times New Roman" w:hAnsi="Times New Roman"/>
          <w:sz w:val="16"/>
          <w:szCs w:val="16"/>
          <w:i w:val="1"/>
          <w:iCs w:val="1"/>
          <w:color w:val="auto"/>
        </w:rPr>
        <w:t>Susan Heller Fenley Separate Property Trust, DTD 03/04/2010, Susan Heller Fenley Inherited Roth IRA, Shelley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Lynn Tarditi Trust and ROJ, LLC v. Chicago Title Co., Chicago Title Ins. Co., Thomas Schwiebert, Adelle Ducharme, and Betty Elixman</w:t>
      </w:r>
      <w:r>
        <w:rPr>
          <w:rFonts w:ascii="Times New Roman" w:cs="Times New Roman" w:eastAsia="Times New Roman" w:hAnsi="Times New Roman"/>
          <w:sz w:val="16"/>
          <w:szCs w:val="16"/>
          <w:color w:val="auto"/>
        </w:rPr>
        <w:t>, was filed in San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Diego County Superior Court. Plaintiffs claim losses in excess of $6 million as a result of the alleged fraud scheme, and also seek statutory, treble, and</w:t>
      </w:r>
    </w:p>
    <w:p>
      <w:pPr>
        <w:ind w:left="320"/>
        <w:spacing w:after="0"/>
        <w:rPr>
          <w:sz w:val="20"/>
          <w:szCs w:val="20"/>
          <w:color w:val="auto"/>
        </w:rPr>
      </w:pPr>
      <w:r>
        <w:rPr>
          <w:rFonts w:ascii="Times New Roman" w:cs="Times New Roman" w:eastAsia="Times New Roman" w:hAnsi="Times New Roman"/>
          <w:sz w:val="18"/>
          <w:szCs w:val="18"/>
          <w:color w:val="auto"/>
        </w:rPr>
        <w:t>punitive damages. The Named Companies have filed a cross-complaint against Ms. Champion-Cain, and others.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20" w:firstLine="316"/>
        <w:spacing w:after="0" w:line="263" w:lineRule="auto"/>
        <w:rPr>
          <w:sz w:val="20"/>
          <w:szCs w:val="20"/>
          <w:color w:val="auto"/>
        </w:rPr>
      </w:pPr>
      <w:r>
        <w:rPr>
          <w:rFonts w:ascii="Times New Roman" w:cs="Times New Roman" w:eastAsia="Times New Roman" w:hAnsi="Times New Roman"/>
          <w:sz w:val="16"/>
          <w:szCs w:val="16"/>
          <w:color w:val="auto"/>
        </w:rPr>
        <w:t xml:space="preserve">On July 7, 2020, a cross-claim styled, </w:t>
      </w:r>
      <w:r>
        <w:rPr>
          <w:rFonts w:ascii="Times New Roman" w:cs="Times New Roman" w:eastAsia="Times New Roman" w:hAnsi="Times New Roman"/>
          <w:sz w:val="16"/>
          <w:szCs w:val="16"/>
          <w:i w:val="1"/>
          <w:iCs w:val="1"/>
          <w:color w:val="auto"/>
        </w:rPr>
        <w:t>Laurie Peterson v. Chicago Title Co., Chicago Title Ins. Co., Thomas Schwiebert, Adelle Ducharme, and Betty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Elixman</w:t>
      </w:r>
      <w:r>
        <w:rPr>
          <w:rFonts w:ascii="Times New Roman" w:cs="Times New Roman" w:eastAsia="Times New Roman" w:hAnsi="Times New Roman"/>
          <w:sz w:val="16"/>
          <w:szCs w:val="16"/>
          <w:color w:val="auto"/>
        </w:rPr>
        <w:t>, was filed in an existing lawsuit styled,</w:t>
      </w:r>
      <w:r>
        <w:rPr>
          <w:rFonts w:ascii="Times New Roman" w:cs="Times New Roman" w:eastAsia="Times New Roman" w:hAnsi="Times New Roman"/>
          <w:sz w:val="16"/>
          <w:szCs w:val="16"/>
          <w:i w:val="1"/>
          <w:iCs w:val="1"/>
          <w:color w:val="auto"/>
        </w:rPr>
        <w:t xml:space="preserve"> Banc of California, National Association v. Laurie Peterson</w:t>
      </w:r>
      <w:r>
        <w:rPr>
          <w:rFonts w:ascii="Times New Roman" w:cs="Times New Roman" w:eastAsia="Times New Roman" w:hAnsi="Times New Roman"/>
          <w:sz w:val="16"/>
          <w:szCs w:val="16"/>
          <w:color w:val="auto"/>
        </w:rPr>
        <w:t>, which is pending in San Diego County</w:t>
      </w:r>
    </w:p>
    <w:p>
      <w:pPr>
        <w:jc w:val="both"/>
        <w:ind w:left="320"/>
        <w:spacing w:after="0" w:line="217" w:lineRule="auto"/>
        <w:rPr>
          <w:sz w:val="20"/>
          <w:szCs w:val="20"/>
          <w:color w:val="auto"/>
        </w:rPr>
      </w:pPr>
      <w:r>
        <w:rPr>
          <w:rFonts w:ascii="Times New Roman" w:cs="Times New Roman" w:eastAsia="Times New Roman" w:hAnsi="Times New Roman"/>
          <w:sz w:val="18"/>
          <w:szCs w:val="18"/>
          <w:color w:val="auto"/>
        </w:rPr>
        <w:t>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have filed a cross-complaint against Ms. Champion-Cain, and others.</w:t>
      </w:r>
    </w:p>
    <w:p>
      <w:pPr>
        <w:spacing w:after="0" w:line="1" w:lineRule="exact"/>
        <w:rPr>
          <w:sz w:val="20"/>
          <w:szCs w:val="20"/>
          <w:color w:val="auto"/>
        </w:rPr>
      </w:pPr>
    </w:p>
    <w:p>
      <w:pPr>
        <w:jc w:val="both"/>
        <w:ind w:left="320" w:firstLine="316"/>
        <w:spacing w:after="0" w:line="220" w:lineRule="auto"/>
        <w:rPr>
          <w:sz w:val="20"/>
          <w:szCs w:val="20"/>
          <w:color w:val="auto"/>
        </w:rPr>
      </w:pPr>
      <w:r>
        <w:rPr>
          <w:rFonts w:ascii="Times New Roman" w:cs="Times New Roman" w:eastAsia="Times New Roman" w:hAnsi="Times New Roman"/>
          <w:sz w:val="18"/>
          <w:szCs w:val="18"/>
          <w:color w:val="auto"/>
        </w:rPr>
        <w:t xml:space="preserve">On September 3, 2020, a cross-claim styled, </w:t>
      </w:r>
      <w:r>
        <w:rPr>
          <w:rFonts w:ascii="Times New Roman" w:cs="Times New Roman" w:eastAsia="Times New Roman" w:hAnsi="Times New Roman"/>
          <w:sz w:val="18"/>
          <w:szCs w:val="18"/>
          <w:i w:val="1"/>
          <w:iCs w:val="1"/>
          <w:color w:val="auto"/>
        </w:rPr>
        <w:t>Kim H. Peterson Trustee of the Peterson Family Trust dated April 14 1992 v. Chicago Title Co., Chicago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Ins. Co., Thomas Schwiebert, Adelle Ducharme, and Betty Elixman</w:t>
      </w:r>
      <w:r>
        <w:rPr>
          <w:rFonts w:ascii="Times New Roman" w:cs="Times New Roman" w:eastAsia="Times New Roman" w:hAnsi="Times New Roman"/>
          <w:sz w:val="18"/>
          <w:szCs w:val="18"/>
          <w:color w:val="auto"/>
        </w:rPr>
        <w:t>, was filed in an existing lawsuit styled,</w:t>
      </w:r>
      <w:r>
        <w:rPr>
          <w:rFonts w:ascii="Times New Roman" w:cs="Times New Roman" w:eastAsia="Times New Roman" w:hAnsi="Times New Roman"/>
          <w:sz w:val="18"/>
          <w:szCs w:val="18"/>
          <w:i w:val="1"/>
          <w:iCs w:val="1"/>
          <w:color w:val="auto"/>
        </w:rPr>
        <w:t xml:space="preserve"> CalPrivate Bank v. Kim H. Peterson Trustee of the Peterson Family Trust dated April 14 1992</w:t>
      </w:r>
      <w:r>
        <w:rPr>
          <w:rFonts w:ascii="Times New Roman" w:cs="Times New Roman" w:eastAsia="Times New Roman" w:hAnsi="Times New Roman"/>
          <w:sz w:val="18"/>
          <w:szCs w:val="18"/>
          <w:color w:val="auto"/>
        </w:rPr>
        <w:t>, 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195" w:lineRule="exact"/>
        <w:rPr>
          <w:sz w:val="20"/>
          <w:szCs w:val="20"/>
          <w:color w:val="auto"/>
        </w:rPr>
      </w:pPr>
    </w:p>
    <w:p>
      <w:pPr>
        <w:jc w:val="both"/>
        <w:ind w:left="320" w:firstLine="316"/>
        <w:spacing w:after="0" w:line="230" w:lineRule="auto"/>
        <w:rPr>
          <w:sz w:val="20"/>
          <w:szCs w:val="20"/>
          <w:color w:val="auto"/>
        </w:rPr>
      </w:pPr>
      <w:r>
        <w:rPr>
          <w:rFonts w:ascii="Times New Roman" w:cs="Times New Roman" w:eastAsia="Times New Roman" w:hAnsi="Times New Roman"/>
          <w:sz w:val="18"/>
          <w:szCs w:val="18"/>
          <w:color w:val="auto"/>
        </w:rPr>
        <w:t xml:space="preserve">On November 2, 2020, a lawsuit styled, </w:t>
      </w:r>
      <w:r>
        <w:rPr>
          <w:rFonts w:ascii="Times New Roman" w:cs="Times New Roman" w:eastAsia="Times New Roman" w:hAnsi="Times New Roman"/>
          <w:sz w:val="18"/>
          <w:szCs w:val="18"/>
          <w:i w:val="1"/>
          <w:iCs w:val="1"/>
          <w:color w:val="auto"/>
        </w:rPr>
        <w:t>CalPrivate Bank v. Chicago Title Co. and Chicago Title Ins. Co.,</w:t>
      </w:r>
      <w:r>
        <w:rPr>
          <w:rFonts w:ascii="Times New Roman" w:cs="Times New Roman" w:eastAsia="Times New Roman" w:hAnsi="Times New Roman"/>
          <w:sz w:val="18"/>
          <w:szCs w:val="18"/>
          <w:color w:val="auto"/>
        </w:rPr>
        <w:t xml:space="preserve"> was also filed in the Superior Court of San Diego County for the State of California. Plaintiff claims losses in excess of $12 million based upon business loan advances made in the alcoholic beverage license scheme and seeks punitive damages and the recovery of attorneys’ fees. The Named Companies have filed a cross-complaint against Ms. Champion-Cain, and others.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matters pending in the Superior Court of San Diego County for the State of California have conditionally settled under confidential terms: Yuan</w:t>
      </w:r>
    </w:p>
    <w:p>
      <w:pPr>
        <w:spacing w:after="0" w:line="3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Yu and Polly Yu v. Chicago Title Co., </w:t>
      </w:r>
      <w:r>
        <w:rPr>
          <w:rFonts w:ascii="Times New Roman" w:cs="Times New Roman" w:eastAsia="Times New Roman" w:hAnsi="Times New Roman"/>
          <w:sz w:val="18"/>
          <w:szCs w:val="18"/>
          <w:i w:val="1"/>
          <w:iCs w:val="1"/>
          <w:color w:val="auto"/>
        </w:rPr>
        <w:t>et al., Ovation Fin. Holdings 2 LLC, Ovation Fund Mgmt. II, LLC, Banc of California, N.A. v. Chicago Title Ins. Co.,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Blake E. Allred and Melissa M. Allred v. Chicago Title Co., et al.</w:t>
      </w:r>
    </w:p>
    <w:p>
      <w:pPr>
        <w:spacing w:after="0" w:line="19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Additionally, in connection with the alcoholic beverage license scheme, the SEC filed a lawsuit in the United States District Court for the Southern District of California against Ms. Champion-Cain and certain of her affiliated entities asserting claims for securities fraud.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the SEC action, on January 7, 2022, a lawsuit styled, </w:t>
      </w:r>
      <w:r>
        <w:rPr>
          <w:rFonts w:ascii="Times New Roman" w:cs="Times New Roman" w:eastAsia="Times New Roman" w:hAnsi="Times New Roman"/>
          <w:sz w:val="18"/>
          <w:szCs w:val="18"/>
          <w:i w:val="1"/>
          <w:iCs w:val="1"/>
          <w:color w:val="auto"/>
        </w:rPr>
        <w:t>Krista Freitag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Chicago Title Co. and Chicago Title Ins. Co.</w:t>
      </w:r>
      <w:r>
        <w:rPr>
          <w:rFonts w:ascii="Times New Roman" w:cs="Times New Roman" w:eastAsia="Times New Roman" w:hAnsi="Times New Roman"/>
          <w:sz w:val="18"/>
          <w:szCs w:val="18"/>
          <w:color w:val="auto"/>
        </w:rPr>
        <w:t>, was filed in San Diego County Superior Court by the receiver on behalf of the receivership entities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Companies. The receiver seeks compensatory, incidental, consequential, and punitive damages, and seeks the recovery of attorneys’ fees. The Named Companies have filed a demurrer seeking dismissal of the receiver’s complaint. The Named Companies also filed a motion in the SEC action seeking permission to sue ANI, via the receiver, to pursue indemnity and other claims against the receivership entities as joint tortfeasors in the state court actions. On February 28, 2022, the Named Companies’ motion was granted permitting them to sue ANI in the pending state court actions. On April 26, 2022, the Named Companies reached a conditional settlement with the receiver, which is subject to court approval.</w:t>
      </w:r>
    </w:p>
    <w:p>
      <w:pPr>
        <w:spacing w:after="0" w:line="21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we believe that our reserves for title claim losses are adequate.</w:t>
      </w:r>
    </w:p>
    <w:p>
      <w:pPr>
        <w:spacing w:after="0" w:line="207"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3"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6" w:lineRule="exact"/>
        <w:rPr>
          <w:sz w:val="20"/>
          <w:szCs w:val="20"/>
          <w:color w:val="auto"/>
        </w:rPr>
      </w:pPr>
    </w:p>
    <w:p>
      <w:pPr>
        <w:jc w:val="both"/>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8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4"/>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15,541</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0"/>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7"/>
        </w:trPr>
        <w:tc>
          <w:tcPr>
            <w:tcW w:w="4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included in contractholder funds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0" w:type="dxa"/>
            <w:vAlign w:val="bottom"/>
          </w:tcPr>
          <w:p>
            <w:pPr>
              <w:spacing w:after="0"/>
              <w:rPr>
                <w:sz w:val="1"/>
                <w:szCs w:val="1"/>
                <w:color w:val="auto"/>
              </w:rPr>
            </w:pPr>
          </w:p>
        </w:tc>
      </w:tr>
      <w:tr>
        <w:trPr>
          <w:trHeight w:val="132"/>
        </w:trPr>
        <w:tc>
          <w:tcPr>
            <w:tcW w:w="4840" w:type="dxa"/>
            <w:vAlign w:val="bottom"/>
          </w:tcPr>
          <w:p>
            <w:pPr>
              <w:ind w:left="220"/>
              <w:spacing w:after="0" w:line="132" w:lineRule="exact"/>
              <w:rPr>
                <w:sz w:val="20"/>
                <w:szCs w:val="20"/>
                <w:color w:val="auto"/>
              </w:rPr>
            </w:pPr>
            <w:r>
              <w:rPr>
                <w:rFonts w:ascii="Times New Roman" w:cs="Times New Roman" w:eastAsia="Times New Roman" w:hAnsi="Times New Roman"/>
                <w:sz w:val="14"/>
                <w:szCs w:val="14"/>
                <w:color w:val="auto"/>
              </w:rPr>
              <w:t>Reinsurance related embedded derivatives, included in accounts payable and</w:t>
            </w:r>
          </w:p>
        </w:tc>
        <w:tc>
          <w:tcPr>
            <w:tcW w:w="2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8,695</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2,979</w:t>
            </w:r>
          </w:p>
        </w:tc>
        <w:tc>
          <w:tcPr>
            <w:tcW w:w="0" w:type="dxa"/>
            <w:vAlign w:val="bottom"/>
          </w:tcPr>
          <w:p>
            <w:pPr>
              <w:spacing w:after="0"/>
              <w:rPr>
                <w:sz w:val="1"/>
                <w:szCs w:val="1"/>
                <w:color w:val="auto"/>
              </w:rPr>
            </w:pPr>
          </w:p>
        </w:tc>
      </w:tr>
      <w:tr>
        <w:trPr>
          <w:trHeight w:val="190"/>
        </w:trPr>
        <w:tc>
          <w:tcPr>
            <w:tcW w:w="5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90"/>
        </w:trPr>
        <w:tc>
          <w:tcPr>
            <w:tcW w:w="5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90"/>
        </w:trPr>
        <w:tc>
          <w:tcPr>
            <w:tcW w:w="5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22"/>
        </w:trPr>
        <w:tc>
          <w:tcPr>
            <w:tcW w:w="51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40,351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 included in contractholder funds</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39"/>
        </w:trPr>
        <w:tc>
          <w:tcPr>
            <w:tcW w:w="510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Reinsurance related embedded derivatives, included in accounts payable and accrued</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3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March 31, 2022 or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futures contracts (specifically for FIA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10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fair value measurement of the FIA/IUL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March 31, 2022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reinsurance-related embedded derivatives in the funds withheld reinsurance agreements with Kubera Insurance (SAC) Ltd. ("Kubera") (effective October 31, 2021, this agreement was novated from Kubera to Somerset Reinsurance Ltd. ("Somerset"), a certified third party reinsurer) and ASPIDA Life Re Ltd ("Aspida Re")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L </w:t>
      </w:r>
      <w:r>
        <w:rPr>
          <w:rFonts w:ascii="Times New Roman" w:cs="Times New Roman" w:eastAsia="Times New Roman" w:hAnsi="Times New Roman"/>
          <w:sz w:val="18"/>
          <w:szCs w:val="18"/>
          <w:i w:val="1"/>
          <w:iCs w:val="1"/>
          <w:color w:val="auto"/>
        </w:rPr>
        <w:t>F&amp;G Reinsurance</w:t>
      </w:r>
      <w:r>
        <w:rPr>
          <w:rFonts w:ascii="Times New Roman" w:cs="Times New Roman" w:eastAsia="Times New Roman" w:hAnsi="Times New Roman"/>
          <w:sz w:val="18"/>
          <w:szCs w:val="18"/>
          <w:color w:val="auto"/>
        </w:rPr>
        <w:t xml:space="preserve"> for further discussion on F&amp;G reinsurance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net asset value of the fund at the balance sheet date. The embedded derivative is similar to a call option on the net asset value of the fund with a strike price of zero since F&amp;G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32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March 31, 2022 and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7"/>
              </w:rPr>
              <w:t>Fair Value at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Range (Weighted average)</w:t>
            </w:r>
          </w:p>
        </w:tc>
        <w:tc>
          <w:tcPr>
            <w:tcW w:w="0" w:type="dxa"/>
            <w:vAlign w:val="bottom"/>
          </w:tcPr>
          <w:p>
            <w:pPr>
              <w:spacing w:after="0"/>
              <w:rPr>
                <w:sz w:val="1"/>
                <w:szCs w:val="1"/>
                <w:color w:val="auto"/>
              </w:rPr>
            </w:pPr>
          </w:p>
        </w:tc>
      </w:tr>
      <w:tr>
        <w:trPr>
          <w:trHeight w:val="53"/>
        </w:trPr>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8"/>
                <w:szCs w:val="18"/>
                <w:color w:val="auto"/>
              </w:rPr>
            </w:pP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153"/>
        </w:trPr>
        <w:tc>
          <w:tcPr>
            <w:tcW w:w="3680" w:type="dxa"/>
            <w:vAlign w:val="bottom"/>
            <w:tcBorders>
              <w:top w:val="single" w:sz="8" w:color="CCEEFF"/>
              <w:left w:val="single" w:sz="8" w:color="CCEEFF"/>
            </w:tcBorders>
            <w:gridSpan w:val="3"/>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44.79% - 728.00% (94.48%)</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86.52% - 103.47% (101.78%)</w:t>
            </w: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120.24% - 120.24%</w:t>
            </w: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(120.24%)</w:t>
            </w: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3"/>
                <w:szCs w:val="13"/>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Party Valuation</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77.78% - 92.37%</w:t>
            </w: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(86.30%)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0.00%</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- 124.44% (94.94%)</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44.00% - 100.00% (77.00%)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81.09% - 113.62% (99.17%)</w:t>
            </w: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Municipals</w:t>
            </w:r>
          </w:p>
        </w:tc>
        <w:tc>
          <w:tcPr>
            <w:tcW w:w="2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3"/>
                <w:szCs w:val="13"/>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118.69% - 118.69%</w:t>
            </w: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(118.69%)</w:t>
            </w:r>
          </w:p>
        </w:tc>
        <w:tc>
          <w:tcPr>
            <w:tcW w:w="0" w:type="dxa"/>
            <w:vAlign w:val="bottom"/>
          </w:tcPr>
          <w:p>
            <w:pPr>
              <w:spacing w:after="0"/>
              <w:rPr>
                <w:sz w:val="1"/>
                <w:szCs w:val="1"/>
                <w:color w:val="auto"/>
              </w:rPr>
            </w:pPr>
          </w:p>
        </w:tc>
      </w:tr>
      <w:tr>
        <w:trPr>
          <w:trHeight w:val="158"/>
        </w:trPr>
        <w:tc>
          <w:tcPr>
            <w:tcW w:w="3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Foreign Governments</w:t>
            </w:r>
          </w:p>
        </w:tc>
        <w:tc>
          <w:tcPr>
            <w:tcW w:w="2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3"/>
                <w:szCs w:val="13"/>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104.86% - 113.31%</w:t>
            </w:r>
          </w:p>
        </w:tc>
        <w:tc>
          <w:tcPr>
            <w:tcW w:w="0" w:type="dxa"/>
            <w:vAlign w:val="bottom"/>
          </w:tcPr>
          <w:p>
            <w:pPr>
              <w:spacing w:after="0"/>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(107.50%)</w:t>
            </w: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 term investments</w:t>
            </w:r>
          </w:p>
        </w:tc>
        <w:tc>
          <w:tcPr>
            <w:tcW w:w="2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3"/>
                <w:szCs w:val="13"/>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94.33% - 95.49%</w:t>
            </w: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(94.91%)</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Preferred securities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Income-Approach</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Yield</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2.43%</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Risk Free Rate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1.00%</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- 1.00% (1.00%)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Strike Price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$1.50 - $1.50 ($1.50)</w:t>
            </w: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Volatility</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81.00% - 81.00% (81.00%)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Dividend Yield</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0.00%</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- 0.00% (0.00%)</w:t>
            </w: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Broker Quoted</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$50.00 - $55.00 ($52.50)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Discount rate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11.10% - 11.10% (11.10%)</w:t>
            </w:r>
          </w:p>
        </w:tc>
        <w:tc>
          <w:tcPr>
            <w:tcW w:w="0" w:type="dxa"/>
            <w:vAlign w:val="bottom"/>
          </w:tcPr>
          <w:p>
            <w:pPr>
              <w:spacing w:after="0"/>
              <w:rPr>
                <w:sz w:val="1"/>
                <w:szCs w:val="1"/>
                <w:color w:val="auto"/>
              </w:rPr>
            </w:pPr>
          </w:p>
        </w:tc>
      </w:tr>
      <w:tr>
        <w:trPr>
          <w:trHeight w:val="160"/>
        </w:trPr>
        <w:tc>
          <w:tcPr>
            <w:tcW w:w="440" w:type="dxa"/>
            <w:vAlign w:val="bottom"/>
            <w:tcBorders>
              <w:lef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Market Comparable Company</w:t>
            </w:r>
          </w:p>
        </w:tc>
        <w:tc>
          <w:tcPr>
            <w:tcW w:w="17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EBITDA multiple</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4.8x - 4.8x (4.8x)</w:t>
            </w:r>
          </w:p>
        </w:tc>
        <w:tc>
          <w:tcPr>
            <w:tcW w:w="0" w:type="dxa"/>
            <w:vAlign w:val="bottom"/>
          </w:tcPr>
          <w:p>
            <w:pPr>
              <w:spacing w:after="0"/>
              <w:rPr>
                <w:sz w:val="1"/>
                <w:szCs w:val="1"/>
                <w:color w:val="auto"/>
              </w:rPr>
            </w:pPr>
          </w:p>
        </w:tc>
      </w:tr>
      <w:tr>
        <w:trPr>
          <w:trHeight w:val="211"/>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embedded derivative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of fund</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Linked Note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Offered quotes</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affiliate</w:t>
            </w:r>
          </w:p>
        </w:tc>
        <w:tc>
          <w:tcPr>
            <w:tcW w:w="2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Market Comparable Company</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multiple</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8x-8x</w:t>
            </w: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6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financial assets at fair value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left w:val="single" w:sz="8" w:color="CCEEFF"/>
              <w:bottom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29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investments: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80" w:type="dxa"/>
            <w:vAlign w:val="bottom"/>
            <w:tcBorders>
              <w:left w:val="single" w:sz="8" w:color="CCEEFF"/>
            </w:tcBorders>
            <w:gridSpan w:val="3"/>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FIA/ IUL embedded derivatives, included in</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shd w:val="clear" w:color="auto" w:fill="CCEEFF"/>
          </w:tcPr>
          <w:p>
            <w:pPr>
              <w:spacing w:after="0"/>
              <w:rPr>
                <w:sz w:val="13"/>
                <w:szCs w:val="13"/>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of option</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0.00%</w:t>
            </w:r>
          </w:p>
        </w:tc>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- 26.75% (1.74%)</w:t>
            </w:r>
          </w:p>
        </w:tc>
        <w:tc>
          <w:tcPr>
            <w:tcW w:w="0" w:type="dxa"/>
            <w:vAlign w:val="bottom"/>
          </w:tcPr>
          <w:p>
            <w:pPr>
              <w:spacing w:after="0"/>
              <w:rPr>
                <w:sz w:val="1"/>
                <w:szCs w:val="1"/>
                <w:color w:val="auto"/>
              </w:rPr>
            </w:pPr>
          </w:p>
        </w:tc>
      </w:tr>
      <w:tr>
        <w:trPr>
          <w:trHeight w:val="211"/>
        </w:trPr>
        <w:tc>
          <w:tcPr>
            <w:tcW w:w="3680" w:type="dxa"/>
            <w:vAlign w:val="bottom"/>
            <w:tcBorders>
              <w:lef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contractholder funds</w:t>
            </w:r>
          </w:p>
        </w:tc>
        <w:tc>
          <w:tcPr>
            <w:tcW w:w="20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 rates</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0.17%</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- 2.59% (1.38%)</w:t>
            </w:r>
          </w:p>
        </w:tc>
        <w:tc>
          <w:tcPr>
            <w:tcW w:w="0" w:type="dxa"/>
            <w:vAlign w:val="bottom"/>
          </w:tcPr>
          <w:p>
            <w:pPr>
              <w:spacing w:after="0"/>
              <w:rPr>
                <w:sz w:val="1"/>
                <w:szCs w:val="1"/>
                <w:color w:val="auto"/>
              </w:rPr>
            </w:pPr>
          </w:p>
        </w:tc>
      </w:tr>
      <w:tr>
        <w:trPr>
          <w:trHeight w:val="160"/>
        </w:trPr>
        <w:tc>
          <w:tcPr>
            <w:tcW w:w="440" w:type="dxa"/>
            <w:vAlign w:val="bottom"/>
            <w:tcBorders>
              <w:lef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Mortality multiplier</w:t>
            </w:r>
          </w:p>
        </w:tc>
        <w:tc>
          <w:tcPr>
            <w:tcW w:w="19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11"/>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Surrender rates</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0.25%</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- 70.00% (6.24%)</w:t>
            </w: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Partial withdrawals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2.00%</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- 23.26% (2.73%)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Non-performance spread</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0.49%</w:t>
            </w: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- 1.23% (1.01%)</w:t>
            </w:r>
          </w:p>
        </w:tc>
        <w:tc>
          <w:tcPr>
            <w:tcW w:w="0" w:type="dxa"/>
            <w:vAlign w:val="bottom"/>
          </w:tcPr>
          <w:p>
            <w:pPr>
              <w:spacing w:after="0"/>
              <w:rPr>
                <w:sz w:val="1"/>
                <w:szCs w:val="1"/>
                <w:color w:val="auto"/>
              </w:rPr>
            </w:pPr>
          </w:p>
        </w:tc>
      </w:tr>
      <w:tr>
        <w:trPr>
          <w:trHeight w:val="212"/>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 cost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0.00%</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- 4.97% (1.82%)</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financial liabilities at fair value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Assets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Municipals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Governments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Short term investments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Preferred securities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 securities</w:t>
      </w:r>
    </w:p>
    <w:p>
      <w:pPr>
        <w:spacing w:after="0" w:line="395" w:lineRule="exact"/>
        <w:rPr>
          <w:sz w:val="20"/>
          <w:szCs w:val="20"/>
          <w:color w:val="auto"/>
        </w:rPr>
      </w:pPr>
    </w:p>
    <w:p>
      <w:pPr>
        <w:ind w:left="20" w:right="460"/>
        <w:spacing w:after="0" w:line="289" w:lineRule="auto"/>
        <w:rPr>
          <w:sz w:val="20"/>
          <w:szCs w:val="20"/>
          <w:color w:val="auto"/>
        </w:rPr>
      </w:pPr>
      <w:r>
        <w:rPr>
          <w:rFonts w:ascii="Times New Roman" w:cs="Times New Roman" w:eastAsia="Times New Roman" w:hAnsi="Times New Roman"/>
          <w:sz w:val="16"/>
          <w:szCs w:val="16"/>
          <w:color w:val="auto"/>
        </w:rPr>
        <w:t>Other long-term investments: Available-for-sale embedded derivative Credit Linked Note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in affiliate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financial assets at fair value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Liabilities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Future policy benefits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Derivative investments:</w:t>
      </w:r>
    </w:p>
    <w:p>
      <w:pPr>
        <w:spacing w:after="0" w:line="27" w:lineRule="exact"/>
        <w:rPr>
          <w:sz w:val="20"/>
          <w:szCs w:val="20"/>
          <w:color w:val="auto"/>
        </w:rPr>
      </w:pPr>
    </w:p>
    <w:p>
      <w:pPr>
        <w:ind w:left="20" w:right="160"/>
        <w:spacing w:after="0" w:line="237" w:lineRule="auto"/>
        <w:rPr>
          <w:sz w:val="20"/>
          <w:szCs w:val="20"/>
          <w:color w:val="auto"/>
        </w:rPr>
      </w:pPr>
      <w:r>
        <w:rPr>
          <w:rFonts w:ascii="Times New Roman" w:cs="Times New Roman" w:eastAsia="Times New Roman" w:hAnsi="Times New Roman"/>
          <w:sz w:val="16"/>
          <w:szCs w:val="16"/>
          <w:color w:val="auto"/>
        </w:rPr>
        <w:t>FIA/ IUL embedded derivatives, included in contractholder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Total financial liabilities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14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9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tcPr>
          <w:p>
            <w:pPr>
              <w:spacing w:after="0"/>
              <w:rPr>
                <w:sz w:val="24"/>
                <w:szCs w:val="2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52.56% - 260.70%</w:t>
            </w:r>
          </w:p>
        </w:tc>
        <w:tc>
          <w:tcPr>
            <w:tcW w:w="0" w:type="dxa"/>
            <w:vAlign w:val="bottom"/>
          </w:tcPr>
          <w:p>
            <w:pPr>
              <w:spacing w:after="0"/>
              <w:rPr>
                <w:sz w:val="1"/>
                <w:szCs w:val="1"/>
                <w:color w:val="auto"/>
              </w:rPr>
            </w:pPr>
          </w:p>
        </w:tc>
      </w:tr>
      <w:tr>
        <w:trPr>
          <w:trHeight w:val="207"/>
        </w:trPr>
        <w:tc>
          <w:tcPr>
            <w:tcW w:w="1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93.02% - 108.45%</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126.70% - 126.70%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(126.70%)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 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97.91% - 97.91%</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(97.91%)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0.00% - 109.69%</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85.71% - 119.57%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(107.72%)</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44.00% - 100.00% (62.00%)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135.09% - 135.09%</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(135.09%)</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Third-Party Valuation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107.23% - 116.44%</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(110.11%)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Income-Approach</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Yield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 Quoted</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$6.23 - $6.23 ($6.23)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 Free Rate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-1.00% (1.00%)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Strike Price</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 $1.50 ($1.50)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Volatility</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81.00% - 81.00%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(81.00%)</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0.00% - 0.00% (0.00%)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Discount rate</w:t>
            </w:r>
          </w:p>
        </w:tc>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12.70% - 12.70%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Market Comparable Company</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EBITDA multiple</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5.9x - 5.9x (5.9x)</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8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Black Scholes model</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value of fund</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Broker-quoted</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Offered quotes</w:t>
            </w: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1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6"/>
                <w:szCs w:val="16"/>
                <w:color w:val="auto"/>
              </w:rPr>
              <w:t>Market Comparable Company</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EBITDA multiple</w:t>
            </w:r>
          </w:p>
        </w:tc>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8x-8x</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-4375150</wp:posOffset>
            </wp:positionV>
            <wp:extent cx="7135495" cy="133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-4007485</wp:posOffset>
            </wp:positionV>
            <wp:extent cx="7135495" cy="233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-3539490</wp:posOffset>
            </wp:positionV>
            <wp:extent cx="7135495" cy="233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-3072130</wp:posOffset>
            </wp:positionV>
            <wp:extent cx="7135495" cy="233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-2704465</wp:posOffset>
            </wp:positionV>
            <wp:extent cx="7135495" cy="233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-2236470</wp:posOffset>
            </wp:positionV>
            <wp:extent cx="7135495" cy="233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-1868805</wp:posOffset>
            </wp:positionV>
            <wp:extent cx="7135495" cy="13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-1601470</wp:posOffset>
            </wp:positionV>
            <wp:extent cx="7135495" cy="13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-1233805</wp:posOffset>
            </wp:positionV>
            <wp:extent cx="7135495"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-866140</wp:posOffset>
            </wp:positionV>
            <wp:extent cx="7135495" cy="233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-498475</wp:posOffset>
            </wp:positionV>
            <wp:extent cx="7135495" cy="133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-231140</wp:posOffset>
            </wp:positionV>
            <wp:extent cx="7135495" cy="233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233680"/>
                    </a:xfrm>
                    <a:prstGeom prst="rect">
                      <a:avLst/>
                    </a:prstGeom>
                    <a:noFill/>
                  </pic:spPr>
                </pic:pic>
              </a:graphicData>
            </a:graphic>
          </wp:anchor>
        </w:drawing>
      </w:r>
    </w:p>
    <w:p>
      <w:pPr>
        <w:ind w:left="1220" w:hanging="1200"/>
        <w:spacing w:after="0"/>
        <w:tabs>
          <w:tab w:leader="none" w:pos="1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17145</wp:posOffset>
            </wp:positionV>
            <wp:extent cx="7135495" cy="150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Non-performance spread</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0.50%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660" w:type="dxa"/>
            <w:vAlign w:val="bottom"/>
          </w:tcPr>
          <w:p>
            <w:pPr>
              <w:spacing w:after="0"/>
              <w:rPr>
                <w:sz w:val="24"/>
                <w:szCs w:val="2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3,883</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Discounted cash flow</w:t>
            </w: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Market value of option</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0.00%</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- 38.72%</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Swap rates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0.05%</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- 1.94%</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Mortality multiplier</w:t>
            </w:r>
          </w:p>
        </w:tc>
        <w:tc>
          <w:tcPr>
            <w:tcW w:w="15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100.00% - 100.00%</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Surrender rates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0.25%</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- 70.00%</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Partial withdrawals</w:t>
            </w:r>
          </w:p>
        </w:tc>
        <w:tc>
          <w:tcPr>
            <w:tcW w:w="50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w w:val="96"/>
              </w:rPr>
              <w:t>2.00%</w:t>
            </w:r>
          </w:p>
        </w:tc>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- 23.26%</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Non-performance spread</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0.43%</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- 1.01% (0.68%)</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Option cost</w:t>
            </w:r>
          </w:p>
        </w:tc>
        <w:tc>
          <w:tcPr>
            <w:tcW w:w="500" w:type="dxa"/>
            <w:vAlign w:val="bottom"/>
          </w:tcPr>
          <w:p>
            <w:pPr>
              <w:ind w:left="80"/>
              <w:spacing w:after="0" w:line="163" w:lineRule="exact"/>
              <w:rPr>
                <w:sz w:val="20"/>
                <w:szCs w:val="20"/>
                <w:color w:val="auto"/>
              </w:rPr>
            </w:pPr>
            <w:r>
              <w:rPr>
                <w:rFonts w:ascii="Times New Roman" w:cs="Times New Roman" w:eastAsia="Times New Roman" w:hAnsi="Times New Roman"/>
                <w:sz w:val="16"/>
                <w:szCs w:val="16"/>
                <w:color w:val="auto"/>
                <w:w w:val="96"/>
              </w:rPr>
              <w:t>0.07%</w:t>
            </w:r>
          </w:p>
        </w:tc>
        <w:tc>
          <w:tcPr>
            <w:tcW w:w="108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- 4.97%</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2"/>
        </w:trPr>
        <w:tc>
          <w:tcPr>
            <w:tcW w:w="6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3,883</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-1837690</wp:posOffset>
            </wp:positionV>
            <wp:extent cx="7135495" cy="133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-1470025</wp:posOffset>
            </wp:positionV>
            <wp:extent cx="7135495" cy="233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-1002030</wp:posOffset>
            </wp:positionV>
            <wp:extent cx="7135495" cy="233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-534035</wp:posOffset>
            </wp:positionV>
            <wp:extent cx="7135495" cy="133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-166370</wp:posOffset>
            </wp:positionV>
            <wp:extent cx="7135495" cy="150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2980" w:space="720"/>
            <w:col w:w="75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months ended March 31, 2022 and 2021. This summary excludes any impact of amortization of value of business acquired (“VOBA”), deferred acquisition cost (“DAC”), and deferred sales inducements (“DSI”). The gains and losses below may include changes in fair value due in part to observable inputs that are a component of the valuation methodology.</w:t>
      </w:r>
    </w:p>
    <w:p>
      <w:pPr>
        <w:spacing w:after="0" w:line="138"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36"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30480</wp:posOffset>
            </wp:positionV>
            <wp:extent cx="5539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spacing w:after="0" w:line="240" w:lineRule="exact"/>
        <w:rPr>
          <w:sz w:val="20"/>
          <w:szCs w:val="20"/>
          <w:color w:val="auto"/>
        </w:rPr>
      </w:pPr>
    </w:p>
    <w:tbl>
      <w:tblPr>
        <w:tblLayout w:type="fixed"/>
        <w:tblInd w:w="246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2"/>
        </w:trPr>
        <w:tc>
          <w:tcPr>
            <w:tcW w:w="78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8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3"/>
        </w:trPr>
        <w:tc>
          <w:tcPr>
            <w:tcW w:w="7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980" w:type="dxa"/>
            <w:vAlign w:val="bottom"/>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Gains (Losses)</w:t>
            </w:r>
          </w:p>
        </w:tc>
        <w:tc>
          <w:tcPr>
            <w:tcW w:w="0" w:type="dxa"/>
            <w:vAlign w:val="bottom"/>
          </w:tcPr>
          <w:p>
            <w:pPr>
              <w:spacing w:after="0"/>
              <w:rPr>
                <w:sz w:val="1"/>
                <w:szCs w:val="1"/>
                <w:color w:val="auto"/>
              </w:rPr>
            </w:pPr>
          </w:p>
        </w:tc>
      </w:tr>
      <w:tr>
        <w:trPr>
          <w:trHeight w:val="187"/>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0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3 (a)</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Incl in OCI</w:t>
            </w:r>
          </w:p>
        </w:tc>
        <w:tc>
          <w:tcPr>
            <w:tcW w:w="0" w:type="dxa"/>
            <w:vAlign w:val="bottom"/>
          </w:tcPr>
          <w:p>
            <w:pPr>
              <w:spacing w:after="0"/>
              <w:rPr>
                <w:sz w:val="1"/>
                <w:szCs w:val="1"/>
                <w:color w:val="auto"/>
              </w:rPr>
            </w:pPr>
          </w:p>
        </w:tc>
      </w:tr>
    </w:tbl>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-94615</wp:posOffset>
            </wp:positionV>
            <wp:extent cx="5539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p>
      <w:pPr>
        <w:ind w:left="220" w:right="220"/>
        <w:spacing w:after="0" w:line="245" w:lineRule="auto"/>
        <w:rPr>
          <w:sz w:val="20"/>
          <w:szCs w:val="20"/>
          <w:color w:val="auto"/>
        </w:rPr>
      </w:pPr>
      <w:r>
        <w:rPr>
          <w:rFonts w:ascii="Times New Roman" w:cs="Times New Roman" w:eastAsia="Times New Roman" w:hAnsi="Times New Roman"/>
          <w:sz w:val="14"/>
          <w:szCs w:val="14"/>
          <w:color w:val="auto"/>
        </w:rPr>
        <w:t>Fixed maturity securities available-for-sale:</w:t>
      </w:r>
    </w:p>
    <w:p>
      <w:pPr>
        <w:ind w:left="420"/>
        <w:spacing w:after="0"/>
        <w:tabs>
          <w:tab w:leader="none" w:pos="2320" w:val="left"/>
        </w:tabs>
        <w:rPr>
          <w:sz w:val="20"/>
          <w:szCs w:val="20"/>
          <w:color w:val="auto"/>
        </w:rPr>
      </w:pPr>
      <w:r>
        <w:rPr>
          <w:rFonts w:ascii="Times New Roman" w:cs="Times New Roman" w:eastAsia="Times New Roman" w:hAnsi="Times New Roman"/>
          <w:sz w:val="14"/>
          <w:szCs w:val="14"/>
          <w:color w:val="auto"/>
        </w:rPr>
        <w:t>Asset-backed securities</w:t>
      </w:r>
      <w:r>
        <w:rPr>
          <w:sz w:val="20"/>
          <w:szCs w:val="20"/>
          <w:color w:val="auto"/>
        </w:rPr>
        <w:tab/>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20" w:right="300"/>
        <w:spacing w:after="0" w:line="245" w:lineRule="auto"/>
        <w:rPr>
          <w:sz w:val="20"/>
          <w:szCs w:val="20"/>
          <w:color w:val="auto"/>
        </w:rPr>
      </w:pPr>
      <w:r>
        <w:rPr>
          <w:rFonts w:ascii="Times New Roman" w:cs="Times New Roman" w:eastAsia="Times New Roman" w:hAnsi="Times New Roman"/>
          <w:sz w:val="14"/>
          <w:szCs w:val="14"/>
          <w:color w:val="auto"/>
        </w:rPr>
        <w:t>Commercial mortgage-backed securities</w:t>
      </w:r>
    </w:p>
    <w:p>
      <w:pPr>
        <w:ind w:left="420"/>
        <w:spacing w:after="0"/>
        <w:rPr>
          <w:sz w:val="20"/>
          <w:szCs w:val="20"/>
          <w:color w:val="auto"/>
        </w:rPr>
      </w:pPr>
      <w:r>
        <w:rPr>
          <w:rFonts w:ascii="Times New Roman" w:cs="Times New Roman" w:eastAsia="Times New Roman" w:hAnsi="Times New Roman"/>
          <w:sz w:val="14"/>
          <w:szCs w:val="14"/>
          <w:color w:val="auto"/>
        </w:rPr>
        <w:t>Corporates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Municipals</w:t>
      </w:r>
    </w:p>
    <w:p>
      <w:pPr>
        <w:spacing w:after="0" w:line="36" w:lineRule="exact"/>
        <w:rPr>
          <w:sz w:val="20"/>
          <w:szCs w:val="20"/>
          <w:color w:val="auto"/>
        </w:rPr>
      </w:pPr>
    </w:p>
    <w:p>
      <w:pPr>
        <w:ind w:left="420" w:right="360"/>
        <w:spacing w:after="0" w:line="245" w:lineRule="auto"/>
        <w:rPr>
          <w:sz w:val="20"/>
          <w:szCs w:val="20"/>
          <w:color w:val="auto"/>
        </w:rPr>
      </w:pPr>
      <w:r>
        <w:rPr>
          <w:rFonts w:ascii="Times New Roman" w:cs="Times New Roman" w:eastAsia="Times New Roman" w:hAnsi="Times New Roman"/>
          <w:sz w:val="14"/>
          <w:szCs w:val="14"/>
          <w:color w:val="auto"/>
        </w:rPr>
        <w:t>Residential mortgage-backed securities</w:t>
      </w:r>
    </w:p>
    <w:p>
      <w:pPr>
        <w:ind w:left="420"/>
        <w:spacing w:after="0"/>
        <w:rPr>
          <w:sz w:val="20"/>
          <w:szCs w:val="20"/>
          <w:color w:val="auto"/>
        </w:rPr>
      </w:pPr>
      <w:r>
        <w:rPr>
          <w:rFonts w:ascii="Times New Roman" w:cs="Times New Roman" w:eastAsia="Times New Roman" w:hAnsi="Times New Roman"/>
          <w:sz w:val="14"/>
          <w:szCs w:val="14"/>
          <w:color w:val="auto"/>
        </w:rPr>
        <w:t>Foreign Governments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Short term investments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Preferred securities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p>
      <w:pPr>
        <w:spacing w:after="0" w:line="36" w:lineRule="exact"/>
        <w:rPr>
          <w:sz w:val="20"/>
          <w:szCs w:val="20"/>
          <w:color w:val="auto"/>
        </w:rPr>
      </w:pPr>
    </w:p>
    <w:p>
      <w:pPr>
        <w:ind w:left="420" w:right="400"/>
        <w:spacing w:after="0" w:line="245" w:lineRule="auto"/>
        <w:rPr>
          <w:sz w:val="20"/>
          <w:szCs w:val="20"/>
          <w:color w:val="auto"/>
        </w:rPr>
      </w:pPr>
      <w:r>
        <w:rPr>
          <w:rFonts w:ascii="Times New Roman" w:cs="Times New Roman" w:eastAsia="Times New Roman" w:hAnsi="Times New Roman"/>
          <w:sz w:val="14"/>
          <w:szCs w:val="14"/>
          <w:color w:val="auto"/>
        </w:rPr>
        <w:t>Available-for-sale embedded derivative</w:t>
      </w:r>
    </w:p>
    <w:p>
      <w:pPr>
        <w:ind w:left="420"/>
        <w:spacing w:after="0"/>
        <w:rPr>
          <w:sz w:val="20"/>
          <w:szCs w:val="20"/>
          <w:color w:val="auto"/>
        </w:rPr>
      </w:pPr>
      <w:r>
        <w:rPr>
          <w:rFonts w:ascii="Times New Roman" w:cs="Times New Roman" w:eastAsia="Times New Roman" w:hAnsi="Times New Roman"/>
          <w:sz w:val="14"/>
          <w:szCs w:val="14"/>
          <w:color w:val="auto"/>
        </w:rPr>
        <w:t>Investment in affiliate</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Credit linked note</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Total Level 3 assets at fair</w:t>
      </w:r>
    </w:p>
    <w:p>
      <w:pPr>
        <w:jc w:val="both"/>
        <w:ind w:left="520"/>
        <w:spacing w:after="0" w:line="185" w:lineRule="auto"/>
        <w:tabs>
          <w:tab w:leader="none" w:pos="2320" w:val="left"/>
        </w:tabs>
        <w:rPr>
          <w:sz w:val="20"/>
          <w:szCs w:val="20"/>
          <w:color w:val="auto"/>
        </w:rPr>
      </w:pPr>
      <w:r>
        <w:rPr>
          <w:rFonts w:ascii="Times New Roman" w:cs="Times New Roman" w:eastAsia="Times New Roman" w:hAnsi="Times New Roman"/>
          <w:sz w:val="12"/>
          <w:szCs w:val="12"/>
          <w:b w:val="1"/>
          <w:bCs w:val="1"/>
          <w:color w:val="auto"/>
        </w:rPr>
        <w:t>value</w:t>
      </w:r>
      <w:r>
        <w:rPr>
          <w:sz w:val="20"/>
          <w:szCs w:val="20"/>
          <w:color w:val="auto"/>
        </w:rPr>
        <w:tab/>
      </w:r>
      <w:r>
        <w:rPr>
          <w:rFonts w:ascii="Times New Roman" w:cs="Times New Roman" w:eastAsia="Times New Roman" w:hAnsi="Times New Roman"/>
          <w:sz w:val="23"/>
          <w:szCs w:val="23"/>
          <w:color w:val="auto"/>
          <w:vertAlign w:val="superscript"/>
        </w:rPr>
        <w:t>$</w:t>
      </w: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Liabilities</w:t>
      </w:r>
    </w:p>
    <w:p>
      <w:pPr>
        <w:spacing w:after="0" w:line="20" w:lineRule="exact"/>
        <w:rPr>
          <w:sz w:val="20"/>
          <w:szCs w:val="20"/>
          <w:color w:val="auto"/>
        </w:rPr>
      </w:pPr>
    </w:p>
    <w:p>
      <w:pPr>
        <w:ind w:left="220" w:right="380"/>
        <w:spacing w:after="0" w:line="263" w:lineRule="auto"/>
        <w:rPr>
          <w:sz w:val="20"/>
          <w:szCs w:val="20"/>
          <w:color w:val="auto"/>
        </w:rPr>
      </w:pPr>
      <w:r>
        <w:rPr>
          <w:rFonts w:ascii="Times New Roman" w:cs="Times New Roman" w:eastAsia="Times New Roman" w:hAnsi="Times New Roman"/>
          <w:sz w:val="13"/>
          <w:szCs w:val="13"/>
          <w:color w:val="auto"/>
        </w:rPr>
        <w:t>FIA/ IUL embedded derivatives, included in contractholder funds</w:t>
      </w:r>
    </w:p>
    <w:p>
      <w:pPr>
        <w:ind w:left="520"/>
        <w:spacing w:after="0" w:line="212" w:lineRule="auto"/>
        <w:rPr>
          <w:sz w:val="20"/>
          <w:szCs w:val="20"/>
          <w:color w:val="auto"/>
        </w:rPr>
      </w:pPr>
      <w:r>
        <w:rPr>
          <w:rFonts w:ascii="Times New Roman" w:cs="Times New Roman" w:eastAsia="Times New Roman" w:hAnsi="Times New Roman"/>
          <w:sz w:val="14"/>
          <w:szCs w:val="14"/>
          <w:b w:val="1"/>
          <w:bCs w:val="1"/>
          <w:color w:val="auto"/>
        </w:rPr>
        <w:t>Total Level 3 liabilities at fair</w:t>
      </w:r>
    </w:p>
    <w:p>
      <w:pPr>
        <w:jc w:val="both"/>
        <w:ind w:left="520"/>
        <w:spacing w:after="0" w:line="227" w:lineRule="auto"/>
        <w:tabs>
          <w:tab w:leader="none" w:pos="2320" w:val="left"/>
        </w:tabs>
        <w:rPr>
          <w:sz w:val="20"/>
          <w:szCs w:val="20"/>
          <w:color w:val="auto"/>
        </w:rPr>
      </w:pPr>
      <w:r>
        <w:rPr>
          <w:rFonts w:ascii="Times New Roman" w:cs="Times New Roman" w:eastAsia="Times New Roman" w:hAnsi="Times New Roman"/>
          <w:sz w:val="14"/>
          <w:szCs w:val="14"/>
          <w:b w:val="1"/>
          <w:bCs w:val="1"/>
          <w:color w:val="auto"/>
        </w:rPr>
        <w:t>value</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3,959</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32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1,135</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2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26"/>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5,600</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6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3,883</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5"/>
              </w:rPr>
              <w:t>3,883</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-2856865</wp:posOffset>
            </wp:positionV>
            <wp:extent cx="6893560" cy="208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3560" cy="2089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-2522855</wp:posOffset>
            </wp:positionV>
            <wp:extent cx="6893560" cy="208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3560" cy="20891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-2188845</wp:posOffset>
            </wp:positionV>
            <wp:extent cx="6893560" cy="125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-1854200</wp:posOffset>
            </wp:positionV>
            <wp:extent cx="6893560" cy="125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-1603375</wp:posOffset>
            </wp:positionV>
            <wp:extent cx="6893560" cy="125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-1353185</wp:posOffset>
            </wp:positionV>
            <wp:extent cx="6893560" cy="125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-1018540</wp:posOffset>
            </wp:positionV>
            <wp:extent cx="6893560" cy="125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93560" cy="12509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-433705</wp:posOffset>
            </wp:positionV>
            <wp:extent cx="6893560" cy="2171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93560" cy="2171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-33020</wp:posOffset>
            </wp:positionV>
            <wp:extent cx="576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58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-7620</wp:posOffset>
            </wp:positionV>
            <wp:extent cx="576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580"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-768350</wp:posOffset>
            </wp:positionV>
            <wp:extent cx="6893560" cy="225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93560" cy="22542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420" w:space="440"/>
            <w:col w:w="8380"/>
          </w:cols>
          <w:pgMar w:left="320" w:top="12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(a) The net transfers out of Level 3 during the three months ended March 31, 2022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p>
      <w:pPr>
        <w:spacing w:after="0" w:line="3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30480</wp:posOffset>
            </wp:positionV>
            <wp:extent cx="5732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321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Total Gains (Losses)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100" w:type="dxa"/>
            <w:vAlign w:val="bottom"/>
          </w:tcPr>
          <w:p>
            <w:pPr>
              <w:spacing w:after="0"/>
              <w:rPr>
                <w:sz w:val="15"/>
                <w:szCs w:val="1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Included in</w:t>
            </w:r>
          </w:p>
        </w:tc>
        <w:tc>
          <w:tcPr>
            <w:tcW w:w="10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Included in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 transfer In</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80" w:type="dxa"/>
            <w:vAlign w:val="bottom"/>
          </w:tcPr>
          <w:p>
            <w:pPr>
              <w:spacing w:after="0"/>
              <w:rPr>
                <w:sz w:val="15"/>
                <w:szCs w:val="15"/>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Beginning</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(Out) of</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End of</w:t>
            </w:r>
          </w:p>
        </w:tc>
        <w:tc>
          <w:tcPr>
            <w:tcW w:w="80" w:type="dxa"/>
            <w:vAlign w:val="bottom"/>
          </w:tcPr>
          <w:p>
            <w:pPr>
              <w:spacing w:after="0"/>
              <w:rPr>
                <w:sz w:val="10"/>
                <w:szCs w:val="10"/>
                <w:color w:val="auto"/>
              </w:rPr>
            </w:pPr>
          </w:p>
        </w:tc>
        <w:tc>
          <w:tcPr>
            <w:tcW w:w="1000" w:type="dxa"/>
            <w:vAlign w:val="bottom"/>
          </w:tcPr>
          <w:p>
            <w:pPr>
              <w:jc w:val="right"/>
              <w:ind w:right="11"/>
              <w:spacing w:after="0" w:line="118" w:lineRule="exact"/>
              <w:rPr>
                <w:sz w:val="20"/>
                <w:szCs w:val="20"/>
                <w:color w:val="auto"/>
              </w:rPr>
            </w:pPr>
            <w:r>
              <w:rPr>
                <w:rFonts w:ascii="Times New Roman" w:cs="Times New Roman" w:eastAsia="Times New Roman" w:hAnsi="Times New Roman"/>
                <w:sz w:val="12"/>
                <w:szCs w:val="12"/>
                <w:b w:val="1"/>
                <w:bCs w:val="1"/>
                <w:color w:val="auto"/>
              </w:rPr>
              <w:t>Unrealized Gains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of Period</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Purchases</w:t>
            </w:r>
          </w:p>
        </w:tc>
        <w:tc>
          <w:tcPr>
            <w:tcW w:w="1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2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Settlements</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Level 3 (a)</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(Losses) Incl in OCI</w:t>
            </w: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2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Fixed maturity securities available-</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for-sale: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Credit linked note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220" w:type="dxa"/>
            <w:vAlign w:val="bottom"/>
            <w:tcBorders>
              <w:top w:val="single" w:sz="8" w:color="CCEEFF"/>
            </w:tcBorders>
            <w:shd w:val="clear" w:color="auto" w:fill="CCEEFF"/>
          </w:tcPr>
          <w:p>
            <w:pPr>
              <w:ind w:left="340"/>
              <w:spacing w:after="0" w:line="119" w:lineRule="exact"/>
              <w:rPr>
                <w:sz w:val="20"/>
                <w:szCs w:val="20"/>
                <w:color w:val="auto"/>
              </w:rPr>
            </w:pPr>
            <w:r>
              <w:rPr>
                <w:rFonts w:ascii="Times New Roman" w:cs="Times New Roman" w:eastAsia="Times New Roman" w:hAnsi="Times New Roman"/>
                <w:sz w:val="13"/>
                <w:szCs w:val="13"/>
                <w:b w:val="1"/>
                <w:bCs w:val="1"/>
                <w:color w:val="auto"/>
              </w:rPr>
              <w:t>Total Level 3 assets at fair</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vMerge w:val="restart"/>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1"/>
        </w:trPr>
        <w:tc>
          <w:tcPr>
            <w:tcW w:w="2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2"/>
        </w:trPr>
        <w:tc>
          <w:tcPr>
            <w:tcW w:w="222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FIA/IUL embedded derivatives,</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left="611"/>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220" w:type="dxa"/>
            <w:vAlign w:val="bottom"/>
            <w:shd w:val="clear" w:color="auto" w:fill="CCEEFF"/>
          </w:tcPr>
          <w:p>
            <w:pPr>
              <w:ind w:left="340"/>
              <w:spacing w:after="0" w:line="119"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 The net transfers out of Level 3 during the three months ended March 31, 2021 were exclusively to Level 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Investment contracts include deferred annuities (FIAs and fixed rate annuities), indexed universal life policies ("IULs"), funding agreements and PRT and immediate annuity contracts without life contingencies. The FIA/ 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annuities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3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debt is based on quoted market prices. The inputs used to measure the fair value of our outstanding debt are classified as Level 2 within the fair value hierarchy.</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203"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100" w:type="dxa"/>
            <w:vAlign w:val="bottom"/>
          </w:tcPr>
          <w:p>
            <w:pPr>
              <w:spacing w:after="0"/>
              <w:rPr>
                <w:sz w:val="11"/>
                <w:szCs w:val="11"/>
                <w:color w:val="auto"/>
              </w:rPr>
            </w:pP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22"/>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29,031</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32,903</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3,095</w:t>
            </w:r>
          </w:p>
        </w:tc>
        <w:tc>
          <w:tcPr>
            <w:tcW w:w="0" w:type="dxa"/>
            <w:vAlign w:val="bottom"/>
          </w:tcPr>
          <w:p>
            <w:pPr>
              <w:spacing w:after="0"/>
              <w:rPr>
                <w:sz w:val="1"/>
                <w:szCs w:val="1"/>
                <w:color w:val="auto"/>
              </w:rPr>
            </w:pPr>
          </w:p>
        </w:tc>
      </w:tr>
      <w:tr>
        <w:trPr>
          <w:trHeight w:val="191"/>
        </w:trPr>
        <w:tc>
          <w:tcPr>
            <w:tcW w:w="37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29,031</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35,998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100" w:type="dxa"/>
            <w:vAlign w:val="bottom"/>
          </w:tcPr>
          <w:p>
            <w:pPr>
              <w:spacing w:after="0"/>
              <w:rPr>
                <w:sz w:val="11"/>
                <w:szCs w:val="11"/>
                <w:color w:val="auto"/>
              </w:rPr>
            </w:pP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84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22"/>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31,529</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3,096</w:t>
            </w:r>
          </w:p>
        </w:tc>
        <w:tc>
          <w:tcPr>
            <w:tcW w:w="0" w:type="dxa"/>
            <w:vAlign w:val="bottom"/>
          </w:tcPr>
          <w:p>
            <w:pPr>
              <w:spacing w:after="0"/>
              <w:rPr>
                <w:sz w:val="1"/>
                <w:szCs w:val="1"/>
                <w:color w:val="auto"/>
              </w:rPr>
            </w:pPr>
          </w:p>
        </w:tc>
      </w:tr>
      <w:tr>
        <w:trPr>
          <w:trHeight w:val="191"/>
        </w:trPr>
        <w:tc>
          <w:tcPr>
            <w:tcW w:w="3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34,625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includes assets that have not been classified in the fair value hierarchy as the value of these investments are measured using the equity method of accounting or net asset value ("NAV") is used as a practical expedient in determining fair value:</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720" w:type="dxa"/>
            <w:vAlign w:val="bottom"/>
            <w:gridSpan w:val="5"/>
          </w:tcPr>
          <w:p>
            <w:pPr>
              <w:jc w:val="right"/>
              <w:ind w:right="1250"/>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190"/>
        </w:trPr>
        <w:tc>
          <w:tcPr>
            <w:tcW w:w="66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Borders>
              <w:bottom w:val="single" w:sz="8" w:color="auto"/>
            </w:tcBorders>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420" w:type="dxa"/>
            <w:vAlign w:val="bottom"/>
          </w:tcPr>
          <w:p>
            <w:pPr>
              <w:jc w:val="right"/>
              <w:ind w:right="12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(NAV)</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 (a)</w:t>
            </w: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216"/>
        </w:trPr>
        <w:tc>
          <w:tcPr>
            <w:tcW w:w="66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The fair value of these investments using the NAV practical expedient and their carrying amount are generally equal.</w:t>
      </w:r>
    </w:p>
    <w:p>
      <w:pPr>
        <w:spacing w:after="0" w:line="200" w:lineRule="exact"/>
        <w:rPr>
          <w:sz w:val="20"/>
          <w:szCs w:val="20"/>
          <w:color w:val="auto"/>
        </w:rPr>
      </w:pPr>
    </w:p>
    <w:p>
      <w:pPr>
        <w:spacing w:after="0" w:line="23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a price less than NAV would be received in the event of a liquidation. We account for our investment in unconsolidated affiliates using the equity method of accounting. Equity method investments are reported on a lag of up to three months for investee information not received timely.</w:t>
      </w:r>
    </w:p>
    <w:p>
      <w:pPr>
        <w:spacing w:after="0" w:line="5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77"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fixed maturity securities investments have been designated as available-for-sale ("AFS"), and are carried at fair value, net of allowance for expected credit losses, with unrealized gains and losses included in AOCI, net of associated adjustments for DAC, VOBA, DSI, unearned revenue ("UREV"), SOP 03-1 reserves, and deferred income taxes. Our preferred and equity securities investments are carried at fair value with unrealized gains and losses included in net earnings. The Company’s consolidated investments at March 31, 2022 and December 31, 2021 are summarized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0"/>
                <w:szCs w:val="10"/>
                <w:color w:val="auto"/>
              </w:rPr>
            </w:pPr>
          </w:p>
        </w:tc>
        <w:tc>
          <w:tcPr>
            <w:tcW w:w="13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Expected Credit</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6"/>
                <w:szCs w:val="16"/>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9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22"/>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0"/>
                <w:szCs w:val="10"/>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0" w:type="dxa"/>
            <w:vAlign w:val="bottom"/>
          </w:tcPr>
          <w:p>
            <w:pPr>
              <w:spacing w:after="0"/>
              <w:rPr>
                <w:sz w:val="1"/>
                <w:szCs w:val="1"/>
                <w:color w:val="auto"/>
              </w:rPr>
            </w:pPr>
          </w:p>
        </w:tc>
      </w:tr>
      <w:tr>
        <w:trPr>
          <w:trHeight w:val="132"/>
        </w:trPr>
        <w:tc>
          <w:tcPr>
            <w:tcW w:w="29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4"/>
                <w:szCs w:val="14"/>
                <w:color w:val="auto"/>
              </w:rPr>
              <w:t>Commercial mortgage-backed/asset-backed</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20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1"/>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17"/>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$15,578 million and $22,343 million at March 31, 2022 and December 31, 2021, respectively.</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2022 and December 31, 2021, the Company held no material investments that were non-income producing for a period greater than twelve months.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2022 and December 31, 2021, the Company's accrued interest receivable balance was $278 million and $253 million,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receivable is classified within Prepaid expenses and other assets within the unaudited Condensed Consolidated Balance Sheets.</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$2,840 million and $2,469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7"/>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4"/>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4"/>
        </w:trPr>
        <w:tc>
          <w:tcPr>
            <w:tcW w:w="5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0"/>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190"/>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r>
      <w:tr>
        <w:trPr>
          <w:trHeight w:val="20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13,608</w:t>
            </w:r>
          </w:p>
        </w:tc>
      </w:tr>
      <w:tr>
        <w:trPr>
          <w:trHeight w:val="183"/>
        </w:trPr>
        <w:tc>
          <w:tcPr>
            <w:tcW w:w="52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19,548</w:t>
            </w: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0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r>
      <w:tr>
        <w:trPr>
          <w:trHeight w:val="190"/>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Structured hybrids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4"/>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12,442</w:t>
            </w:r>
          </w:p>
        </w:tc>
      </w:tr>
      <w:tr>
        <w:trPr>
          <w:trHeight w:val="22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3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7"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currency or interest-rate related, including general credit spread widening);</w:t>
      </w:r>
    </w:p>
    <w:p>
      <w:pPr>
        <w:spacing w:after="0" w:line="135"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is necessary:</w:t>
      </w:r>
    </w:p>
    <w:p>
      <w:pPr>
        <w:spacing w:after="0" w:line="122" w:lineRule="exact"/>
        <w:rPr>
          <w:sz w:val="20"/>
          <w:szCs w:val="20"/>
          <w:color w:val="auto"/>
        </w:rPr>
      </w:pPr>
    </w:p>
    <w:p>
      <w:pPr>
        <w:ind w:left="680" w:hanging="280"/>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0" w:hanging="28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35" w:lineRule="exact"/>
        <w:rPr>
          <w:rFonts w:ascii="Times New Roman" w:cs="Times New Roman" w:eastAsia="Times New Roman" w:hAnsi="Times New Roman"/>
          <w:sz w:val="18"/>
          <w:szCs w:val="18"/>
          <w:color w:val="auto"/>
        </w:rPr>
      </w:pPr>
    </w:p>
    <w:p>
      <w:pPr>
        <w:ind w:left="680" w:hanging="28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122" w:lineRule="exact"/>
        <w:rPr>
          <w:sz w:val="20"/>
          <w:szCs w:val="20"/>
          <w:color w:val="auto"/>
        </w:rPr>
      </w:pPr>
    </w:p>
    <w:p>
      <w:pPr>
        <w:jc w:val="both"/>
        <w:ind w:right="100" w:firstLine="395"/>
        <w:spacing w:after="0" w:line="247"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activity in the allowance for expected credit losses of AFS securities aggregated by investment category were as follows for the three months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(in millions):</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credit losses</w:t>
            </w:r>
          </w:p>
        </w:tc>
        <w:tc>
          <w:tcPr>
            <w:tcW w:w="100" w:type="dxa"/>
            <w:vAlign w:val="bottom"/>
          </w:tcPr>
          <w:p>
            <w:pPr>
              <w:spacing w:after="0"/>
              <w:rPr>
                <w:sz w:val="11"/>
                <w:szCs w:val="11"/>
                <w:color w:val="auto"/>
              </w:rPr>
            </w:pPr>
          </w:p>
        </w:tc>
        <w:tc>
          <w:tcPr>
            <w:tcW w:w="1060" w:type="dxa"/>
            <w:vAlign w:val="bottom"/>
          </w:tcPr>
          <w:p>
            <w:pPr>
              <w:jc w:val="center"/>
              <w:ind w:right="10"/>
              <w:spacing w:after="0" w:line="127" w:lineRule="exact"/>
              <w:rPr>
                <w:sz w:val="20"/>
                <w:szCs w:val="20"/>
                <w:color w:val="auto"/>
              </w:rPr>
            </w:pPr>
            <w:r>
              <w:rPr>
                <w:rFonts w:ascii="Times New Roman" w:cs="Times New Roman" w:eastAsia="Times New Roman" w:hAnsi="Times New Roman"/>
                <w:sz w:val="14"/>
                <w:szCs w:val="14"/>
                <w:b w:val="1"/>
                <w:bCs w:val="1"/>
                <w:color w:val="auto"/>
                <w:w w:val="99"/>
              </w:rPr>
              <w:t>For initial credit</w:t>
            </w:r>
          </w:p>
        </w:tc>
        <w:tc>
          <w:tcPr>
            <w:tcW w:w="180" w:type="dxa"/>
            <w:vAlign w:val="bottom"/>
          </w:tcPr>
          <w:p>
            <w:pPr>
              <w:spacing w:after="0"/>
              <w:rPr>
                <w:sz w:val="11"/>
                <w:szCs w:val="11"/>
                <w:color w:val="auto"/>
              </w:rPr>
            </w:pPr>
          </w:p>
        </w:tc>
        <w:tc>
          <w:tcPr>
            <w:tcW w:w="106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For securities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8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on securities for</w:t>
            </w:r>
          </w:p>
        </w:tc>
        <w:tc>
          <w:tcPr>
            <w:tcW w:w="100" w:type="dxa"/>
            <w:vAlign w:val="bottom"/>
          </w:tcPr>
          <w:p>
            <w:pPr>
              <w:spacing w:after="0"/>
              <w:rPr>
                <w:sz w:val="12"/>
                <w:szCs w:val="12"/>
                <w:color w:val="auto"/>
              </w:rPr>
            </w:pPr>
          </w:p>
        </w:tc>
        <w:tc>
          <w:tcPr>
            <w:tcW w:w="106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10"/>
              <w:spacing w:after="0" w:line="143" w:lineRule="exact"/>
              <w:rPr>
                <w:sz w:val="20"/>
                <w:szCs w:val="20"/>
                <w:color w:val="auto"/>
              </w:rPr>
            </w:pPr>
            <w:r>
              <w:rPr>
                <w:rFonts w:ascii="Times New Roman" w:cs="Times New Roman" w:eastAsia="Times New Roman" w:hAnsi="Times New Roman"/>
                <w:sz w:val="14"/>
                <w:szCs w:val="14"/>
                <w:b w:val="1"/>
                <w:bCs w:val="1"/>
                <w:color w:val="auto"/>
              </w:rPr>
              <w:t>reductions in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2"/>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intended/required</w:t>
            </w:r>
          </w:p>
        </w:tc>
        <w:tc>
          <w:tcPr>
            <w:tcW w:w="1020" w:type="dxa"/>
            <w:vAlign w:val="bottom"/>
          </w:tcPr>
          <w:p>
            <w:pPr>
              <w:spacing w:after="0"/>
              <w:rPr>
                <w:sz w:val="12"/>
                <w:szCs w:val="12"/>
                <w:color w:val="auto"/>
              </w:rPr>
            </w:pPr>
          </w:p>
        </w:tc>
        <w:tc>
          <w:tcPr>
            <w:tcW w:w="1620" w:type="dxa"/>
            <w:vAlign w:val="bottom"/>
            <w:gridSpan w:val="2"/>
            <w:vMerge w:val="restart"/>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Recoveries of</w:t>
            </w: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40" w:type="dxa"/>
            <w:vAlign w:val="bottom"/>
          </w:tcPr>
          <w:p>
            <w:pPr>
              <w:spacing w:after="0"/>
              <w:rPr>
                <w:sz w:val="12"/>
                <w:szCs w:val="12"/>
                <w:color w:val="auto"/>
              </w:rPr>
            </w:pPr>
          </w:p>
        </w:tc>
        <w:tc>
          <w:tcPr>
            <w:tcW w:w="92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which losses</w:t>
            </w:r>
          </w:p>
        </w:tc>
        <w:tc>
          <w:tcPr>
            <w:tcW w:w="10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10"/>
              <w:spacing w:after="0" w:line="145"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securities</w:t>
            </w:r>
          </w:p>
        </w:tc>
        <w:tc>
          <w:tcPr>
            <w:tcW w:w="1200" w:type="dxa"/>
            <w:vAlign w:val="bottom"/>
            <w:gridSpan w:val="2"/>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to be sold prior to</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0"/>
              <w:spacing w:after="0" w:line="133" w:lineRule="exact"/>
              <w:rPr>
                <w:sz w:val="20"/>
                <w:szCs w:val="20"/>
                <w:color w:val="auto"/>
              </w:rPr>
            </w:pPr>
            <w:r>
              <w:rPr>
                <w:rFonts w:ascii="Times New Roman" w:cs="Times New Roman" w:eastAsia="Times New Roman" w:hAnsi="Times New Roman"/>
                <w:sz w:val="14"/>
                <w:szCs w:val="14"/>
                <w:b w:val="1"/>
                <w:bCs w:val="1"/>
                <w:color w:val="auto"/>
              </w:rPr>
              <w:t>were not</w:t>
            </w:r>
          </w:p>
        </w:tc>
        <w:tc>
          <w:tcPr>
            <w:tcW w:w="100" w:type="dxa"/>
            <w:vAlign w:val="bottom"/>
          </w:tcPr>
          <w:p>
            <w:pPr>
              <w:spacing w:after="0"/>
              <w:rPr>
                <w:sz w:val="11"/>
                <w:szCs w:val="11"/>
                <w:color w:val="auto"/>
              </w:rPr>
            </w:pPr>
          </w:p>
        </w:tc>
        <w:tc>
          <w:tcPr>
            <w:tcW w:w="106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accounted for as</w:t>
            </w:r>
          </w:p>
        </w:tc>
        <w:tc>
          <w:tcPr>
            <w:tcW w:w="180" w:type="dxa"/>
            <w:vAlign w:val="bottom"/>
          </w:tcPr>
          <w:p>
            <w:pPr>
              <w:spacing w:after="0"/>
              <w:rPr>
                <w:sz w:val="11"/>
                <w:szCs w:val="11"/>
                <w:color w:val="auto"/>
              </w:rPr>
            </w:pPr>
          </w:p>
        </w:tc>
        <w:tc>
          <w:tcPr>
            <w:tcW w:w="1060" w:type="dxa"/>
            <w:vAlign w:val="bottom"/>
            <w:tcBorders>
              <w:right w:val="single" w:sz="8" w:color="auto"/>
            </w:tcBorders>
          </w:tcPr>
          <w:p>
            <w:pPr>
              <w:jc w:val="center"/>
              <w:ind w:right="110"/>
              <w:spacing w:after="0" w:line="133" w:lineRule="exact"/>
              <w:rPr>
                <w:sz w:val="20"/>
                <w:szCs w:val="20"/>
                <w:color w:val="auto"/>
              </w:rPr>
            </w:pPr>
            <w:r>
              <w:rPr>
                <w:rFonts w:ascii="Times New Roman" w:cs="Times New Roman" w:eastAsia="Times New Roman" w:hAnsi="Times New Roman"/>
                <w:sz w:val="14"/>
                <w:szCs w:val="14"/>
                <w:b w:val="1"/>
                <w:bCs w:val="1"/>
                <w:color w:val="auto"/>
              </w:rPr>
              <w:t>recorded on</w:t>
            </w: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recovery of</w:t>
            </w:r>
          </w:p>
        </w:tc>
        <w:tc>
          <w:tcPr>
            <w:tcW w:w="1020" w:type="dxa"/>
            <w:vAlign w:val="bottom"/>
            <w:vMerge w:val="continue"/>
          </w:tcPr>
          <w:p>
            <w:pPr>
              <w:spacing w:after="0"/>
              <w:rPr>
                <w:sz w:val="11"/>
                <w:szCs w:val="11"/>
                <w:color w:val="auto"/>
              </w:rPr>
            </w:pPr>
          </w:p>
        </w:tc>
        <w:tc>
          <w:tcPr>
            <w:tcW w:w="740" w:type="dxa"/>
            <w:vAlign w:val="bottom"/>
          </w:tcPr>
          <w:p>
            <w:pPr>
              <w:jc w:val="center"/>
              <w:ind w:left="30"/>
              <w:spacing w:after="0" w:line="133" w:lineRule="exact"/>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40" w:type="dxa"/>
            <w:vAlign w:val="bottom"/>
          </w:tcPr>
          <w:p>
            <w:pPr>
              <w:spacing w:after="0"/>
              <w:rPr>
                <w:sz w:val="12"/>
                <w:szCs w:val="12"/>
                <w:color w:val="auto"/>
              </w:rPr>
            </w:pPr>
          </w:p>
        </w:tc>
        <w:tc>
          <w:tcPr>
            <w:tcW w:w="9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10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PCD financial</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10"/>
              <w:spacing w:after="0" w:line="143"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9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sold during the</w:t>
            </w:r>
          </w:p>
        </w:tc>
        <w:tc>
          <w:tcPr>
            <w:tcW w:w="100" w:type="dxa"/>
            <w:vAlign w:val="bottom"/>
          </w:tcPr>
          <w:p>
            <w:pPr>
              <w:spacing w:after="0"/>
              <w:rPr>
                <w:sz w:val="12"/>
                <w:szCs w:val="12"/>
                <w:color w:val="auto"/>
              </w:rPr>
            </w:pPr>
          </w:p>
        </w:tc>
        <w:tc>
          <w:tcPr>
            <w:tcW w:w="2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amortized cost  charged against</w:t>
            </w:r>
          </w:p>
        </w:tc>
        <w:tc>
          <w:tcPr>
            <w:tcW w:w="740" w:type="dxa"/>
            <w:vAlign w:val="bottom"/>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assets (1)</w:t>
            </w:r>
          </w:p>
        </w:tc>
        <w:tc>
          <w:tcPr>
            <w:tcW w:w="1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impaired securities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the allowance</w:t>
            </w:r>
          </w:p>
        </w:tc>
        <w:tc>
          <w:tcPr>
            <w:tcW w:w="7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written off</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2"/>
              </w:rPr>
              <w:t>End of Per</w:t>
            </w:r>
          </w:p>
        </w:tc>
        <w:tc>
          <w:tcPr>
            <w:tcW w:w="0" w:type="dxa"/>
            <w:vAlign w:val="bottom"/>
          </w:tcPr>
          <w:p>
            <w:pPr>
              <w:spacing w:after="0"/>
              <w:rPr>
                <w:sz w:val="1"/>
                <w:szCs w:val="1"/>
                <w:color w:val="auto"/>
              </w:rPr>
            </w:pPr>
          </w:p>
        </w:tc>
      </w:tr>
      <w:tr>
        <w:trPr>
          <w:trHeight w:val="119"/>
        </w:trPr>
        <w:tc>
          <w:tcPr>
            <w:tcW w:w="168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Available-for-sale</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7"/>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Commercial mortgage-</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backed securities</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right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(3)</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auto"/>
            </w:tcBorders>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backed securities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68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Total available-for-sale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97"/>
              </w:rPr>
              <w:t>(8)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right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credit losses</w:t>
            </w:r>
          </w:p>
        </w:tc>
        <w:tc>
          <w:tcPr>
            <w:tcW w:w="100" w:type="dxa"/>
            <w:vAlign w:val="bottom"/>
          </w:tcPr>
          <w:p>
            <w:pPr>
              <w:spacing w:after="0"/>
              <w:rPr>
                <w:sz w:val="11"/>
                <w:szCs w:val="11"/>
                <w:color w:val="auto"/>
              </w:rPr>
            </w:pPr>
          </w:p>
        </w:tc>
        <w:tc>
          <w:tcPr>
            <w:tcW w:w="1080" w:type="dxa"/>
            <w:vAlign w:val="bottom"/>
          </w:tcPr>
          <w:p>
            <w:pPr>
              <w:jc w:val="center"/>
              <w:ind w:right="10"/>
              <w:spacing w:after="0" w:line="127" w:lineRule="exact"/>
              <w:rPr>
                <w:sz w:val="20"/>
                <w:szCs w:val="20"/>
                <w:color w:val="auto"/>
              </w:rPr>
            </w:pPr>
            <w:r>
              <w:rPr>
                <w:rFonts w:ascii="Times New Roman" w:cs="Times New Roman" w:eastAsia="Times New Roman" w:hAnsi="Times New Roman"/>
                <w:sz w:val="14"/>
                <w:szCs w:val="14"/>
                <w:b w:val="1"/>
                <w:bCs w:val="1"/>
                <w:color w:val="auto"/>
              </w:rPr>
              <w:t>For initial credit</w:t>
            </w:r>
          </w:p>
        </w:tc>
        <w:tc>
          <w:tcPr>
            <w:tcW w:w="160" w:type="dxa"/>
            <w:vAlign w:val="bottom"/>
          </w:tcPr>
          <w:p>
            <w:pPr>
              <w:spacing w:after="0"/>
              <w:rPr>
                <w:sz w:val="11"/>
                <w:szCs w:val="11"/>
                <w:color w:val="auto"/>
              </w:rPr>
            </w:pPr>
          </w:p>
        </w:tc>
        <w:tc>
          <w:tcPr>
            <w:tcW w:w="106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For securities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on securities for</w:t>
            </w:r>
          </w:p>
        </w:tc>
        <w:tc>
          <w:tcPr>
            <w:tcW w:w="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160" w:type="dxa"/>
            <w:vAlign w:val="bottom"/>
          </w:tcPr>
          <w:p>
            <w:pPr>
              <w:spacing w:after="0"/>
              <w:rPr>
                <w:sz w:val="12"/>
                <w:szCs w:val="12"/>
                <w:color w:val="auto"/>
              </w:rPr>
            </w:pPr>
          </w:p>
        </w:tc>
        <w:tc>
          <w:tcPr>
            <w:tcW w:w="1060" w:type="dxa"/>
            <w:vAlign w:val="bottom"/>
            <w:tcBorders>
              <w:right w:val="single" w:sz="8" w:color="auto"/>
            </w:tcBorders>
          </w:tcPr>
          <w:p>
            <w:pPr>
              <w:jc w:val="center"/>
              <w:ind w:right="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reductions in</w:t>
            </w:r>
          </w:p>
        </w:tc>
        <w:tc>
          <w:tcPr>
            <w:tcW w:w="180" w:type="dxa"/>
            <w:vAlign w:val="bottom"/>
          </w:tcPr>
          <w:p>
            <w:pPr>
              <w:spacing w:after="0"/>
              <w:rPr>
                <w:sz w:val="12"/>
                <w:szCs w:val="12"/>
                <w:color w:val="auto"/>
              </w:rPr>
            </w:pPr>
          </w:p>
        </w:tc>
        <w:tc>
          <w:tcPr>
            <w:tcW w:w="1960" w:type="dxa"/>
            <w:vAlign w:val="bottom"/>
            <w:gridSpan w:val="2"/>
          </w:tcPr>
          <w:p>
            <w:pPr>
              <w:jc w:val="center"/>
              <w:ind w:left="6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intended/required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Recoveries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0" w:type="dxa"/>
            <w:vAlign w:val="bottom"/>
          </w:tcPr>
          <w:p>
            <w:pPr>
              <w:spacing w:after="0"/>
              <w:rPr>
                <w:sz w:val="11"/>
                <w:szCs w:val="11"/>
                <w:color w:val="auto"/>
              </w:rPr>
            </w:pPr>
          </w:p>
        </w:tc>
        <w:tc>
          <w:tcPr>
            <w:tcW w:w="920" w:type="dxa"/>
            <w:vAlign w:val="bottom"/>
          </w:tcPr>
          <w:p>
            <w:pPr>
              <w:jc w:val="center"/>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which losses</w:t>
            </w:r>
          </w:p>
        </w:tc>
        <w:tc>
          <w:tcPr>
            <w:tcW w:w="100" w:type="dxa"/>
            <w:vAlign w:val="bottom"/>
          </w:tcPr>
          <w:p>
            <w:pPr>
              <w:spacing w:after="0"/>
              <w:rPr>
                <w:sz w:val="11"/>
                <w:szCs w:val="11"/>
                <w:color w:val="auto"/>
              </w:rPr>
            </w:pPr>
          </w:p>
        </w:tc>
        <w:tc>
          <w:tcPr>
            <w:tcW w:w="108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1"/>
                <w:szCs w:val="11"/>
                <w:color w:val="auto"/>
              </w:rPr>
            </w:pPr>
          </w:p>
        </w:tc>
        <w:tc>
          <w:tcPr>
            <w:tcW w:w="1060" w:type="dxa"/>
            <w:vAlign w:val="bottom"/>
            <w:tcBorders>
              <w:right w:val="single" w:sz="8" w:color="auto"/>
            </w:tcBorders>
          </w:tcPr>
          <w:p>
            <w:pPr>
              <w:jc w:val="center"/>
              <w:ind w:right="110"/>
              <w:spacing w:after="0" w:line="133"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1"/>
                <w:szCs w:val="11"/>
                <w:color w:val="auto"/>
              </w:rPr>
            </w:pPr>
          </w:p>
        </w:tc>
        <w:tc>
          <w:tcPr>
            <w:tcW w:w="1960" w:type="dxa"/>
            <w:vAlign w:val="bottom"/>
            <w:gridSpan w:val="2"/>
          </w:tcPr>
          <w:p>
            <w:pPr>
              <w:jc w:val="center"/>
              <w:ind w:left="610"/>
              <w:spacing w:after="0" w:line="133" w:lineRule="exact"/>
              <w:rPr>
                <w:sz w:val="20"/>
                <w:szCs w:val="20"/>
                <w:color w:val="auto"/>
              </w:rPr>
            </w:pPr>
            <w:r>
              <w:rPr>
                <w:rFonts w:ascii="Times New Roman" w:cs="Times New Roman" w:eastAsia="Times New Roman" w:hAnsi="Times New Roman"/>
                <w:sz w:val="14"/>
                <w:szCs w:val="14"/>
                <w:b w:val="1"/>
                <w:bCs w:val="1"/>
                <w:color w:val="auto"/>
              </w:rPr>
              <w:t>to be sold prior to</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rPr>
              <w:t>were not</w:t>
            </w:r>
          </w:p>
        </w:tc>
        <w:tc>
          <w:tcPr>
            <w:tcW w:w="10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accounted for as</w:t>
            </w:r>
          </w:p>
        </w:tc>
        <w:tc>
          <w:tcPr>
            <w:tcW w:w="160" w:type="dxa"/>
            <w:vAlign w:val="bottom"/>
          </w:tcPr>
          <w:p>
            <w:pPr>
              <w:spacing w:after="0"/>
              <w:rPr>
                <w:sz w:val="12"/>
                <w:szCs w:val="12"/>
                <w:color w:val="auto"/>
              </w:rPr>
            </w:pPr>
          </w:p>
        </w:tc>
        <w:tc>
          <w:tcPr>
            <w:tcW w:w="1060" w:type="dxa"/>
            <w:vAlign w:val="bottom"/>
            <w:tcBorders>
              <w:right w:val="single" w:sz="8" w:color="auto"/>
            </w:tcBorders>
          </w:tcPr>
          <w:p>
            <w:pPr>
              <w:jc w:val="center"/>
              <w:ind w:right="110"/>
              <w:spacing w:after="0" w:line="143" w:lineRule="exact"/>
              <w:rPr>
                <w:sz w:val="20"/>
                <w:szCs w:val="20"/>
                <w:color w:val="auto"/>
              </w:rPr>
            </w:pPr>
            <w:r>
              <w:rPr>
                <w:rFonts w:ascii="Times New Roman" w:cs="Times New Roman" w:eastAsia="Times New Roman" w:hAnsi="Times New Roman"/>
                <w:sz w:val="14"/>
                <w:szCs w:val="14"/>
                <w:b w:val="1"/>
                <w:bCs w:val="1"/>
                <w:color w:val="auto"/>
              </w:rPr>
              <w:t>recorded on</w:t>
            </w:r>
          </w:p>
        </w:tc>
        <w:tc>
          <w:tcPr>
            <w:tcW w:w="104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For securities</w:t>
            </w:r>
          </w:p>
        </w:tc>
        <w:tc>
          <w:tcPr>
            <w:tcW w:w="1100" w:type="dxa"/>
            <w:vAlign w:val="bottom"/>
          </w:tcPr>
          <w:p>
            <w:pPr>
              <w:jc w:val="center"/>
              <w:ind w:right="110"/>
              <w:spacing w:after="0" w:line="143"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amounts</w:t>
            </w:r>
          </w:p>
        </w:tc>
        <w:tc>
          <w:tcPr>
            <w:tcW w:w="140" w:type="dxa"/>
            <w:vAlign w:val="bottom"/>
          </w:tcPr>
          <w:p>
            <w:pPr>
              <w:spacing w:after="0"/>
              <w:rPr>
                <w:sz w:val="12"/>
                <w:szCs w:val="12"/>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92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100" w:type="dxa"/>
            <w:vAlign w:val="bottom"/>
          </w:tcPr>
          <w:p>
            <w:pPr>
              <w:spacing w:after="0"/>
              <w:rPr>
                <w:sz w:val="12"/>
                <w:szCs w:val="12"/>
                <w:color w:val="auto"/>
              </w:rPr>
            </w:pPr>
          </w:p>
        </w:tc>
        <w:tc>
          <w:tcPr>
            <w:tcW w:w="108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PCD financial</w:t>
            </w:r>
          </w:p>
        </w:tc>
        <w:tc>
          <w:tcPr>
            <w:tcW w:w="160" w:type="dxa"/>
            <w:vAlign w:val="bottom"/>
          </w:tcPr>
          <w:p>
            <w:pPr>
              <w:spacing w:after="0"/>
              <w:rPr>
                <w:sz w:val="12"/>
                <w:szCs w:val="12"/>
                <w:color w:val="auto"/>
              </w:rPr>
            </w:pPr>
          </w:p>
        </w:tc>
        <w:tc>
          <w:tcPr>
            <w:tcW w:w="1060" w:type="dxa"/>
            <w:vAlign w:val="bottom"/>
            <w:tcBorders>
              <w:right w:val="single" w:sz="8" w:color="auto"/>
            </w:tcBorders>
          </w:tcPr>
          <w:p>
            <w:pPr>
              <w:jc w:val="center"/>
              <w:ind w:right="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10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sold during the</w:t>
            </w:r>
          </w:p>
        </w:tc>
        <w:tc>
          <w:tcPr>
            <w:tcW w:w="20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amortized cost  charged against</w:t>
            </w:r>
          </w:p>
        </w:tc>
        <w:tc>
          <w:tcPr>
            <w:tcW w:w="100" w:type="dxa"/>
            <w:vAlign w:val="bottom"/>
          </w:tcPr>
          <w:p>
            <w:pPr>
              <w:spacing w:after="0"/>
              <w:rPr>
                <w:sz w:val="12"/>
                <w:szCs w:val="12"/>
                <w:color w:val="auto"/>
              </w:rPr>
            </w:pPr>
          </w:p>
        </w:tc>
        <w:tc>
          <w:tcPr>
            <w:tcW w:w="94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previously</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recorded</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 (1)</w:t>
            </w:r>
          </w:p>
        </w:tc>
        <w:tc>
          <w:tcPr>
            <w:tcW w:w="12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impaired 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the allowance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written off</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19"/>
        </w:trPr>
        <w:tc>
          <w:tcPr>
            <w:tcW w:w="168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Available-for-sale</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backed securities</w:t>
            </w:r>
          </w:p>
        </w:tc>
        <w:tc>
          <w:tcPr>
            <w:tcW w:w="1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9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backed securities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68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Total available-for-sale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106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Purchased credit deteriorated financial assets ("PCD")</w:t>
      </w:r>
    </w:p>
    <w:p>
      <w:pPr>
        <w:spacing w:after="0" w:line="240"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PCDs are AFS securities purchased at a discount, where part of that discount is attributable to credit. Credit loss allowances are calculated for these securities as of the date of their acquisition, with the initial allowance serving to increase amortized cost. There were no purchases of PCD AFS securities during the three months ended March 31, 2022 or 2021.</w:t>
      </w:r>
    </w:p>
    <w:p>
      <w:pPr>
        <w:spacing w:after="0" w:line="27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March 31, 2022 and December 31, 2021 were as follows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80" w:type="dxa"/>
            <w:vAlign w:val="bottom"/>
          </w:tcPr>
          <w:p>
            <w:pPr>
              <w:spacing w:after="0"/>
              <w:rPr>
                <w:sz w:val="16"/>
                <w:szCs w:val="16"/>
                <w:color w:val="auto"/>
              </w:rPr>
            </w:pPr>
          </w:p>
        </w:tc>
        <w:tc>
          <w:tcPr>
            <w:tcW w:w="244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7"/>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19,667</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21,866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position twelve months or longer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80" w:type="dxa"/>
            <w:vAlign w:val="bottom"/>
          </w:tcPr>
          <w:p>
            <w:pPr>
              <w:spacing w:after="0"/>
              <w:rPr>
                <w:sz w:val="16"/>
                <w:szCs w:val="16"/>
                <w:color w:val="auto"/>
              </w:rPr>
            </w:pPr>
          </w:p>
        </w:tc>
        <w:tc>
          <w:tcPr>
            <w:tcW w:w="244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position twelve months or longer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position</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determined the increase in unrealized losses as of March 31, 2022 was caused by higher treasury rates as well as wider spreads. This is in part due to the Federal Reserve's action to increase rates in efforts to combat inflation. Inflation in the first quarter of 2022 has been compounded by supply chain issues stemming from additional COVID-19 restrictions in China, as well as higher energy prices as a result of the Russian-Ukrainian conflict. For securities in an unrealized loss position as of March 31, 2022, our allowance for expected credit loss was $11 million. We believe that unrealized loss position for which we have not recorded an allowance for expected credit loss as of March 31, 2022 was primarily attributable to interest rate increases, near-term illiquidity, and uncertainty caused by Russia's invasion of Ukraine as opposed to issuer specific credit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Commercial Mortgage Loans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7% of our total investments as of March 31, 2022.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3"/>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4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Gross Carrying Value</w:t>
            </w:r>
          </w:p>
        </w:tc>
        <w:tc>
          <w:tcPr>
            <w:tcW w:w="120" w:type="dxa"/>
            <w:vAlign w:val="bottom"/>
          </w:tcPr>
          <w:p>
            <w:pPr>
              <w:spacing w:after="0"/>
              <w:rPr>
                <w:sz w:val="16"/>
                <w:szCs w:val="16"/>
                <w:color w:val="auto"/>
              </w:rPr>
            </w:pP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84"/>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Hotel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 - General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Mixed Use</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Student Housing</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1"/>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7"/>
        </w:trPr>
        <w:tc>
          <w:tcPr>
            <w:tcW w:w="4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Region:</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East North Central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East South Central</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Middle Atlantic</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Mountain</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England</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Pacific</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Atlantic</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9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North Central</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West South Central</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1"/>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474"/>
        <w:spacing w:after="0" w:line="289" w:lineRule="auto"/>
        <w:rPr>
          <w:sz w:val="20"/>
          <w:szCs w:val="20"/>
          <w:color w:val="auto"/>
        </w:rPr>
      </w:pPr>
      <w:r>
        <w:rPr>
          <w:rFonts w:ascii="Times New Roman" w:cs="Times New Roman" w:eastAsia="Times New Roman" w:hAnsi="Times New Roman"/>
          <w:sz w:val="16"/>
          <w:szCs w:val="16"/>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74"/>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recorded investment in CMLs by LTV and DSC ratio categories and estimated fair value by the indicated loan-to-value ratios at March 31, 2022 and December 31, 2021 (dollars in millions)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69215</wp:posOffset>
            </wp:positionV>
            <wp:extent cx="48710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7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66"/>
        </w:trPr>
        <w:tc>
          <w:tcPr>
            <w:tcW w:w="3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8"/>
              </w:rPr>
              <w:t>&lt;1.00</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LTV Ratios: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50% to 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60% to 75%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91"/>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75% to 85%</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2"/>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LTV Ratios: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50% to 60%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60% to 75%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At March 31, 2022 we had one CML that was delinquent in principal or interest payments as shown in the risk rating exposure table below. At December 31, 2021 we had no CMLs that were delinquent in principal or interest payments.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37" w:lineRule="exact"/>
        <w:rPr>
          <w:sz w:val="20"/>
          <w:szCs w:val="20"/>
          <w:color w:val="auto"/>
        </w:rPr>
      </w:pPr>
    </w:p>
    <w:p>
      <w:pPr>
        <w:jc w:val="both"/>
        <w:ind w:firstLine="386"/>
        <w:spacing w:after="0" w:line="250" w:lineRule="auto"/>
        <w:rPr>
          <w:sz w:val="20"/>
          <w:szCs w:val="20"/>
          <w:color w:val="auto"/>
        </w:rPr>
      </w:pPr>
      <w:r>
        <w:rPr>
          <w:rFonts w:ascii="Times New Roman" w:cs="Times New Roman" w:eastAsia="Times New Roman" w:hAnsi="Times New Roman"/>
          <w:sz w:val="18"/>
          <w:szCs w:val="18"/>
          <w:color w:val="auto"/>
        </w:rPr>
        <w:t>We estimate expected credit losses for our commercial mortgage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unaudited Condensed Consolidated Statements of Earnings.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Residential Mortgage Loans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Residential mortgage loans ("RMLs") represented approximately 5% of our total investments as of March 31, 2022.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States (1)</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equal to or less than 5% as of March 31, 2022.</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states (1)</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The individual concentration of each state is less than 9% as of December 31, 2021.</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7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of March 31, 2022 and December 31, 2021, was as follows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8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20" w:type="dxa"/>
            <w:vAlign w:val="bottom"/>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 gross of valuation allowance</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mortgage loans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segregated by risk rating exposure as of March 31, 2022 and December 31, 2021,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72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76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Over 90 days past due</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7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7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 90 days past due</w:t>
            </w: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66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Over 90 days past due</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6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 90 days past due</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w:t>
            </w:r>
          </w:p>
        </w:tc>
        <w:tc>
          <w:tcPr>
            <w:tcW w:w="7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to 60%</w:t>
            </w:r>
          </w:p>
        </w:tc>
        <w:tc>
          <w:tcPr>
            <w:tcW w:w="7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780" w:type="dxa"/>
            <w:vAlign w:val="bottom"/>
          </w:tcPr>
          <w:p>
            <w:pPr>
              <w:spacing w:after="0"/>
              <w:rPr>
                <w:sz w:val="16"/>
                <w:szCs w:val="16"/>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 to 75%</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75% to 85%</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76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7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7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3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
        </w:trPr>
        <w:tc>
          <w:tcPr>
            <w:tcW w:w="3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38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50%</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to 60%</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6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 to 75%</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6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loans by amortized cost as of March 31, 2022 and December 31, 2021, were as follows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36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36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loans</w:t>
            </w: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months ended March 31, 2022 and 2021.</w:t>
      </w:r>
    </w:p>
    <w:p>
      <w:pPr>
        <w:spacing w:after="0" w:line="135"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As of March 31, 2022 and December 31, 2021, we had $63 million and $72 million, respectively, of mortgage loans that were over 90 days past due, of which $39 million was in the process of foreclosure for both periods. We will continue to evaluate these policies with regard to the economic challenges for mortgage debtors related to COVID-19. Our ability to initiate foreclosure proceedings may be limited by legislation passed and executive orders issued in response to COVID-19.</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estimate expected credit losses for our residential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allowances for our mortgage loan portfolio is summarized as follows (in millions):</w:t>
      </w:r>
    </w:p>
    <w:p>
      <w:pPr>
        <w:spacing w:after="0" w:line="15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060" w:type="dxa"/>
            <w:vAlign w:val="bottom"/>
            <w:gridSpan w:val="7"/>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92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20" w:type="dxa"/>
            <w:vAlign w:val="bottom"/>
          </w:tcPr>
          <w:p>
            <w:pPr>
              <w:spacing w:after="0"/>
              <w:rPr>
                <w:sz w:val="11"/>
                <w:szCs w:val="11"/>
                <w:color w:val="auto"/>
              </w:rPr>
            </w:pPr>
          </w:p>
        </w:tc>
        <w:tc>
          <w:tcPr>
            <w:tcW w:w="78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4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9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2"/>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8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060" w:type="dxa"/>
            <w:vAlign w:val="bottom"/>
            <w:gridSpan w:val="7"/>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92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4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1"/>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222"/>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2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5"/>
                <w:szCs w:val="15"/>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9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7"/>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2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7"/>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gains on fixed maturity available-for-sale securities</w:t>
            </w: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equity securities (1)</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on preferred securities (2)</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losses on other invested assets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5"/>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gains on certain derivative instruments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0"/>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losses on certain derivative instruments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5"/>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1"/>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 (losses) on derivatives and embedded derivatives</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7"/>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5"/>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$166 million and and $46 million for the three months ended March 31, 2022 and 2021, respectively.</w:t>
      </w:r>
    </w:p>
    <w:p>
      <w:pPr>
        <w:spacing w:after="0" w:line="2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$90 million and $3 million for the three months ended March 21, 2022 and 2021, respectively.</w:t>
      </w:r>
    </w:p>
    <w:p>
      <w:pPr>
        <w:spacing w:after="0" w:line="10" w:lineRule="exact"/>
        <w:rPr>
          <w:rFonts w:ascii="Times New Roman" w:cs="Times New Roman" w:eastAsia="Times New Roman" w:hAnsi="Times New Roman"/>
          <w:sz w:val="14"/>
          <w:szCs w:val="14"/>
          <w:color w:val="auto"/>
        </w:rPr>
      </w:pPr>
    </w:p>
    <w:p>
      <w:pPr>
        <w:ind w:firstLine="5"/>
        <w:spacing w:after="0" w:line="250" w:lineRule="auto"/>
        <w:tabs>
          <w:tab w:leader="none" w:pos="2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 with Kubera (novated from Kubera to Sommerset effective October 31, 2021) and Aspida Re.</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proceeds from the sale of fixed-maturity securities and the gross gains and losses associated with those transactions were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7"/>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own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3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 xml:space="preserve">Our maximum exposure to loss with respect to these VIEs is limited to the investment carrying amounts reported in our unaudited Condensed Consolidated Balance Sheets for limited partnerships and the amortized costs of our fixed maturity securities, in addition to any required unfunded commitments (also refer to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carrying value and the maximum loss exposure of our unconsolidated VIEs as of March 31, 2022 and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276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70"/>
              <w:spacing w:after="0" w:line="127"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70"/>
              <w:spacing w:after="0" w:line="127"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limited partnerships</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12,802</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Cannae Holdings, Inc. ("Cannae")</w:t>
      </w:r>
    </w:p>
    <w:p>
      <w:pPr>
        <w:spacing w:after="0" w:line="113"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Included in equity securities as of March 31, 2022 and December 31, 2021 are 4,775,598 and 5,775,598 shares, respectively, of Cannae common stock (NYSE: CNNE). The fair value of this investment based on quoted market prices is $114 million and $203 million as of March 31, 2022 and December 31, 2021, respectively. During the three months ended March 31, 2022, we sold 1 million shares of CNNE common stock back to Cannae for approximately $24 million in the aggregate. In order to maintain the tax-free treatment of the November 17, 2017 split-off of Cannae from us, we are obligated to dispose of our remaining shares of CNNE common stock by November 17,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7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carrying amounts of derivative instruments, including derivative instruments embedded in FIA/IUL contracts, and reinsurance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46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Call options</w:t>
            </w:r>
          </w:p>
        </w:tc>
        <w:tc>
          <w:tcPr>
            <w:tcW w:w="1420" w:type="dxa"/>
            <w:vAlign w:val="bottom"/>
          </w:tcPr>
          <w:p>
            <w:pPr>
              <w:jc w:val="right"/>
              <w:ind w:right="127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w:t>
            </w:r>
          </w:p>
        </w:tc>
        <w:tc>
          <w:tcPr>
            <w:tcW w:w="142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9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29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change in fair value of derivative instruments included in the accompanying unaudited Condensed Consolidated Statements of Earnings is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340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7460" w:type="dxa"/>
            <w:vAlign w:val="bottom"/>
          </w:tcPr>
          <w:p>
            <w:pPr>
              <w:spacing w:after="0"/>
              <w:rPr>
                <w:sz w:val="15"/>
                <w:szCs w:val="15"/>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380" w:type="dxa"/>
            <w:vAlign w:val="bottom"/>
            <w:tcBorders>
              <w:bottom w:val="single" w:sz="8" w:color="auto"/>
            </w:tcBorders>
          </w:tcPr>
          <w:p>
            <w:pPr>
              <w:spacing w:after="0"/>
              <w:rPr>
                <w:sz w:val="15"/>
                <w:szCs w:val="15"/>
                <w:color w:val="auto"/>
              </w:rPr>
            </w:pPr>
          </w:p>
        </w:tc>
      </w:tr>
      <w:tr>
        <w:trPr>
          <w:trHeight w:val="16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gains (losses):</w:t>
            </w: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4"/>
        </w:trPr>
        <w:tc>
          <w:tcPr>
            <w:tcW w:w="7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7"/>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Call options</w:t>
            </w:r>
          </w:p>
        </w:tc>
        <w:tc>
          <w:tcPr>
            <w:tcW w:w="146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0"/>
        </w:trPr>
        <w:tc>
          <w:tcPr>
            <w:tcW w:w="7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Futures contracts</w:t>
            </w:r>
          </w:p>
        </w:tc>
        <w:tc>
          <w:tcPr>
            <w:tcW w:w="1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0"/>
        </w:trPr>
        <w:tc>
          <w:tcPr>
            <w:tcW w:w="7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derivatives and embedded derivatives</w:t>
            </w:r>
          </w:p>
        </w:tc>
        <w:tc>
          <w:tcPr>
            <w:tcW w:w="1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4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investment gains (losses)</w:t>
            </w:r>
          </w:p>
        </w:tc>
        <w:tc>
          <w:tcPr>
            <w:tcW w:w="146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77"/>
        </w:trPr>
        <w:tc>
          <w:tcPr>
            <w:tcW w:w="7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9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1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222"/>
        </w:trPr>
        <w:tc>
          <w:tcPr>
            <w:tcW w:w="7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FIA/ IUL embedded derivatives</w:t>
            </w:r>
          </w:p>
        </w:tc>
        <w:tc>
          <w:tcPr>
            <w:tcW w:w="146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FIA/IUL Embedded Derivative and Call Options and Futures</w:t>
      </w:r>
    </w:p>
    <w:p>
      <w:pPr>
        <w:spacing w:after="0" w:line="150" w:lineRule="exact"/>
        <w:rPr>
          <w:sz w:val="20"/>
          <w:szCs w:val="20"/>
          <w:color w:val="auto"/>
        </w:rPr>
      </w:pPr>
    </w:p>
    <w:p>
      <w:pPr>
        <w:jc w:val="both"/>
        <w:ind w:firstLine="434"/>
        <w:spacing w:after="0" w:line="271" w:lineRule="auto"/>
        <w:rPr>
          <w:sz w:val="20"/>
          <w:szCs w:val="20"/>
          <w:color w:val="auto"/>
        </w:rPr>
      </w:pPr>
      <w:r>
        <w:rPr>
          <w:rFonts w:ascii="Times New Roman" w:cs="Times New Roman" w:eastAsia="Times New Roman" w:hAnsi="Times New Roman"/>
          <w:sz w:val="16"/>
          <w:szCs w:val="16"/>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w:t>
      </w:r>
    </w:p>
    <w:p>
      <w:pPr>
        <w:spacing w:after="0" w:line="11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purchase derivatives consisting of a combination of call options and futures contracts (specifically for FIA contracts) on the applicable market indices to fund the index credits due to FIA/IUL contractholders. The call options are one, two, three, and five year options purchased to match the funding requirements of the underlying policies. On the respective anniversary dates of the index policies, the index used to compute the interest credit is reset and we purchase new call options to fund the next index credit. We manage the cost of these purchases through the terms of our FIA/IUL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3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call options we hold is presented in the following table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276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0"/>
                <w:szCs w:val="10"/>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1"/>
        </w:trPr>
        <w:tc>
          <w:tcPr>
            <w:tcW w:w="3140" w:type="dxa"/>
            <w:vAlign w:val="bottom"/>
            <w:vMerge w:val="continue"/>
          </w:tcPr>
          <w:p>
            <w:pPr>
              <w:spacing w:after="0"/>
              <w:rPr>
                <w:sz w:val="16"/>
                <w:szCs w:val="16"/>
                <w:color w:val="auto"/>
              </w:rPr>
            </w:pPr>
          </w:p>
        </w:tc>
        <w:tc>
          <w:tcPr>
            <w:tcW w:w="2760" w:type="dxa"/>
            <w:vAlign w:val="bottom"/>
            <w:gridSpan w:val="2"/>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(Fitch/Moody's/S&amp;P) (1)</w:t>
            </w:r>
          </w:p>
        </w:tc>
        <w:tc>
          <w:tcPr>
            <w:tcW w:w="2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AA/*/A+</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*/Aa3/A+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AA/Aa2/A+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A+/A1/BBB+</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A/A2/BBB+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760" w:type="dxa"/>
            <w:vAlign w:val="bottom"/>
            <w:tcBorders>
              <w:bottom w:val="single" w:sz="8" w:color="CCEEFF"/>
            </w:tcBorders>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A+/A2/A</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276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Credit Rating</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2760" w:type="dxa"/>
            <w:vAlign w:val="bottom"/>
            <w:gridSpan w:val="2"/>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(Fitch/Moody's/S&amp;P) (1)</w:t>
            </w:r>
          </w:p>
        </w:tc>
        <w:tc>
          <w:tcPr>
            <w:tcW w:w="2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AA/*/A+</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*/Aa3/A+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AA/Aa2/A+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A+/A1/BBB+</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76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8"/>
              </w:rPr>
              <w:t>A/A2/BBB+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7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A/A1/A+</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760" w:type="dxa"/>
            <w:vAlign w:val="bottom"/>
            <w:tcBorders>
              <w:bottom w:val="single" w:sz="8" w:color="CCEEFF"/>
            </w:tcBorders>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A+/A2/A</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An * represents credit ratings that were not available.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2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March 31, 2022 and December 31, 2021 counterparties posted $472 million and $790 million, respectively, of collateral of which $364 million and $576 million, respectively, is included in cash and cash equivalents with an associated payable for this collateral included in accounts payable and accrued liabilities on the unaudited Condensed Consolidated Balance Sheet. Accordingly, the maximum amount of loss due to credit risk that we would incur if parties to the call options failed completely to perform according to the terms of the contracts was $40 million at March 31, 2022 and $42 million at December 31, 2021.</w:t>
      </w:r>
    </w:p>
    <w:p>
      <w:pPr>
        <w:spacing w:after="0" w:line="10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10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held 309 and 329 futures contracts at March 31, 2022 and December 31, 2021,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$3 million at March 31, 2022 and December 31, 2021.</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2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F&amp;G entered into a reinsurance agreement with Kubera effective December 31, 2018, to cede certain multi-year guaranteed annuity ("MYGA") and deferred annuity business on a coinsurance funds withheld basis, net of applicable existing reinsurance. Effective October 31, 2021, this agreement was novated from Kubera to Somerset. Additionally, F&amp;G entered into a reinsurance agreement with Aspida Re effective January 1, 2021, to cede a quota share of certain deferred annuity business on a funds withheld basis. Fair value movements in the funds withheld balances associated with these arrangements creates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 is based on the change in fair value of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underlying assets held in the funds withheld portfolio. Investment results for the assets that support the coinsurance with funds withheld reinsurance arrangements, including gains and losses from sales, were passed directly to the reinsurers pursuant to contractual terms of the reinsurance arrangements. The reinsurance related embedded derivatives are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78"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207" w:lineRule="exact"/>
        <w:rPr>
          <w:sz w:val="20"/>
          <w:szCs w:val="20"/>
          <w:color w:val="auto"/>
        </w:rPr>
      </w:pPr>
    </w:p>
    <w:p>
      <w:pPr>
        <w:jc w:val="both"/>
        <w:ind w:firstLine="316"/>
        <w:spacing w:after="0" w:line="232"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$15 million and $12 million as of March 31, 2022 and December 31, 2021,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97" w:lineRule="exact"/>
        <w:rPr>
          <w:sz w:val="20"/>
          <w:szCs w:val="20"/>
          <w:color w:val="auto"/>
        </w:rPr>
      </w:pPr>
    </w:p>
    <w:p>
      <w:pPr>
        <w:jc w:val="both"/>
        <w:ind w:firstLine="347"/>
        <w:spacing w:after="0" w:line="232" w:lineRule="auto"/>
        <w:rPr>
          <w:sz w:val="20"/>
          <w:szCs w:val="20"/>
          <w:color w:val="auto"/>
        </w:rPr>
      </w:pPr>
      <w:r>
        <w:rPr>
          <w:rFonts w:ascii="Times New Roman" w:cs="Times New Roman" w:eastAsia="Times New Roman" w:hAnsi="Times New Roman"/>
          <w:sz w:val="18"/>
          <w:szCs w:val="18"/>
          <w:color w:val="auto"/>
        </w:rPr>
        <w:t xml:space="preserve">Two lawsuits have been filed related to FNF’s acquisition of F&amp;G. On August 4, 2020, a stockholder derivative lawsuit styled, </w:t>
      </w:r>
      <w:r>
        <w:rPr>
          <w:rFonts w:ascii="Times New Roman" w:cs="Times New Roman" w:eastAsia="Times New Roman" w:hAnsi="Times New Roman"/>
          <w:sz w:val="18"/>
          <w:szCs w:val="18"/>
          <w:i w:val="1"/>
          <w:iCs w:val="1"/>
          <w:color w:val="auto"/>
        </w:rPr>
        <w:t>City of Miami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 and Sanitation Employees’ Retirement Trust v. Fidelity National Financial, et al.</w:t>
      </w:r>
      <w:r>
        <w:rPr>
          <w:rFonts w:ascii="Times New Roman" w:cs="Times New Roman" w:eastAsia="Times New Roman" w:hAnsi="Times New Roman"/>
          <w:sz w:val="18"/>
          <w:szCs w:val="18"/>
          <w:color w:val="auto"/>
        </w:rPr>
        <w:t>, was filed in the Court of Chancery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Company, its Board of Directors and others alleging breach of fiduciary duties as directors and officers relating to FNF’s acquisition of F&amp;G. The Company's Board of Directors (“Board”) designated a Special Litigation Committee (the “SLC”) consisting of three of the Board’s Directors, and has authorized the SLC, among other things, to investigate and evaluate the claims and allegations asserted in the lawsuit. The Board gave the SLC the sole authority and power to consider and determine whether or not prosecution of the claims asserted in the lawsuit is in the best interest of the Company and its shareholders, and what action we should take with respect to the lawsuit. On January 24, 2022, the SLC, acting on behalf of FNF, and the other parties to the lawsuit reached an agreement in principle to settle the action subject to various terms and conditions. On April 1, 2022, the parties entered into a definitive settlement agreement, which was filed with the court. The settlement has been presented to the court for approval, with a hearing scheduled for June 21, 2022, and if approved, is expected to be finalized shortly thereafter.</w:t>
      </w:r>
    </w:p>
    <w:p>
      <w:pPr>
        <w:spacing w:after="0" w:line="210" w:lineRule="exact"/>
        <w:rPr>
          <w:sz w:val="20"/>
          <w:szCs w:val="20"/>
          <w:color w:val="auto"/>
        </w:rPr>
      </w:pPr>
    </w:p>
    <w:p>
      <w:pPr>
        <w:jc w:val="both"/>
        <w:ind w:firstLine="347"/>
        <w:spacing w:after="0" w:line="268" w:lineRule="auto"/>
        <w:rPr>
          <w:sz w:val="20"/>
          <w:szCs w:val="20"/>
          <w:color w:val="auto"/>
        </w:rPr>
      </w:pPr>
      <w:r>
        <w:rPr>
          <w:rFonts w:ascii="Times New Roman" w:cs="Times New Roman" w:eastAsia="Times New Roman" w:hAnsi="Times New Roman"/>
          <w:sz w:val="16"/>
          <w:szCs w:val="16"/>
          <w:color w:val="auto"/>
        </w:rPr>
        <w:t>On August 17, 2020, a lawsuit styled</w:t>
      </w:r>
      <w:r>
        <w:rPr>
          <w:rFonts w:ascii="Times New Roman" w:cs="Times New Roman" w:eastAsia="Times New Roman" w:hAnsi="Times New Roman"/>
          <w:sz w:val="16"/>
          <w:szCs w:val="16"/>
          <w:i w:val="1"/>
          <w:iCs w:val="1"/>
          <w:color w:val="auto"/>
        </w:rPr>
        <w:t>, In the Matter of FGL Holdings</w:t>
      </w:r>
      <w:r>
        <w:rPr>
          <w:rFonts w:ascii="Times New Roman" w:cs="Times New Roman" w:eastAsia="Times New Roman" w:hAnsi="Times New Roman"/>
          <w:sz w:val="16"/>
          <w:szCs w:val="16"/>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The parties have exchanged expert reports, and the matter is scheduled for trial during the second quarter of 2022. We do not believe the result in either case will have a material adverse effect on our financial condition.</w:t>
      </w:r>
    </w:p>
    <w:p>
      <w:pPr>
        <w:spacing w:after="0" w:line="185" w:lineRule="exact"/>
        <w:rPr>
          <w:sz w:val="20"/>
          <w:szCs w:val="20"/>
          <w:color w:val="auto"/>
        </w:rPr>
      </w:pPr>
    </w:p>
    <w:p>
      <w:pPr>
        <w:jc w:val="both"/>
        <w:ind w:firstLine="347"/>
        <w:spacing w:after="0" w:line="241"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 Commitments</w:t>
      </w:r>
    </w:p>
    <w:p>
      <w:pPr>
        <w:spacing w:after="0" w:line="8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our F&amp;G segment, we have unfunded investment commitments as of March 31, 2022 based upon the timing of when investments are executed compared to when the actual investments are funded, as some investments require that funding occur over a period of months or years. A summary of unfunded commitments by invested asset class as of March 31, 2022 is included below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4"/>
        </w:trPr>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8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Limited partnerships</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Whole loans</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0"/>
        </w:trPr>
        <w:tc>
          <w:tcPr>
            <w:tcW w:w="8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Fixed maturity securities, ABS</w:t>
            </w:r>
          </w:p>
        </w:tc>
        <w:tc>
          <w:tcPr>
            <w:tcW w:w="4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1"/>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On May 10, 2022, our Board of Directors declared cash dividends of $0.44 per share, payable on June 30, 2022, to FNF common shareholders of record as of June 16,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March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Corporate and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7"/>
        </w:trPr>
        <w:tc>
          <w:tcPr>
            <w:tcW w:w="7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Title</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F&amp;G</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6"/>
        </w:trPr>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2"/>
                <w:szCs w:val="12"/>
                <w:color w:val="auto"/>
              </w:rPr>
              <w:t>(In millions)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1,866</w:t>
            </w:r>
          </w:p>
        </w:tc>
      </w:tr>
      <w:tr>
        <w:trPr>
          <w:trHeight w:val="19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1,290</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3,156</w:t>
            </w:r>
          </w:p>
        </w:tc>
      </w:tr>
      <w:tr>
        <w:trPr>
          <w:trHeight w:val="19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3,165</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r>
      <w:tr>
        <w:trPr>
          <w:trHeight w:val="20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(loss) of unconsolidated affiliates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552</w:t>
            </w:r>
          </w:p>
        </w:tc>
      </w:tr>
      <w:tr>
        <w:trPr>
          <w:trHeight w:val="20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397</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60,857</w:t>
            </w:r>
          </w:p>
        </w:tc>
      </w:tr>
      <w:tr>
        <w:trPr>
          <w:trHeight w:val="18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March 31,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Corporate and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7"/>
        </w:trPr>
        <w:tc>
          <w:tcPr>
            <w:tcW w:w="7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Title</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F&amp;G</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6"/>
        </w:trPr>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2"/>
                <w:szCs w:val="12"/>
                <w:color w:val="auto"/>
              </w:rPr>
              <w:t>(In millions)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1,804</w:t>
            </w:r>
          </w:p>
        </w:tc>
      </w:tr>
      <w:tr>
        <w:trPr>
          <w:trHeight w:val="19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851</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2,655</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445</w:t>
            </w:r>
          </w:p>
        </w:tc>
      </w:tr>
      <w:tr>
        <w:trPr>
          <w:trHeight w:val="19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3,100</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w:t>
            </w:r>
          </w:p>
        </w:tc>
      </w:tr>
      <w:tr>
        <w:trPr>
          <w:trHeight w:val="20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757</w:t>
            </w:r>
          </w:p>
        </w:tc>
      </w:tr>
      <w:tr>
        <w:trPr>
          <w:trHeight w:val="20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(loss) of unconsolidated affiliates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591</w:t>
            </w:r>
          </w:p>
        </w:tc>
      </w:tr>
      <w:tr>
        <w:trPr>
          <w:trHeight w:val="19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51,489</w:t>
            </w:r>
          </w:p>
        </w:tc>
      </w:tr>
      <w:tr>
        <w:trPr>
          <w:trHeight w:val="18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4,498</w:t>
            </w:r>
          </w:p>
        </w:tc>
      </w:tr>
    </w:tbl>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67" w:lineRule="exact"/>
        <w:rPr>
          <w:sz w:val="20"/>
          <w:szCs w:val="20"/>
          <w:color w:val="auto"/>
        </w:rPr>
      </w:pPr>
    </w:p>
    <w:p>
      <w:pPr>
        <w:ind w:left="640" w:hanging="398"/>
        <w:spacing w:after="0" w:line="257" w:lineRule="auto"/>
        <w:tabs>
          <w:tab w:leader="none" w:pos="633" w:val="left"/>
        </w:tabs>
        <w:numPr>
          <w:ilvl w:val="0"/>
          <w:numId w:val="9"/>
        </w:numPr>
        <w:rPr>
          <w:rFonts w:ascii="Calibri" w:cs="Calibri" w:eastAsia="Calibri" w:hAnsi="Calibri"/>
          <w:sz w:val="19"/>
          <w:szCs w:val="19"/>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including loan sub-servicing, valuations, default services, and home warranty products.</w:t>
      </w:r>
    </w:p>
    <w:p>
      <w:pPr>
        <w:spacing w:after="0" w:line="201" w:lineRule="exact"/>
        <w:rPr>
          <w:rFonts w:ascii="Calibri" w:cs="Calibri" w:eastAsia="Calibri" w:hAnsi="Calibri"/>
          <w:sz w:val="19"/>
          <w:szCs w:val="19"/>
          <w:color w:val="auto"/>
        </w:rPr>
      </w:pPr>
    </w:p>
    <w:p>
      <w:pPr>
        <w:jc w:val="both"/>
        <w:ind w:left="640" w:hanging="398"/>
        <w:spacing w:after="0" w:line="257"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and life products, including deferred annuities (fixed indexed and fixed rate annuities), immediate annuities and indexed universal life insurance. This segment also provides funding agreements and pension risk transfer solutions ("PRT").</w:t>
      </w:r>
    </w:p>
    <w:p>
      <w:pPr>
        <w:spacing w:after="0" w:line="124" w:lineRule="exact"/>
        <w:rPr>
          <w:rFonts w:ascii="Times New Roman" w:cs="Times New Roman" w:eastAsia="Times New Roman" w:hAnsi="Times New Roman"/>
          <w:sz w:val="18"/>
          <w:szCs w:val="18"/>
          <w:color w:val="auto"/>
        </w:rPr>
      </w:pPr>
    </w:p>
    <w:p>
      <w:pPr>
        <w:jc w:val="both"/>
        <w:ind w:left="640" w:hanging="398"/>
        <w:spacing w:after="0" w:line="257"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sales inducements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proceeds of sales of investments available for sale receivable in period</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purchases of investments available for sale payable in period</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recognized in exchange for lease right-of-use assets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Remeasurement of lease liabilities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6"/>
        </w:trPr>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34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6"/>
                <w:szCs w:val="16"/>
                <w:color w:val="auto"/>
              </w:rPr>
            </w:pPr>
          </w:p>
        </w:tc>
        <w:tc>
          <w:tcPr>
            <w:tcW w:w="1740" w:type="dxa"/>
            <w:vAlign w:val="bottom"/>
            <w:gridSpan w:val="4"/>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0" w:type="dxa"/>
            <w:vAlign w:val="bottom"/>
          </w:tcPr>
          <w:p>
            <w:pPr>
              <w:spacing w:after="0"/>
              <w:rPr>
                <w:sz w:val="1"/>
                <w:szCs w:val="1"/>
                <w:color w:val="auto"/>
              </w:rPr>
            </w:pPr>
          </w:p>
        </w:tc>
      </w:tr>
      <w:tr>
        <w:trPr>
          <w:trHeight w:val="24"/>
        </w:trPr>
        <w:tc>
          <w:tcPr>
            <w:tcW w:w="3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insurance contracts:</w:t>
            </w:r>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343"/>
              <w:spacing w:after="0"/>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160"/>
        </w:trPr>
        <w:tc>
          <w:tcPr>
            <w:tcW w:w="3960" w:type="dxa"/>
            <w:vAlign w:val="bottom"/>
            <w:gridSpan w:val="2"/>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Life insurance premiums, insurance and investment</w:t>
            </w:r>
          </w:p>
        </w:tc>
        <w:tc>
          <w:tcPr>
            <w:tcW w:w="3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F&amp;G</w:t>
            </w: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1"/>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fees, and other</w:t>
            </w:r>
          </w:p>
        </w:tc>
        <w:tc>
          <w:tcPr>
            <w:tcW w:w="3440" w:type="dxa"/>
            <w:vAlign w:val="bottom"/>
            <w:gridSpan w:val="2"/>
            <w:vMerge w:val="continue"/>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Home warranty</w:t>
            </w:r>
          </w:p>
        </w:tc>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6"/>
        </w:trPr>
        <w:tc>
          <w:tcPr>
            <w:tcW w:w="3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from insurance contracts</w:t>
            </w: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0" w:type="dxa"/>
            <w:vAlign w:val="bottom"/>
          </w:tcPr>
          <w:p>
            <w:pPr>
              <w:spacing w:after="0"/>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Escrow fees</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title-related fees and income</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60"/>
        </w:trPr>
        <w:tc>
          <w:tcPr>
            <w:tcW w:w="3960" w:type="dxa"/>
            <w:vAlign w:val="bottom"/>
            <w:gridSpan w:val="2"/>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ServiceLink, excluding title premiums, escrow fees, and</w:t>
            </w:r>
          </w:p>
        </w:tc>
        <w:tc>
          <w:tcPr>
            <w:tcW w:w="3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1"/>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subservicing fees</w:t>
            </w:r>
          </w:p>
        </w:tc>
        <w:tc>
          <w:tcPr>
            <w:tcW w:w="3440" w:type="dxa"/>
            <w:vAlign w:val="bottom"/>
            <w:gridSpan w:val="2"/>
            <w:vMerge w:val="continue"/>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 technology</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Corporate and other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2"/>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 subservicing revenue</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2"/>
              </w:rPr>
              <w:t>Title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Various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8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Various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36"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36"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101" w:lineRule="exact"/>
        <w:rPr>
          <w:sz w:val="20"/>
          <w:szCs w:val="20"/>
          <w:color w:val="auto"/>
        </w:rPr>
      </w:pPr>
    </w:p>
    <w:p>
      <w:pPr>
        <w:jc w:val="both"/>
        <w:ind w:firstLine="434"/>
        <w:spacing w:after="0" w:line="238" w:lineRule="auto"/>
        <w:rPr>
          <w:sz w:val="20"/>
          <w:szCs w:val="20"/>
          <w:color w:val="auto"/>
        </w:rPr>
      </w:pPr>
      <w:r>
        <w:rPr>
          <w:rFonts w:ascii="Times New Roman" w:cs="Times New Roman" w:eastAsia="Times New Roman" w:hAnsi="Times New Roman"/>
          <w:sz w:val="18"/>
          <w:szCs w:val="18"/>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3"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4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5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9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78"/>
        </w:trPr>
        <w:tc>
          <w:tcPr>
            <w:tcW w:w="6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gridSpan w:val="2"/>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80" w:type="dxa"/>
            <w:vAlign w:val="bottom"/>
          </w:tcPr>
          <w:p>
            <w:pPr>
              <w:spacing w:after="0"/>
              <w:rPr>
                <w:sz w:val="15"/>
                <w:szCs w:val="15"/>
                <w:color w:val="auto"/>
              </w:rPr>
            </w:pPr>
          </w:p>
        </w:tc>
      </w:tr>
      <w:tr>
        <w:trPr>
          <w:trHeight w:val="23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8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231</w:t>
            </w: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87"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ended March 31, 2022 and March 31, 2021, we recognized $38 million and $41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Deferred Acquisition Costs and Deferred Sales Inducements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changes in the carrying amounts of our VOBA, DAC and DSI intangible assets is as follows (in millions):</w:t>
      </w:r>
    </w:p>
    <w:p>
      <w:pPr>
        <w:spacing w:after="0" w:line="129"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VOBA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DAC</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DSI</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Deferrals</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1"/>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Adjustment for net unrealized investment (gains) losses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VOBA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DAC</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DSI</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Deferrals</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net unrealized investment (gains) losses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right="100" w:firstLine="395"/>
        <w:spacing w:after="0" w:line="267" w:lineRule="auto"/>
        <w:rPr>
          <w:sz w:val="20"/>
          <w:szCs w:val="20"/>
          <w:color w:val="auto"/>
        </w:rPr>
      </w:pPr>
      <w:r>
        <w:rPr>
          <w:rFonts w:ascii="Times New Roman" w:cs="Times New Roman" w:eastAsia="Times New Roman" w:hAnsi="Times New Roman"/>
          <w:sz w:val="16"/>
          <w:szCs w:val="16"/>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March 31, 2022 and March 31, 2021, the VOBA balances included cumulative adjustments for net unrealized investment gains (losses) of $(86) million and $152 million, respectively, the DAC balances included cumulative adjustments for net unrealized investment gains (losses) of $(49) million and $30 million, respectively, and the DSI balance included net unrealized investment gains (losses) of $(15) million and $4 million, respectively.</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in-force liabilities as of March 31, 2022, the estimated amortization expense for VOBA in future fiscal periods is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90"/>
        </w:trPr>
        <w:tc>
          <w:tcPr>
            <w:tcW w:w="9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59"/>
        </w:trPr>
        <w:tc>
          <w:tcPr>
            <w:tcW w:w="9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9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5"/>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5"/>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3"/>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Pr>
          <w:p>
            <w:pPr>
              <w:spacing w:after="0"/>
              <w:rPr>
                <w:sz w:val="15"/>
                <w:szCs w:val="15"/>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23"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If the underlying policy being reinsured is an insurance contract,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w:t>
      </w:r>
    </w:p>
    <w:p>
      <w:pPr>
        <w:spacing w:after="0" w:line="3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three months ended March 31, 2022 and March 31, 2021 were as follows (in millions):</w:t>
      </w:r>
    </w:p>
    <w:p>
      <w:pPr>
        <w:sectPr>
          <w:pgSz w:w="11900" w:h="16838" w:orient="portrait"/>
          <w:cols w:equalWidth="0" w:num="1">
            <w:col w:w="11240"/>
          </w:cols>
          <w:pgMar w:left="320" w:top="121" w:right="339" w:bottom="1440" w:gutter="0" w:footer="0" w:header="0"/>
        </w:sectPr>
      </w:pPr>
    </w:p>
    <w:p>
      <w:pPr>
        <w:spacing w:after="0" w:line="111"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30480</wp:posOffset>
            </wp:positionV>
            <wp:extent cx="13785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30"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37465</wp:posOffset>
            </wp:positionV>
            <wp:extent cx="13620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4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 2021</w:t>
      </w:r>
    </w:p>
    <w:p>
      <w:pPr>
        <w:spacing w:after="0" w:line="28"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1140" w:type="dxa"/>
            <w:vAlign w:val="bottom"/>
            <w:tcBorders>
              <w:top w:val="single" w:sz="8" w:color="auto"/>
            </w:tcBorders>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00" w:type="dxa"/>
            <w:vAlign w:val="bottom"/>
          </w:tcPr>
          <w:p>
            <w:pPr>
              <w:spacing w:after="0"/>
              <w:rPr>
                <w:sz w:val="12"/>
                <w:szCs w:val="12"/>
                <w:color w:val="auto"/>
              </w:rPr>
            </w:pPr>
          </w:p>
        </w:tc>
        <w:tc>
          <w:tcPr>
            <w:tcW w:w="1120" w:type="dxa"/>
            <w:vAlign w:val="bottom"/>
            <w:tcBorders>
              <w:top w:val="single" w:sz="8" w:color="auto"/>
            </w:tcBorders>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20" w:type="dxa"/>
            <w:vAlign w:val="bottom"/>
          </w:tcPr>
          <w:p>
            <w:pPr>
              <w:spacing w:after="0"/>
              <w:rPr>
                <w:sz w:val="16"/>
                <w:szCs w:val="16"/>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5"/>
              </w:rPr>
              <w:t>513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9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color w:val="auto"/>
                <w:w w:val="98"/>
              </w:rPr>
              <w:t>(305)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222"/>
        </w:trPr>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5"/>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F&amp;G did not write off any significant reinsurance balances during the three months ended March 31, 2022 and March 31, 2021. F&amp;G did not commute any ceded reinsurance treaties during the three months ended March 31, 2022 and March 31, 2021.</w:t>
      </w:r>
    </w:p>
    <w:p>
      <w:pPr>
        <w:spacing w:after="0" w:line="48" w:lineRule="exact"/>
        <w:rPr>
          <w:sz w:val="20"/>
          <w:szCs w:val="20"/>
          <w:color w:val="auto"/>
        </w:rPr>
      </w:pPr>
    </w:p>
    <w:p>
      <w:pPr>
        <w:jc w:val="both"/>
        <w:ind w:firstLine="316"/>
        <w:spacing w:after="0" w:line="293" w:lineRule="auto"/>
        <w:rPr>
          <w:sz w:val="20"/>
          <w:szCs w:val="20"/>
          <w:color w:val="auto"/>
        </w:rPr>
      </w:pPr>
      <w:r>
        <w:rPr>
          <w:rFonts w:ascii="Times New Roman" w:cs="Times New Roman" w:eastAsia="Times New Roman" w:hAnsi="Times New Roman"/>
          <w:sz w:val="16"/>
          <w:szCs w:val="16"/>
          <w:color w:val="auto"/>
        </w:rPr>
        <w:t>Following the adoption of ASC 326, 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March 31, 2022 and March 31, 2021, the expected credit loss reserve was $20 million and $21 million, respectively. There were no changes in the expected credit loss reserve during the three months ended March 31, 2022 and March 31, 2021.</w:t>
      </w:r>
    </w:p>
    <w:p>
      <w:pPr>
        <w:spacing w:after="0" w:line="36"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No policies issued by F&amp;G have been reinsured with any foreign company, which is controlled, either directly or indirectly, by a party not primarily engaged in the business of insurance.</w:t>
      </w:r>
    </w:p>
    <w:p>
      <w:pPr>
        <w:spacing w:after="0" w:line="5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38"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On January 15, 2021, F&amp;G executed a Funds Withheld Coinsurance Agreement with ASPIDA Life Re Ltd ("Aspida Re"), a Bermuda reinsurer. In accordance with the terms of this agreement, F&amp;G cedes to the reinsurer, on a fifty percent (50%) funds withheld coinsurance basis, certain multiyear guaranteed annuity business written effective January 1, 2021. The effects of this agreement are accounted for as a separate investment contract.</w:t>
      </w:r>
    </w:p>
    <w:p>
      <w:pPr>
        <w:spacing w:after="0" w:line="61"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F&amp;G has an indemnity reinsurance agreement with Hannover Life Reassurance Company of America (Bermuda) Ltd. ("Hannover Re"), a third party reinsurer, to cede a quota share percentage of the net retention of guarantee payments in excess of account value for guaranteed minimum withdrawal benefit ("GMWB") and guaranteed minimum death benefit ("GMDB") guarantees associated with an in-force block of its FIA and fixed deferred annuity contracts. The effects of this agreement are not accounted for as reinsurance as it does not satisfy the risk transfer requirements for GAAP; therefore, deposit accounting is applied. F&amp;G incurred risk charge fees of $5 million during the three months ended March 31, 2022 and March 31, 2021 in relation to this reinsurance agreement.</w:t>
      </w:r>
    </w:p>
    <w:p>
      <w:pPr>
        <w:spacing w:after="0" w:line="67"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F&amp;G has a reinsurance agreement with Kubera to cede certain FIA statutory reserves on a coinsurance funds withheld basis, net of applicable existing reinsurance. In accordance with the terms of this agreement, F&amp;G cedes a quota share percentage of FIA policies for certain issue years to Kubera. Effective October 31, 2021, this agreement was amended to increase the ceded reserves from approximately $4 billion to approximately $10 billion. As the policies ceded to Kubera are investment contracts, there is no significant insurance risk present and therefore the reinsurance agreement is accounted for as a separate investment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contract. F&amp;G incurred risk charge fees of $4 million and $1 million during the three months ended March 31, 2022 and March 31, 2021, respectively, in relation to this reinsurance agreement.</w:t>
      </w:r>
    </w:p>
    <w:p>
      <w:pPr>
        <w:spacing w:after="0" w:line="38"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Effective May 1, 2020, F&amp;G entered into an indemnity reinsurance agreement with Canada Life Assurance Company United States Branch, a third party reinsurer, to reinsure FIA policies with GMWB. In accordance with the terms of this agreement, F&amp;G cedes a quota share percentage of the net retention of guarantee payments in excess of account value for GMWB. This treaty was subsequently amended effective January 1, 2021 and January 1, 2022, and now covers FIA policies with GMWB issued from January 1, 2020 to December 31, 2023. The effects of this agreement are not accounted for as reinsurance as it does not satisfy the risk transfer requirements for GAAP; therefore, deposit accounting is applied. F&amp;G incurred risk charge fees of $1 million and $0 million during the three months ended March 31, 2022 and March 31, 2021, respectively, in relation to this reinsurance agreement.</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8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F&amp;G has a significant concentration of reinsurance risk with third party reinsurers, Wilton Reassurance Company (“Wilton Re”), Aspida Re, and Somerset that could have a material impact on our financial position in the event that any of these reinsurers fails to perform its obligations under the various reinsurance treaties. Wilton Re is a wholly-owned subsidiary of Canada Pension Plan Investment Board ("CPPIB"). CPPIB has an AAA issuer credit rating from Standard &amp; Poor's Ratings Services ("S&amp;P") as of March 31, 2022. Aspida Re has an A- issuer credit rating from AM Best and a BBB issuer credit rating from Fitch as of March 31, 2022, and the risk of non-performance is further mitigated through the funds withheld arrangement. Somerset has an A- issuer credit rating from AM Best and a BBB+ issuer credit rating from S&amp;P as of March 31, 2022, and the risk of non-performance is further mitigated through the funds withheld arrangement. At March 31, 2022, the net amounts recoverable from Wilton Re, Aspida Re, and Somerset were $1,279 million, $1,103 million, and $727 million, respectively. We monitor both the financial condition of individual reinsurers and risk concentration arising from similar activities and economic characteristics of reinsurers to attempt to reduce the risk of default by such reinsurers. We believe that all amounts due from Wilton Re, Aspida Re, and Somerset for periodic treaty settlements are collectible as of March 31, 2022.</w:t>
      </w:r>
    </w:p>
    <w:p>
      <w:pPr>
        <w:spacing w:after="0" w:line="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other material changes in the reinsurance and the intercompany reinsurance agreements described in our Annual Report on Form 10-K for the year ended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U.S. insurance subsidiaries, FGL Insurance,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F&amp;G Cayman Re Ltd and F&amp;G Life Re Ltd (Bermuda) file financial statements with their respective regulators that are based on U.S. GAAP.</w:t>
      </w:r>
    </w:p>
    <w:p>
      <w:pPr>
        <w:spacing w:after="0" w:line="8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$135 million and $106 million decrease to statutory capital and surplus at March 31, 2022 and December 31, 2021, respectively.</w:t>
      </w:r>
    </w:p>
    <w:p>
      <w:pPr>
        <w:spacing w:after="0" w:line="5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FGL Insurance’s statutory carrying value of Raven Reinsurance Company ("Raven Re") reflects the effect of permitted practices Raven Re received to treat the available amount of a letter of credit as an admitted asset which increased Raven Re’s statutory capital and surplus by $65 million and $85 million at March 31, 2022 and December 31, 2021, respectively.</w:t>
      </w:r>
    </w:p>
    <w:p>
      <w:pPr>
        <w:spacing w:after="0" w:line="4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Raven Re is also permitted to follow Iowa prescribed statutory accounting practice for its reserves on reinsurance assumed from FGL Insurance. Without such permitted statutory accounting practices, Raven Re’s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statutory capital and surplus (deficit) and its risk-based capital would not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$95 million and $115 million at March 31, 2022 and December 31, 2021, respectively.</w:t>
      </w:r>
    </w:p>
    <w:p>
      <w:pPr>
        <w:spacing w:after="0" w:line="5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2022, FGL NY Insurance did not follow any prescribed or permitted statutory accounting practices that differ from the NAIC's statutory accounting practices.</w:t>
      </w:r>
    </w:p>
    <w:p>
      <w:pPr>
        <w:spacing w:after="0" w:line="3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our completed F&amp;G acquisition on relationships, including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2021 and other filings with the SEC.</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9"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in Note A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 the accompanying unaudited Condensed Consolidated Financial Statements included in Item 1 of Part I of this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Part I, Item 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which includes sales, mortgage financing and mortgage refinancing. Declines in the level of real estate activity or the average price of real estate sales will adversely affect our title insurance revenues.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6"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most recent forecast of the Mortgage Bankers Association ("MBA"), as of April 13, 2022, estimates (actual for fiscal year 2021) the size of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originations market as shown in the following table for 2021 - 2024 in its "Mortgage Finance Forecast" (in trillions):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transactions</w:t>
            </w: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Refinance transactions</w:t>
            </w:r>
          </w:p>
        </w:tc>
        <w:tc>
          <w:tcPr>
            <w:tcW w:w="6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As of April 13, 2022, the MBA expects residential purchase transactions to slightly increase in 2022 and beyond. Additionally the MBA expects residential refinance transactions to decrease in 2022 and beyond as interest rates are expected to rise while the supply of refinance candidates decreases. The MBA expects overall mortgage originations to decrease in 2022 and then remain relatively flat through 2024.</w:t>
      </w:r>
    </w:p>
    <w:p>
      <w:pPr>
        <w:spacing w:after="0" w:line="6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Following the Federal Reserve's emergency action to reduce its benchmark interest rate to near zero in response to COVID-19, there was an increase in purchase activity and a surge in refinance activity beginning in the second quarter of 2020 and continuing through 2021. In the second half of 2021, refinance activity began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slow as the population of eligible refinance candidates declined and interest rates slightly increased. While refinance activity declined in the second half of 2021, it still exceeded pre-pandemic activity levels. Purchase activity remained strong throughout 2021 with variations in activity being consistent with historical seasonality.</w:t>
      </w:r>
    </w:p>
    <w:p>
      <w:pPr>
        <w:spacing w:after="0" w:line="61"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A shortage in the supply of homes for sale, increasing home prices, rising mortgage interest rates, inflation and disrupted labor markets created some volatility in the residential real estate market in 2021 and the beginning of 2022. Additionally, geopolitical uncertainties associated with the war in the Ukraine have created additional volatility in the global economy in the first half of 2022. Existing-home sales decreased 3% in the three months ended March 31, 2022 as compared to the corresponding period in 2021 while median existing-home sales prices rose to $361,533 in the three months ended March 31, 2022, a 15 % increase over of the corresponding period in 2021. Total housing inventory as of March 31, 2022 totaled 950,00 units, down 9.5% from the corresponding period in 2021.</w:t>
      </w:r>
    </w:p>
    <w:p>
      <w:pPr>
        <w:spacing w:after="0" w:line="54"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During the first quarter of 2022 the Federal Reserve raised the benchmark interest rate by 25 basis points in an effort to combat inflation, the first increase since 2018. Average interest rates for a 30-year fixed rate mortgage rose to 3.8% for the three months ended March 31, 2022 as compared to 2.9% for the corresponding period of 2021. Mortgage interest rates have continued to increase in the second quarter of 2022, surpassing 5% in April, their highest levels since 2010. In May, the Federal Reserve further raised the benchmark interest rate by an additional 50 basis points.</w:t>
      </w:r>
    </w:p>
    <w:p>
      <w:pPr>
        <w:spacing w:after="0" w:line="6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and consumer confidence, have continued to improve. The unemployment rate was 3.6% in March 2022, which was near the record low of 3.5% in February 2020, as compared to 6.0% in March 2021. Consumer confidence, which has remained volatile since the outbreak of COVID-19, was relatively high as of March 2022, supported by strong employment growth despite geopolitical uncertainties and concerns over inflation.</w:t>
      </w:r>
    </w:p>
    <w:p>
      <w:pPr>
        <w:spacing w:after="0" w:line="65"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2022 and 2021, we experienced strong demand in commercial real estate markets and therefore experienced relatively high volumes and fee-per-file in our commercial business when compared to historical results. In the first quarter of 2022 our average fee per file was $13,248, a first quarter all-time high, as compared to $11,290 in the corresponding period in 2021.</w:t>
      </w:r>
    </w:p>
    <w:p>
      <w:pPr>
        <w:spacing w:after="0" w:line="46" w:lineRule="exact"/>
        <w:rPr>
          <w:sz w:val="20"/>
          <w:szCs w:val="20"/>
          <w:color w:val="auto"/>
        </w:rPr>
      </w:pPr>
    </w:p>
    <w:p>
      <w:pPr>
        <w:jc w:val="both"/>
        <w:ind w:firstLine="316"/>
        <w:spacing w:after="0" w:line="235"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61"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 Due to COVID-19 and the Federal Reserve's action to reduce the benchmark rate to near zero in response to the pandemic, seasonality deviated from historical patterns in 2021.</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1"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4"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While still evolving, the COVID-19 pandemic has caused significant economic and financial turmoil in the U.S. and around the world. At this time, it is still not possible to estimate the longer term-effects the COVID-19 pandemic could have on our F&amp;G segment or our consolidated financial statements. Increased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economic uncertainty and increased unemployment that could potentially result from the spread of COVID-19 and its variants may result in F&amp;G policyholders seeking sources of liquidity and withdrawing at rates greater than was previously expected. Additionally, adverse events or conditions resulting from COVID-19 could also have a negative effect on its sales of new policies and could result in more volatility from the impact of mortality experience. As of March 31, 2022, F&amp;G has not seen a sustained elevated level of adverse policyholder experience from the impact of COVID-19 on the overall business. The full extent to which the COVID-19 pandemic impacts our F&amp;G segment's financial condition, results of operations, liquidity or prospects will depend on future developments which cannot be predicted at this time.</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8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2021 for further discussion of risk factors that could affect market conditions.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87"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Some of our F&amp;G products include guaranteed minimum crediting rates, most notably our fixed rate annuities. As of March 31, 2022, our reserves, net of reinsurance, and average crediting rate on our fixed rate annuities were $5.0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7A of Part II of our Annual Report on Form 10-K for the year ended December 31, 2021 for a more detailed discussion of interest rate risk.</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Aging of the U.S. Population</w:t>
      </w:r>
    </w:p>
    <w:p>
      <w:pPr>
        <w:spacing w:after="0" w:line="8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believe that the aging of the U.S. population will increase the demand for our fixed indexed annuities ("FIA") and indexed universal life ("IUL") products. As the “baby boomer” generation prepares for retirement, we believe that demand for retirement savings, growth, and income products will grow. It is projected that over 10,000 people will turn 65 each day in the United States over the next 15 years, and according to the U.S. Census Bureau, the proportion of the U.S. population over the age of 65 is expected to grow from 17% in 2021 to 21% in 2035. The impact of this growth may be offset to some extent by asset outflows as an increasing percentage of the population begins withdrawing assets to convert their savings into income.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87"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Accordingly, the FIA market grew from nearly $12 billion of sales in 2002 to $66 billion of sales in 2021. Additionally, this market demand has positively impacted the IUL market as it has expanded from $100 million of annual premiums in 2002 to $2 billion of annual premiums in 2021.</w:t>
      </w:r>
    </w:p>
    <w:p>
      <w:pPr>
        <w:spacing w:after="0" w:line="54"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2021 for a more detailed discussion of industry factors and trends affecting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4"/>
        </w:trPr>
        <w:tc>
          <w:tcPr>
            <w:tcW w:w="83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1"/>
        </w:trPr>
        <w:tc>
          <w:tcPr>
            <w:tcW w:w="8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880" w:type="dxa"/>
            <w:vAlign w:val="bottom"/>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1,058</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4"/>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7"/>
        </w:trPr>
        <w:tc>
          <w:tcPr>
            <w:tcW w:w="8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3,165</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3,100</w:t>
            </w:r>
          </w:p>
        </w:tc>
      </w:tr>
      <w:tr>
        <w:trPr>
          <w:trHeight w:val="21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and other changes in policy reserves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Agent commissions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83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2,613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2,343</w:t>
            </w:r>
          </w:p>
        </w:tc>
      </w:tr>
      <w:tr>
        <w:trPr>
          <w:trHeight w:val="21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 and equity in earnings of unconsolidated affiliates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8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revenues increased by $65 million in the three months ended March 31, 2022 compared to the corresponding period in 2021.</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earnings decreased by $205 million in the three months ended March 31, 2022 compared to the corresponding period in 2021.</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3" w:lineRule="exact"/>
        <w:rPr>
          <w:sz w:val="20"/>
          <w:szCs w:val="20"/>
          <w:color w:val="auto"/>
        </w:rPr>
      </w:pPr>
    </w:p>
    <w:p>
      <w:pPr>
        <w:jc w:val="both"/>
        <w:ind w:firstLine="316"/>
        <w:spacing w:after="0" w:line="244"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streams. However, a short-term lag exists in reducing controllable fixed costs and certain fixed costs are incurred regardless of revenue levels.</w:t>
      </w:r>
    </w:p>
    <w:p>
      <w:pPr>
        <w:spacing w:after="0" w:line="109"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0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09" w:lineRule="exact"/>
        <w:rPr>
          <w:sz w:val="20"/>
          <w:szCs w:val="20"/>
          <w:color w:val="auto"/>
        </w:rPr>
      </w:pPr>
    </w:p>
    <w:p>
      <w:pPr>
        <w:jc w:val="both"/>
        <w:ind w:firstLine="316"/>
        <w:spacing w:after="0" w:line="239" w:lineRule="auto"/>
        <w:rPr>
          <w:sz w:val="20"/>
          <w:szCs w:val="20"/>
          <w:color w:val="auto"/>
        </w:rPr>
      </w:pPr>
      <w:r>
        <w:rPr>
          <w:rFonts w:ascii="Times New Roman" w:cs="Times New Roman" w:eastAsia="Times New Roman" w:hAnsi="Times New Roman"/>
          <w:sz w:val="18"/>
          <w:szCs w:val="18"/>
          <w:color w:val="auto"/>
        </w:rPr>
        <w:t>Income tax expense was $155 million and $166 million in the three months ended March 31, 2022 and 2021, respectively. Income tax expense as a percentage of earnings before income taxes was 28% and 22% in the three months ended March 31, 2022 and 2021, respectively. The increase in income tax expense as a percentage of earnings before taxes in the three months ended March 31, 2022 as compared to the corresponding period in 2021 is primarily attributable to the recording of a valuation allowance in the 2022 period for tax benefits associated with deferred tax assets, related to realized losses on the past sales of discontinued operations, for which it is more likely than not that we will not be able to realize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4"/>
        </w:trPr>
        <w:tc>
          <w:tcPr>
            <w:tcW w:w="83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84"/>
        </w:trPr>
        <w:tc>
          <w:tcPr>
            <w:tcW w:w="8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23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1,058</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7"/>
        </w:trPr>
        <w:tc>
          <w:tcPr>
            <w:tcW w:w="8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2,519</w:t>
            </w:r>
          </w:p>
        </w:tc>
      </w:tr>
      <w:tr>
        <w:trPr>
          <w:trHeight w:val="22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Agent commissions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4"/>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7"/>
        </w:trPr>
        <w:tc>
          <w:tcPr>
            <w:tcW w:w="8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2,134</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2,080</w:t>
            </w:r>
          </w:p>
        </w:tc>
      </w:tr>
      <w:tr>
        <w:trPr>
          <w:trHeight w:val="21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and equity in earnings of unconsolidated affiliates</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 opened by direct title operations (in thousands)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Orders closed by direct title operations (in thousands)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per file (in dollars)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2,891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1,944</w:t>
            </w: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Total revenues for the Title segment decreased by $136 million, or 5%, in the three months ended March 31, 2022 from the corresponding period in 2021.</w:t>
      </w: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premiums from direct operations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Title premiums from agency operations</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title premiums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8"/>
        </w:trPr>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15"/>
                <w:szCs w:val="15"/>
                <w:color w:val="auto"/>
              </w:rPr>
            </w:pPr>
          </w:p>
        </w:tc>
      </w:tr>
      <w:tr>
        <w:trPr>
          <w:trHeight w:val="231"/>
        </w:trPr>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59</w:t>
            </w:r>
          </w:p>
        </w:tc>
      </w:tr>
      <w:tr>
        <w:trPr>
          <w:trHeight w:val="217"/>
        </w:trPr>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-467360</wp:posOffset>
            </wp:positionV>
            <wp:extent cx="7135495" cy="142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-182880</wp:posOffset>
            </wp:positionV>
            <wp:extent cx="7135495" cy="167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121" w:right="339" w:bottom="1440" w:gutter="0" w:footer="0" w:header="0"/>
          <w:type w:val="continuous"/>
        </w:sectPr>
      </w:pPr>
    </w:p>
    <w:p>
      <w:pPr>
        <w:spacing w:after="0" w:line="40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increased by $62 million, or 3% in the three months ended March 31, 2022 from the corresponding period in 2021. The increase was comprised of an increase in Title premiums from direct operations of $21 million, or 3%, and an increase in Title premiums from agency operations of $41 million, or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316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8080" w:type="dxa"/>
            <w:vAlign w:val="bottom"/>
          </w:tcPr>
          <w:p>
            <w:pPr>
              <w:spacing w:after="0"/>
              <w:rPr>
                <w:sz w:val="15"/>
                <w:szCs w:val="15"/>
                <w:color w:val="auto"/>
              </w:rPr>
            </w:pPr>
          </w:p>
        </w:tc>
        <w:tc>
          <w:tcPr>
            <w:tcW w:w="15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15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w:t>
            </w:r>
          </w:p>
        </w:tc>
      </w:tr>
      <w:tr>
        <w:trPr>
          <w:trHeight w:val="217"/>
        </w:trPr>
        <w:tc>
          <w:tcPr>
            <w:tcW w:w="80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9"/>
        </w:trPr>
        <w:tc>
          <w:tcPr>
            <w:tcW w:w="8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15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w:t>
            </w:r>
          </w:p>
        </w:tc>
      </w:tr>
      <w:tr>
        <w:trPr>
          <w:trHeight w:val="217"/>
        </w:trPr>
        <w:tc>
          <w:tcPr>
            <w:tcW w:w="80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Percentages exclude consideration of an immaterial number of non-purchase and non-refinance orders.</w:t>
      </w:r>
    </w:p>
    <w:p>
      <w:pPr>
        <w:spacing w:after="0" w:line="10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months ended March 31, 2022 from the corresponding period in 2021. The increase was primarily attributable to an increase in the average fee per file, which was driven by increases in the residential and commercial purchase markets, partially offset by a decrease in closed order volume.</w:t>
      </w:r>
    </w:p>
    <w:p>
      <w:pPr>
        <w:spacing w:after="0" w:line="75"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We experienced a significant decrease in closed title insurance order volume from refinance transactions in the three months ended March 31, 2022 from the corresponding period in 2021. Closed title insurance volume from purchase transactions was relatively flat in the three months ended March 31, 2022 when compared to the corresponding period in 2021. Total closed order volume was 380,000 in the three months ended March 31, 2022 compared to 597,000 in the three months ended March 31, 2021. This represented an overall decrease of 36% in the three months ended March 31, 2022 from the corresponding period in 2021. The decrease was primarily attributable to higher average mortgage interest rates and the surge in residential refinance transactions in 2020 and the first half of 2021, resulting in a decline in the population of eligible refinance candidates in the three months ended March 31, 2022 when compared to the corresponding period in 2021.</w:t>
      </w:r>
    </w:p>
    <w:p>
      <w:pPr>
        <w:spacing w:after="0" w:line="8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Total opened title insurance order volume decreased in the three months ended March 31, 2022 from the corresponding period in 2021. The decrease was attributable to decreased opened title orders from refinance and purchase transactions.</w:t>
      </w:r>
    </w:p>
    <w:p>
      <w:pPr>
        <w:spacing w:after="0" w:line="64"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The average fee per file in our direct operations was $2,891 in the three months ended March 31, 2022 compared to $1,944 in the three months ended March 31, 2021. The increase in average fee per file reflects an increased proportion of purchase transactions relative to total closed orders and an increased commercial market compared to the corresponding period in 2021.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Title premiums from agency operations increased $41 million, or 4%, in the three months ended March 31, 2022 from the corresponding period in 2021. The current trends in the agency business reflect a strong residential purchase environment in many markets throughout the country and a concerted effort by management to increase remittances with existing agents as well as cultivate new relationships with potential new agents.</w:t>
      </w:r>
    </w:p>
    <w:p>
      <w:pPr>
        <w:spacing w:after="0" w:line="75"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Escrow, title-related and other fees decreased by $80 million, or 11%, in the three months ended March 31, 2022 from the corresponding period in 2021. Escrow fees, which are more closely related to our direct operations, decreased by $59 million, or 18%, in the three months ended March 31, 2022 from the corresponding period in 2021. The decrease was primarily attributable to the decrease in refinance transactions, which have higher escrow fees per transaction than purchase transactions. Other fees, excluding escrow fees, decreased by $21 million, or 5%, in the three months ended March 31, 2022 from the corresponding period in 2021. The decrease in Other fees was attributable to decreases in various immaterial items.</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decreased $2 million, or 7%, in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three months ended March 31, 2022 from the corresponding period in 2021. The decrease was primarily attributable to lower yields on our fixed maturity portfolio when compared to the corresponding period in 2021.</w:t>
      </w:r>
    </w:p>
    <w:p>
      <w:pPr>
        <w:spacing w:after="0" w:line="64"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Net recognized losses were $175 million and $59 million in the three months ended March 31, 2022 and 2021, respectively. The variability in recognized gains and losses, net is primarily attributable to fluctuations in non-cash valuation changes on our equity and preferred security holdings in addition to various other immaterial items.</w:t>
      </w:r>
    </w:p>
    <w:p>
      <w:pPr>
        <w:spacing w:after="0" w:line="75"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$22 million, or 3%, in the three months ended March 31, 2022 compared to the corresponding period in 2021. The increase was primarily attributable to increased salaries, bonuses, and commissions associated with increased headcount to manage strong order activity. Personnel costs as a percentage of total revenues from direct title premiums and escrow, title-related and other fees were 54% and 51% for the three months ended March 31, 2022 and 2021, respectively. Average employee count in the Title segment was 26,974 and 26,344 in the three months ended March 31, 2022 and 2021, respectively.</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Other operating expenses decreased by $8 million, or 2%, in the three months ended March 31, 2022 from the corresponding period in 2021. Other operating expenses as a percentage of total revenue excluding agency premiums, interest and investment income, and recognized gains and losses were 28% and 27% in the three months ended March 31, 2022 and 2021, respectively.</w:t>
      </w:r>
    </w:p>
    <w:p>
      <w:pPr>
        <w:spacing w:after="0" w:line="75" w:lineRule="exact"/>
        <w:rPr>
          <w:sz w:val="20"/>
          <w:szCs w:val="20"/>
          <w:color w:val="auto"/>
        </w:rPr>
      </w:pPr>
    </w:p>
    <w:p>
      <w:pPr>
        <w:jc w:val="both"/>
        <w:ind w:firstLine="316"/>
        <w:spacing w:after="0" w:line="332" w:lineRule="auto"/>
        <w:rPr>
          <w:sz w:val="20"/>
          <w:szCs w:val="20"/>
          <w:color w:val="auto"/>
        </w:rPr>
      </w:pPr>
      <w:r>
        <w:rPr>
          <w:rFonts w:ascii="Times New Roman" w:cs="Times New Roman" w:eastAsia="Times New Roman" w:hAnsi="Times New Roman"/>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has remained relatively consistent since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Pr>
          <w:p>
            <w:pPr>
              <w:spacing w:after="0"/>
              <w:rPr>
                <w:sz w:val="16"/>
                <w:szCs w:val="16"/>
                <w:color w:val="auto"/>
              </w:rPr>
            </w:pPr>
          </w:p>
        </w:tc>
      </w:tr>
      <w:tr>
        <w:trPr>
          <w:trHeight w:val="24"/>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16"/>
                <w:szCs w:val="16"/>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premiums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commissions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2"/>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claim loss provision for title insurance was $84 million and $81 million for the three months ended March 31, 2022 and 2021,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Through our wholly owned F&amp;G subsidiary, which we acquired on June 1, 2020,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two institutional channels to originate funding agreement-backed notes (“FABN”) and pension risk transfer ("PRT") transactions. The FABN program offers funding agreements to institutional clients by means of capital markets transactions through investment banks. The PRT solutions business was launched by building an experienced team and then working with brokers and institutional consultants for distribution. These markets leverage our existing team's spread-based capabilities as well as our strategic partnership with Blackstone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In setting the features and pricing of our flagship fixed indexed annuity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67" w:lineRule="exact"/>
        <w:rPr>
          <w:sz w:val="20"/>
          <w:szCs w:val="20"/>
          <w:color w:val="auto"/>
        </w:rPr>
      </w:pPr>
    </w:p>
    <w:p>
      <w:pPr>
        <w:jc w:val="both"/>
        <w:ind w:firstLine="316"/>
        <w:spacing w:after="0" w:line="247" w:lineRule="auto"/>
        <w:rPr>
          <w:sz w:val="20"/>
          <w:szCs w:val="20"/>
          <w:color w:val="auto"/>
        </w:rPr>
      </w:pPr>
      <w:r>
        <w:rPr>
          <w:rFonts w:ascii="Times New Roman" w:cs="Times New Roman" w:eastAsia="Times New Roman" w:hAnsi="Times New Roman"/>
          <w:sz w:val="18"/>
          <w:szCs w:val="18"/>
          <w:color w:val="auto"/>
        </w:rPr>
        <w:t>On March 14, 2022, our Board of Directors approved a dividend to our shareholders, on a pro rata basis, of 15% of the common stock of F&amp;G (the "F&amp;G Distribution"). We intend to retain majority control of F&amp;G through our 85% ownership stake. The proposed F&amp;G Distribution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The proposed F&amp;G Distribution is intended to be structured as a taxable dividend to our shareholders and is targeted to be completed in late third quarter or early fourth quarter of 2022. However, there can be no assurance regarding the timeframe for completing the F&amp;G Distribution or that the conditions of the F&amp;G Distribution will be met.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24"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(fixed indexed and fixed rate annuities), indexed universal life insurance, immediate annuities, funding agreements and pension risk transfer ("PRT") solutions. A deferred annuity is a type of contract that accumulates value on a tax deferred basis and typically begins making specified periodic or lump sum payments a certain number of years after the contract has been issued. Indexed universal life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w:t>
      </w:r>
    </w:p>
    <w:p>
      <w:pPr>
        <w:spacing w:after="0" w:line="9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U.S. GAAP, premium collections for fixed indexed annuities,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56"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F&amp;G hedges certain portions of its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statutory reserve impact of the index credits due to policyholders under the FIA and IUL contracts. The majority of all such call options are one-year options 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FIA/IUL policies, known as the net investment spread. With respect to FIAs/IULs, the cost of hedging our risk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48"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Our profitability depends in large part upon the amount of assets under management (“AUM” - see Non-GAAP Financial Measures section), the net investment spreads earned on our average assets under management ("AAUM" - see Non-GAAP Financial Measures section),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FIA/IULs. We analyze returns on AAUM pre- and post-DAC, DSI and VOBA as well as pre- and post-tax to measure our profitability in terms of growth and improved earnings.</w:t>
      </w:r>
    </w:p>
    <w:p>
      <w:pPr>
        <w:spacing w:after="0" w:line="2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June 2021, we established a funding agreement-backed notes program (the “FABN Program”), pursuant to which FGL Insurance may issue funding agreements to a special purpose statutory trust (the “Trust”) for spread lending purposes. The maximum aggregate principal amount permitted to be outstanding at any one time under the FABN Program is currently $5.0 billion. We also issue funding agreements through the Federal Home Loan Bank of Atlanta ("FHLB").</w:t>
      </w:r>
    </w:p>
    <w:p>
      <w:pPr>
        <w:spacing w:after="0" w:line="5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July 2021, we entered the PRT market, pursuant to which FGL Insurance and FGL NY Insurance may issue group annuity contracts to discharge pension plan liabilities from a pension plan sponsor. Life contingent PRT premiums are included in life insurance premiums and other fees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GAAP, this document includes non-GAAP financial measures, which the Company believes are useful to help investors better understand its financial performance, competitive position and prospects for the future. 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The presentation of this financial information is not intended to be considered in isolation of or as a substitute for, or superior to, the financial information prepared and presented in accordance with GAAP. By disclosing these non-GAAP financial measures, the Company believes it offers investors a greater understanding of, and an enhanced level of transparency into, the means by which the Company’s management operates the Company. Any non-GAAP measures should be considered in context with the GAAP financial presentation and should not be considered in isolation or as a substitute for GAAP net earnings, net earnings attributable to common shareholders, or any other measures derived in accordance with GAAP as measures of operating performance or liquidity. Reconciliations of these non-GAAP financial measures to the most directly comparable GAAP measures are provided within.</w:t>
      </w:r>
    </w:p>
    <w:p>
      <w:pPr>
        <w:spacing w:after="0" w:line="6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Adjusted net earnings attributable to common shareholders ("Adjusted net earnings") is a non-GAAP economic measure we use to evaluate financial performance each period. Adjusted net earnings is calculated by adjusting net earnings (loss) from continuing operations attributable to common shareholders to eliminate:</w:t>
      </w:r>
    </w:p>
    <w:p>
      <w:pPr>
        <w:spacing w:after="0" w:line="48" w:lineRule="exact"/>
        <w:rPr>
          <w:sz w:val="20"/>
          <w:szCs w:val="20"/>
          <w:color w:val="auto"/>
        </w:rPr>
      </w:pPr>
    </w:p>
    <w:p>
      <w:pPr>
        <w:ind w:left="220" w:firstLine="22"/>
        <w:spacing w:after="0" w:line="248" w:lineRule="auto"/>
        <w:tabs>
          <w:tab w:leader="none" w:pos="4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(gains) and losses, net: the impact of net investment gains/losses, including changes in allowance for expected credit losses and other than temporary impairment ("OTTI") losses, recognized in operations; the impact of market volatility on the alternative asset portfolio that differ from management's expectation of returns over the life of these assets; and the effect of changes in fair value of the reinsurance related embedded derivative; (ii) Indexed product related derivatives: the impacts related to changes in the fair value, including both realized and unrealized gains and losses, of index product related derivatives and embedded derivatives, net of hedging cost;</w:t>
      </w:r>
    </w:p>
    <w:p>
      <w:pPr>
        <w:spacing w:after="0" w:line="1" w:lineRule="exact"/>
        <w:rPr>
          <w:rFonts w:ascii="Times New Roman" w:cs="Times New Roman" w:eastAsia="Times New Roman" w:hAnsi="Times New Roman"/>
          <w:sz w:val="18"/>
          <w:szCs w:val="18"/>
          <w:color w:val="auto"/>
        </w:rPr>
      </w:pPr>
    </w:p>
    <w:p>
      <w:pPr>
        <w:ind w:left="22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Purchase price amortization: the impacts related to the amortization of certain intangibles (internally developed software, trademarks and value of distribution asset ("VODA")) recognized as a result of acquisition activities;</w:t>
      </w: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Transaction costs: the impacts related to acquisition, integration and merger related items;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20" w:hanging="4"/>
        <w:spacing w:after="0" w:line="256" w:lineRule="auto"/>
        <w:tabs>
          <w:tab w:leader="none" w:pos="4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4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5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 and IUL-related derivatives, embedded derivatives and hedging costs has been removed from net earnings (loss) in calculating adjusted net earnings.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AUM is a non-GAAP measure we use to assess the rate of return on assets available for reinvestment. AUM is calculated as the sum of:</w:t>
      </w:r>
    </w:p>
    <w:p>
      <w:pPr>
        <w:spacing w:after="0" w:line="83" w:lineRule="exact"/>
        <w:rPr>
          <w:sz w:val="20"/>
          <w:szCs w:val="20"/>
          <w:color w:val="auto"/>
        </w:rPr>
      </w:pPr>
    </w:p>
    <w:p>
      <w:pPr>
        <w:ind w:left="540" w:hanging="219"/>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invested assets at amortized cost, excluding derivatives, net of reinsurance qualifying for risk transfer in accordance with GAAP;</w:t>
      </w:r>
    </w:p>
    <w:p>
      <w:pPr>
        <w:spacing w:after="0" w:line="82" w:lineRule="exact"/>
        <w:rPr>
          <w:rFonts w:ascii="Times New Roman" w:cs="Times New Roman" w:eastAsia="Times New Roman" w:hAnsi="Times New Roman"/>
          <w:sz w:val="18"/>
          <w:szCs w:val="18"/>
          <w:color w:val="auto"/>
        </w:rPr>
      </w:pPr>
    </w:p>
    <w:p>
      <w:pPr>
        <w:ind w:left="580" w:hanging="25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loans and investments;</w:t>
      </w:r>
    </w:p>
    <w:p>
      <w:pPr>
        <w:spacing w:after="0" w:line="82"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investment income;</w:t>
      </w:r>
    </w:p>
    <w:p>
      <w:pPr>
        <w:spacing w:after="0" w:line="82"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payable/receivable for the purchase/sale of investments, and</w:t>
      </w:r>
    </w:p>
    <w:p>
      <w:pPr>
        <w:spacing w:after="0" w:line="82"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excluding derivative collateral,</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beginning of the period and the end of each month in the period, divided by the total number of months in the period plus one.</w:t>
      </w:r>
    </w:p>
    <w:p>
      <w:pPr>
        <w:spacing w:after="0" w:line="8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Management considers this non-GAAP financial measure to be useful internally and to investors and analysts when assessing the rate of return on assets available for reinvestment.</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AAUM is calculated as AUM at the beginning of the period and the end of each month in the period, divided by the total number of months in the period plus one. Management considers this non-GAAP financial measure to be useful internally and to investors and analysts when assessing rate of return on assets available for reinvestment.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Alternative investment yield adjustment is the current period yield impact of market volatility on the alternative investment portfolio that differ from management's expectation of returns over the life of these assets. Management considers this non-GAAP financial measure to be useful internally and to investors and analysts when assessing the level of return earned on AAUM.</w:t>
      </w:r>
    </w:p>
    <w:p>
      <w:pPr>
        <w:spacing w:after="0" w:line="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4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unaudited Condensed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months ended March 31, 2022 and March 31, 2021 were as follows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84"/>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Life insurance premiums and other fees (a)</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1"/>
        </w:trPr>
        <w:tc>
          <w:tcPr>
            <w:tcW w:w="8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0"/>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Personnel costs</w:t>
            </w:r>
          </w:p>
        </w:tc>
        <w:tc>
          <w:tcPr>
            <w:tcW w:w="18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0"/>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4"/>
        </w:trPr>
        <w:tc>
          <w:tcPr>
            <w:tcW w:w="8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before income taxes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91"/>
        </w:trPr>
        <w:tc>
          <w:tcPr>
            <w:tcW w:w="8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from continuing operations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4"/>
        </w:trPr>
        <w:tc>
          <w:tcPr>
            <w:tcW w:w="8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Earnings (loss) from discontinued operations, net of tax</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 Included within Escrow, title-related and other fees in Condensed Consolidated Statements of Earnings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sales by product type of our F&amp;G segment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8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5"/>
                <w:szCs w:val="15"/>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index annuities (FIA)</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 (MYGA)</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18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annuity</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universal life (IUL)</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agreements (FABN/FHLB)</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risk transfer (PRT)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FIA and MYGA sales during the three months ended March 31, 2022 were in line with the three months ended March 31, 2021, and reflect pricing actions taken in response to the macro environment in the fourth quarter of 2021which carried into early first quarter 2022 results.</w:t>
      </w:r>
    </w:p>
    <w:p>
      <w:pPr>
        <w:spacing w:after="0" w:line="6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agreements reflect $400 million and $200 million of new FABN and FHLB agreements during the three months ended March 31, 2022, under an investment strategy to expand into institutional markets, compared to a $125 million FHLB agreement during the three months ended March 31, 2021, and are subject to fluctuation period to period.</w:t>
      </w:r>
    </w:p>
    <w:p>
      <w:pPr>
        <w:spacing w:after="0" w:line="7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PRT sales during the three months ended March 31, 2022 of $527 million compared to $0 million during the three months ended March 31, 2021 reflect entrance into the PRT market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FIA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(in millions), for the three months ended March 31, 2022 and March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290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4"/>
        </w:trPr>
        <w:tc>
          <w:tcPr>
            <w:tcW w:w="808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60" w:type="dxa"/>
            <w:vAlign w:val="bottom"/>
            <w:tcBorders>
              <w:bottom w:val="single" w:sz="8" w:color="auto"/>
            </w:tcBorders>
          </w:tcPr>
          <w:p>
            <w:pPr>
              <w:spacing w:after="0"/>
              <w:rPr>
                <w:sz w:val="15"/>
                <w:szCs w:val="15"/>
                <w:color w:val="auto"/>
              </w:rPr>
            </w:pPr>
          </w:p>
        </w:tc>
      </w:tr>
      <w:tr>
        <w:trPr>
          <w:trHeight w:val="19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1220" w:type="dxa"/>
            <w:vAlign w:val="bottom"/>
          </w:tcPr>
          <w:p>
            <w:pPr>
              <w:jc w:val="right"/>
              <w:ind w:right="10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525</w:t>
            </w:r>
          </w:p>
        </w:tc>
        <w:tc>
          <w:tcPr>
            <w:tcW w:w="80" w:type="dxa"/>
            <w:vAlign w:val="bottom"/>
          </w:tcPr>
          <w:p>
            <w:pPr>
              <w:spacing w:after="0"/>
              <w:rPr>
                <w:sz w:val="16"/>
                <w:szCs w:val="16"/>
                <w:color w:val="auto"/>
              </w:rPr>
            </w:pPr>
          </w:p>
        </w:tc>
        <w:tc>
          <w:tcPr>
            <w:tcW w:w="1320" w:type="dxa"/>
            <w:vAlign w:val="bottom"/>
          </w:tcPr>
          <w:p>
            <w:pPr>
              <w:jc w:val="right"/>
              <w:ind w:right="11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 insurance premiums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Life-contingent immediate annuity premiums</w:t>
            </w:r>
          </w:p>
        </w:tc>
        <w:tc>
          <w:tcPr>
            <w:tcW w:w="1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charges</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22"/>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122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594</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premiums and other fees for the three months ended March 31, 2022 reflect an increase compared to the three months ended March 31, 2021 primarily due to entrance into the PRT market in the second half of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interest and investment income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Borders>
              <w:bottom w:val="single" w:sz="8" w:color="auto"/>
            </w:tcBorders>
          </w:tcPr>
          <w:p>
            <w:pPr>
              <w:spacing w:after="0"/>
              <w:rPr>
                <w:sz w:val="14"/>
                <w:szCs w:val="14"/>
                <w:color w:val="auto"/>
              </w:rPr>
            </w:pPr>
          </w:p>
        </w:tc>
      </w:tr>
      <w:tr>
        <w:trPr>
          <w:trHeight w:val="166"/>
        </w:trPr>
        <w:tc>
          <w:tcPr>
            <w:tcW w:w="83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2021</w:t>
            </w:r>
          </w:p>
        </w:tc>
        <w:tc>
          <w:tcPr>
            <w:tcW w:w="280" w:type="dxa"/>
            <w:vAlign w:val="bottom"/>
            <w:tcBorders>
              <w:bottom w:val="single" w:sz="8" w:color="auto"/>
            </w:tcBorders>
          </w:tcPr>
          <w:p>
            <w:pPr>
              <w:spacing w:after="0"/>
              <w:rPr>
                <w:sz w:val="14"/>
                <w:szCs w:val="14"/>
                <w:color w:val="auto"/>
              </w:rPr>
            </w:pPr>
          </w:p>
        </w:tc>
      </w:tr>
      <w:tr>
        <w:trPr>
          <w:trHeight w:val="19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319</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292</w:t>
            </w:r>
          </w:p>
        </w:tc>
      </w:tr>
      <w:tr>
        <w:trPr>
          <w:trHeight w:val="19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8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496</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411</w:t>
            </w:r>
          </w:p>
        </w:tc>
      </w:tr>
      <w:tr>
        <w:trPr>
          <w:trHeight w:val="19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7"/>
        </w:trPr>
        <w:tc>
          <w:tcPr>
            <w:tcW w:w="83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451</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373</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net investment spread and AAUM are summarized as follows (annualized) (dollars in millions) (see Non-GAAP Financial Measures Section):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6"/>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220" w:type="dxa"/>
            <w:vAlign w:val="bottom"/>
          </w:tcPr>
          <w:p>
            <w:pPr>
              <w:spacing w:after="0"/>
              <w:rPr>
                <w:sz w:val="14"/>
                <w:szCs w:val="14"/>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March 31, 2021</w:t>
            </w:r>
          </w:p>
        </w:tc>
        <w:tc>
          <w:tcPr>
            <w:tcW w:w="0" w:type="dxa"/>
            <w:vAlign w:val="bottom"/>
          </w:tcPr>
          <w:p>
            <w:pPr>
              <w:spacing w:after="0"/>
              <w:rPr>
                <w:sz w:val="1"/>
                <w:szCs w:val="1"/>
                <w:color w:val="auto"/>
              </w:rPr>
            </w:pPr>
          </w:p>
        </w:tc>
      </w:tr>
      <w:tr>
        <w:trPr>
          <w:trHeight w:val="195"/>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Yield on AAUM (at amortized cost)</w:t>
            </w: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0" w:type="dxa"/>
            <w:vAlign w:val="bottom"/>
          </w:tcPr>
          <w:p>
            <w:pPr>
              <w:spacing w:after="0"/>
              <w:rPr>
                <w:sz w:val="1"/>
                <w:szCs w:val="1"/>
                <w:color w:val="auto"/>
              </w:rPr>
            </w:pPr>
          </w:p>
        </w:tc>
      </w:tr>
      <w:tr>
        <w:trPr>
          <w:trHeight w:val="191"/>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Alternative investment yield adjustment</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yield on AAUM</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184"/>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 credited and option cost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22"/>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investment spread</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AAUM</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20" w:type="dxa"/>
            <w:vAlign w:val="bottom"/>
            <w:vMerge w:val="continue"/>
          </w:tcPr>
          <w:p>
            <w:pPr>
              <w:spacing w:after="0"/>
              <w:rPr>
                <w:sz w:val="13"/>
                <w:szCs w:val="13"/>
                <w:color w:val="auto"/>
              </w:rPr>
            </w:pPr>
          </w:p>
        </w:tc>
        <w:tc>
          <w:tcPr>
            <w:tcW w:w="220" w:type="dxa"/>
            <w:vAlign w:val="bottom"/>
          </w:tcPr>
          <w:p>
            <w:pPr>
              <w:jc w:val="right"/>
              <w:ind w:right="5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2"/>
              <w:spacing w:after="0" w:line="155" w:lineRule="exact"/>
              <w:rPr>
                <w:sz w:val="20"/>
                <w:szCs w:val="20"/>
                <w:color w:val="auto"/>
              </w:rPr>
            </w:pPr>
            <w:r>
              <w:rPr>
                <w:rFonts w:ascii="Times New Roman" w:cs="Times New Roman" w:eastAsia="Times New Roman" w:hAnsi="Times New Roman"/>
                <w:sz w:val="14"/>
                <w:szCs w:val="14"/>
                <w:color w:val="auto"/>
              </w:rPr>
              <w:t>37,459</w:t>
            </w:r>
          </w:p>
        </w:tc>
        <w:tc>
          <w:tcPr>
            <w:tcW w:w="80" w:type="dxa"/>
            <w:vAlign w:val="bottom"/>
          </w:tcPr>
          <w:p>
            <w:pPr>
              <w:spacing w:after="0"/>
              <w:rPr>
                <w:sz w:val="13"/>
                <w:szCs w:val="13"/>
                <w:color w:val="auto"/>
              </w:rPr>
            </w:pPr>
          </w:p>
        </w:tc>
        <w:tc>
          <w:tcPr>
            <w:tcW w:w="220" w:type="dxa"/>
            <w:vAlign w:val="bottom"/>
          </w:tcPr>
          <w:p>
            <w:pPr>
              <w:jc w:val="right"/>
              <w:ind w:right="5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color w:val="auto"/>
              </w:rPr>
              <w:t>29,016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AAUM was higher for the three months ended March 31, 2022 compared to the three months ended March 31, 2021, reflecting net new business asset flows, offset by net reinsurance and other activity.</w:t>
      </w:r>
    </w:p>
    <w:p>
      <w:pPr>
        <w:spacing w:after="0" w:line="77"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investment income was higher for the three months ended March 31, 2022 compared to the three months ended March 31, 2021 primarily due to $109 million invested asset growth, partially offset by $23 million lower returns on alternative investments and $8 million of all other rate impacts.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6"/>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180" w:type="dxa"/>
            <w:vAlign w:val="bottom"/>
          </w:tcPr>
          <w:p>
            <w:pPr>
              <w:spacing w:after="0"/>
              <w:rPr>
                <w:sz w:val="14"/>
                <w:szCs w:val="14"/>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March 31, 2021</w:t>
            </w:r>
          </w:p>
        </w:tc>
      </w:tr>
      <w:tr>
        <w:trPr>
          <w:trHeight w:val="195"/>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fixed maturity available-for-sale securities, equity securities and other invested assets</w:t>
            </w: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certain derivatives instruments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both"/>
        <w:ind w:left="640" w:hanging="319"/>
        <w:spacing w:after="0" w:line="280" w:lineRule="auto"/>
        <w:tabs>
          <w:tab w:leader="none" w:pos="636"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For the three months ended March 31, 2022 net realized and unrealized gains (losses) on fixed maturity available-for-sale securities, equity securities and other invested assets includes $34 million of realized losses on fixed maturity available-for-sale securities, $69 million of unrealized losses due to mark-to-market movement on our equity securities and $4 million of realized losses on other invested assets. For the three months ended March 31, 2021 net realized and unrealized gains (losses) on fixed maturity available-for-sale securities, equity securities and other invested assets includes $41 million of realized gains on fixed maturity available-for-sale securities, $3 million of unrealized gains due to mark-to-market movement on our equity securities and $2 million of realized gains on other invested assets. There were no credit related impairments in either of the periods.</w:t>
      </w:r>
    </w:p>
    <w:p>
      <w:pPr>
        <w:spacing w:after="0" w:line="1" w:lineRule="exact"/>
        <w:rPr>
          <w:rFonts w:ascii="Times New Roman" w:cs="Times New Roman" w:eastAsia="Times New Roman" w:hAnsi="Times New Roman"/>
          <w:sz w:val="16"/>
          <w:szCs w:val="16"/>
          <w:i w:val="1"/>
          <w:iCs w:val="1"/>
          <w:color w:val="auto"/>
        </w:rPr>
      </w:pPr>
    </w:p>
    <w:p>
      <w:pPr>
        <w:jc w:val="both"/>
        <w:ind w:left="640" w:hanging="319"/>
        <w:spacing w:after="0" w:line="256"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and March 31, 2021, net realized and unrealized gains (losses) on certain derivative instruments primarily relates to the realized and unrealized gains and losses on futures and options used to hedge FIA and IUL products and gains on option expiration. See the table below for primary drivers of gains (losses) on certain derivatives.</w:t>
      </w:r>
    </w:p>
    <w:p>
      <w:pPr>
        <w:spacing w:after="0" w:line="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("FWH") portfolio.</w:t>
      </w:r>
    </w:p>
    <w:p>
      <w:pPr>
        <w:spacing w:after="0" w:line="200" w:lineRule="exact"/>
        <w:rPr>
          <w:sz w:val="20"/>
          <w:szCs w:val="20"/>
          <w:color w:val="auto"/>
        </w:rPr>
      </w:pPr>
    </w:p>
    <w:p>
      <w:pPr>
        <w:spacing w:after="0" w:line="246"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annuity and universal life products are summarized in the table below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4"/>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Options:</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90"/>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on option expiration</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w:t>
            </w:r>
          </w:p>
        </w:tc>
      </w:tr>
      <w:tr>
        <w:trPr>
          <w:trHeight w:val="205"/>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(losses)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(33)</w:t>
            </w:r>
          </w:p>
        </w:tc>
      </w:tr>
      <w:tr>
        <w:trPr>
          <w:trHeight w:val="190"/>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5"/>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on futures contracts expiration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gains (losses)</w:t>
            </w:r>
          </w:p>
        </w:tc>
        <w:tc>
          <w:tcPr>
            <w:tcW w:w="200" w:type="dxa"/>
            <w:vAlign w:val="bottom"/>
          </w:tcPr>
          <w:p>
            <w:pPr>
              <w:spacing w:after="0"/>
              <w:rPr>
                <w:sz w:val="16"/>
                <w:szCs w:val="16"/>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1"/>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Gains on foreign currency forward</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r>
      <w:tr>
        <w:trPr>
          <w:trHeight w:val="22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change in fair value</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7"/>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Annual Point-to-Point Change in S&amp;P 500 Index during the periods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on option expiration reflect the movement during the three months ended March 31, 2022 and March 31, 2021, on options settled during the period.</w:t>
      </w:r>
    </w:p>
    <w:p>
      <w:pPr>
        <w:spacing w:after="0" w:line="12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gains and losses due to fair value of call options is primarily driven by the underlying performance of the S&amp;P 500 Index during each respective year relative to the S&amp;P Index on the policyholder buy dates.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274"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w w:val="96"/>
              </w:rPr>
              <w:t>March 31, 2022</w:t>
            </w: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5"/>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Point-to-point strategy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0"/>
        </w:trPr>
        <w:tc>
          <w:tcPr>
            <w:tcW w:w="92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Monthly average strategy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5"/>
        </w:trPr>
        <w:tc>
          <w:tcPr>
            <w:tcW w:w="9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3"/>
        </w:trPr>
        <w:tc>
          <w:tcPr>
            <w:tcW w:w="92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 year high water mark</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bl>
    <w:p>
      <w:pPr>
        <w:spacing w:after="0" w:line="246" w:lineRule="exact"/>
        <w:rPr>
          <w:sz w:val="20"/>
          <w:szCs w:val="20"/>
          <w:color w:val="auto"/>
        </w:rPr>
      </w:pPr>
    </w:p>
    <w:p>
      <w:pPr>
        <w:jc w:val="both"/>
        <w:ind w:left="64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FIA contracts and certain IUL contracts (caps, spreads and participation rates) which allow F&amp;G to manage the cost of the options purchased to fund the annual index credits.</w:t>
      </w:r>
    </w:p>
    <w:p>
      <w:pPr>
        <w:spacing w:after="0" w:line="8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changes in policy reserves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3280" w:type="dxa"/>
            <w:vAlign w:val="bottom"/>
            <w:gridSpan w:val="5"/>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79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79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FIA/IUL market related liability movements</w:t>
            </w:r>
          </w:p>
        </w:tc>
        <w:tc>
          <w:tcPr>
            <w:tcW w:w="130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&amp; bonuses</w:t>
            </w:r>
          </w:p>
        </w:tc>
        <w:tc>
          <w:tcPr>
            <w:tcW w:w="1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0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change in reserves</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Annuity payments and other</w:t>
            </w: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benefits and other changes in policy reserves</w:t>
            </w:r>
          </w:p>
        </w:tc>
        <w:tc>
          <w:tcPr>
            <w:tcW w:w="130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left="640" w:hanging="319"/>
        <w:spacing w:after="0" w:line="289" w:lineRule="auto"/>
        <w:tabs>
          <w:tab w:leader="none" w:pos="63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FIA/IUL market related liability movements during the three months ended March 31, 2022 and March 31, 2021, respectively, are mainly driven by changes in the equity markets, non-performance spreads, and risk free rates during the periods. The change in risk free rates and non-performance spreads decreased the FIA market related liability by $306 million and $201 million during the three months ended March 31, 2022 and March 31, 2021, respectively. The remaining change in market value of the market related liability movements was driven by equity market impacts. See table in the net investment gains/losses discussion above for summary and discussion of net unrealized gains (losses) on certain derivative instruments.</w:t>
      </w:r>
    </w:p>
    <w:p>
      <w:pPr>
        <w:spacing w:after="0" w:line="63" w:lineRule="exact"/>
        <w:rPr>
          <w:rFonts w:ascii="Times New Roman" w:cs="Times New Roman" w:eastAsia="Times New Roman" w:hAnsi="Times New Roman"/>
          <w:sz w:val="16"/>
          <w:szCs w:val="16"/>
          <w:color w:val="auto"/>
        </w:rPr>
      </w:pPr>
    </w:p>
    <w:p>
      <w:pPr>
        <w:ind w:left="640" w:hanging="319"/>
        <w:spacing w:after="0" w:line="268"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&amp; bonuses for the three months ended March 31, 2022 were in line with the three months ended March 31, 2021 and were primarily due to index credits on FIA policies. Refer to average policyholder index discussion above for details on drivers.</w:t>
      </w:r>
    </w:p>
    <w:p>
      <w:pPr>
        <w:spacing w:after="0" w:line="90" w:lineRule="exact"/>
        <w:rPr>
          <w:rFonts w:ascii="Times New Roman" w:cs="Times New Roman" w:eastAsia="Times New Roman" w:hAnsi="Times New Roman"/>
          <w:sz w:val="18"/>
          <w:szCs w:val="18"/>
          <w:i w:val="1"/>
          <w:iCs w:val="1"/>
          <w:color w:val="auto"/>
        </w:rPr>
      </w:pPr>
    </w:p>
    <w:p>
      <w:pPr>
        <w:ind w:left="640" w:hanging="319"/>
        <w:spacing w:after="0" w:line="268"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change in reserves were higher for the three months ended March 31, 2022 compared to the three months ended March 31, 2021 and reflect new PRT activity for the period and F&amp;G's entrance into the PRT market in the second half of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29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r>
      <w:tr>
        <w:trPr>
          <w:trHeight w:val="24"/>
        </w:trPr>
        <w:tc>
          <w:tcPr>
            <w:tcW w:w="7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4"/>
        </w:trPr>
        <w:tc>
          <w:tcPr>
            <w:tcW w:w="79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300" w:type="dxa"/>
            <w:vAlign w:val="bottom"/>
            <w:tcBorders>
              <w:bottom w:val="single" w:sz="8" w:color="auto"/>
            </w:tcBorders>
          </w:tcPr>
          <w:p>
            <w:pPr>
              <w:spacing w:after="0"/>
              <w:rPr>
                <w:sz w:val="16"/>
                <w:szCs w:val="16"/>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tc>
        <w:tc>
          <w:tcPr>
            <w:tcW w:w="128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Unlocking</w:t>
            </w: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other depreciation</w:t>
            </w: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2"/>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depreciation and amortization</w:t>
            </w:r>
          </w:p>
        </w:tc>
        <w:tc>
          <w:tcPr>
            <w:tcW w:w="128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64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VOBA, and DSI is based on current and future expected gross margins (pre-tax operating income before amortization). The amortization for the periods presented is the result of actual gross profits ("AGPs") in the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 affecting net earnings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income tax expense (benefit)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4"/>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97"/>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before valuation allowance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1"/>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Federal income tax expense (benefit)</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Effective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left="640" w:hanging="319"/>
        <w:spacing w:after="0" w:line="256"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March 31, 2022 was $105 million, inclusive of a change in the valuation allowance of $38 million, compared to income tax expense of $72 million for the three months ended March 31, 2021. The effective rate for the three months ended March 31, 2022, excluding the change in valuation allowance, was 20%, in line with the effective rate for the three months ended March 31, 2021.</w:t>
      </w:r>
    </w:p>
    <w:p>
      <w:pPr>
        <w:spacing w:after="0" w:line="35"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3" w:val="left"/>
        </w:tabs>
        <w:numPr>
          <w:ilvl w:val="0"/>
          <w:numId w:val="22"/>
        </w:numPr>
        <w:rPr>
          <w:rFonts w:ascii="Calibri" w:cs="Calibri" w:eastAsia="Calibri" w:hAnsi="Calibri"/>
          <w:sz w:val="19"/>
          <w:szCs w:val="19"/>
          <w:color w:val="auto"/>
        </w:rPr>
      </w:pPr>
      <w:r>
        <w:rPr>
          <w:rFonts w:ascii="Times New Roman" w:cs="Times New Roman" w:eastAsia="Times New Roman" w:hAnsi="Times New Roman"/>
          <w:sz w:val="18"/>
          <w:szCs w:val="18"/>
          <w:color w:val="auto"/>
        </w:rPr>
        <w:t>The increase in income tax expense was primarily attributable to the recording of a valuation allowance in the 2022 period for tax benefits associated with deferred tax assets, related to realized losses on the past sales of discontinued operations, for which it is more likely than not that we will not be able to realize for tax purposes.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(See Non-GAAP Financial Measures section)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shows the adjustments made to reconcile Net earnings from continuing operations to Adjusted net earnings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7"/>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Non-GAAP adjustments: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net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product related derivatives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price amortization</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on non-GAAP adjustments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7"/>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Adjusted net earnings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Notable items included in adjusted net earnings (discussed below)</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200" w:lineRule="exact"/>
        <w:rPr>
          <w:sz w:val="20"/>
          <w:szCs w:val="20"/>
          <w:color w:val="auto"/>
        </w:rPr>
      </w:pPr>
    </w:p>
    <w:p>
      <w:pPr>
        <w:spacing w:after="0" w:line="242" w:lineRule="exact"/>
        <w:rPr>
          <w:sz w:val="20"/>
          <w:szCs w:val="20"/>
          <w:color w:val="auto"/>
        </w:rPr>
      </w:pPr>
    </w:p>
    <w:p>
      <w:pPr>
        <w:jc w:val="both"/>
        <w:ind w:left="640" w:hanging="319"/>
        <w:spacing w:after="0" w:line="250" w:lineRule="auto"/>
        <w:tabs>
          <w:tab w:leader="none" w:pos="633" w:val="left"/>
        </w:tabs>
        <w:numPr>
          <w:ilvl w:val="0"/>
          <w:numId w:val="23"/>
        </w:numPr>
        <w:rPr>
          <w:rFonts w:ascii="Calibri" w:cs="Calibri" w:eastAsia="Calibri" w:hAnsi="Calibri"/>
          <w:sz w:val="19"/>
          <w:szCs w:val="19"/>
          <w:color w:val="auto"/>
        </w:rPr>
      </w:pPr>
      <w:r>
        <w:rPr>
          <w:rFonts w:ascii="Times New Roman" w:cs="Times New Roman" w:eastAsia="Times New Roman" w:hAnsi="Times New Roman"/>
          <w:sz w:val="18"/>
          <w:szCs w:val="18"/>
          <w:color w:val="auto"/>
        </w:rPr>
        <w:t>Adjusted net earnings increased from $78 million for the three months ended March 31, 2021 to $82 million for the three months ended March 31, 2022. The March 31, 2022 results include $16 million of net unfavorable items including $38 million of income tax expense due to a valuation allowance recorded against deferred tax assets related to the past sale of discontinued operations, partially offset by $22 million favorable items primarily comprised of gains on collateralized loan obligation ("CLO") redemptions. Comparatively, adjusted net earnings for the three months ended March 31, 2021 included $12 million of net favorable items, primarily as a result of favorable mortality and gains on CLO redemptions.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65"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6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and balance risk across diverse asset classes and is primarily invested in high quality fixed income securities.</w:t>
      </w:r>
    </w:p>
    <w:p>
      <w:pPr>
        <w:spacing w:after="0" w:line="77"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2022 and December 31, 2021, the fair value of our investment portfolio was approximately $39 billion and $39 billion, respectively, and was divided among the following asset classes and sectors (dollars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90"/>
        </w:trPr>
        <w:tc>
          <w:tcPr>
            <w:tcW w:w="5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5"/>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5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1,441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Governments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5"/>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5,109</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5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0"/>
        </w:trPr>
        <w:tc>
          <w:tcPr>
            <w:tcW w:w="5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Wholesale/retail trade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5"/>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3,349</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2,964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4,550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1"/>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Collateral loan obligations ("CLO")</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29,962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 (a)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investments: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Private equity</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5"/>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(primarily derivatives and company owned life insurance)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4"/>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38,975</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ind w:left="60"/>
        <w:spacing w:after="0"/>
        <w:rPr>
          <w:sz w:val="20"/>
          <w:szCs w:val="20"/>
          <w:color w:val="auto"/>
        </w:rPr>
      </w:pPr>
      <w:r>
        <w:rPr>
          <w:rFonts w:ascii="Times New Roman" w:cs="Times New Roman" w:eastAsia="Times New Roman" w:hAnsi="Times New Roman"/>
          <w:sz w:val="14"/>
          <w:szCs w:val="14"/>
          <w:color w:val="auto"/>
        </w:rPr>
        <w:t>(a) Includes investment grade non-redeemable preferred stocks ($833 million and $928 million as of March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-93345</wp:posOffset>
            </wp:positionV>
            <wp:extent cx="3835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35400" cy="8255"/>
                    </a:xfrm>
                    <a:prstGeom prst="rect">
                      <a:avLst/>
                    </a:prstGeom>
                    <a:noFill/>
                  </pic:spPr>
                </pic:pic>
              </a:graphicData>
            </a:graphic>
          </wp:anchor>
        </w:drawing>
      </w:r>
    </w:p>
    <w:p>
      <w:pPr>
        <w:spacing w:after="0" w:line="301" w:lineRule="exact"/>
        <w:rPr>
          <w:sz w:val="20"/>
          <w:szCs w:val="20"/>
          <w:color w:val="auto"/>
        </w:rPr>
      </w:pPr>
    </w:p>
    <w:p>
      <w:pPr>
        <w:ind w:firstLine="395"/>
        <w:spacing w:after="0" w:line="254"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spacing w:after="0" w:line="1" w:lineRule="exact"/>
        <w:rPr>
          <w:sz w:val="20"/>
          <w:szCs w:val="20"/>
          <w:color w:val="auto"/>
        </w:rPr>
      </w:pPr>
    </w:p>
    <w:p>
      <w:pPr>
        <w:ind w:left="220" w:hanging="215"/>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securities rated investment grade by established nationally recognized statistical rating organizations (each, 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“NRSRO”), (ii) U.S. Government and government-sponsored agency securities, or (iii) securities of comparable investment quality, if not rated.</w:t>
      </w:r>
    </w:p>
    <w:p>
      <w:pPr>
        <w:spacing w:after="0" w:line="12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2022 and December 31, 2021, our fixed maturity available-for-sale ("AFS") securities portfolio was approximately $29 billion and $30 billion, respectively. The following table summarizes the credit quality, by NRSRO rating, of our fixed income portfolio (dollars in millions):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2,181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7,667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10,462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 (b)</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6,642</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27,612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and below (a)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 (b)</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2,350</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22"/>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29,962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95"/>
        <w:spacing w:after="0"/>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$63 million and $68 million at March 31, 2022 and December 31, 2021, respectively, of non-agency residential mortgage-backed securities ("RMBS") that carry a NAIC 1 designation.</w:t>
      </w:r>
    </w:p>
    <w:p>
      <w:pPr>
        <w:spacing w:after="0" w:line="6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denoted as not-rated by an NRSRO were classified as investment or non-investment grade according to the securities' respective NAIC designation.</w:t>
      </w:r>
    </w:p>
    <w:p>
      <w:pPr>
        <w:spacing w:after="0" w:line="22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NRSRO Equivalent Rating</w:t>
            </w:r>
          </w:p>
        </w:tc>
      </w:tr>
      <w:tr>
        <w:trPr>
          <w:trHeight w:val="24"/>
        </w:trPr>
        <w:tc>
          <w:tcPr>
            <w:tcW w:w="5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91"/>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AAA/AA/A</w:t>
            </w:r>
          </w:p>
        </w:tc>
      </w:tr>
      <w:tr>
        <w:trPr>
          <w:trHeight w:val="190"/>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BBB</w:t>
            </w:r>
          </w:p>
        </w:tc>
      </w:tr>
      <w:tr>
        <w:trPr>
          <w:trHeight w:val="205"/>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BB</w:t>
            </w:r>
          </w:p>
        </w:tc>
      </w:tr>
      <w:tr>
        <w:trPr>
          <w:trHeight w:val="190"/>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w:t>
            </w:r>
          </w:p>
        </w:tc>
      </w:tr>
      <w:tr>
        <w:trPr>
          <w:trHeight w:val="205"/>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CCC and lower</w:t>
            </w:r>
          </w:p>
        </w:tc>
      </w:tr>
      <w:tr>
        <w:trPr>
          <w:trHeight w:val="183"/>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or near default</w:t>
            </w:r>
          </w:p>
        </w:tc>
      </w:tr>
    </w:tbl>
    <w:p>
      <w:pPr>
        <w:spacing w:after="0" w:line="20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NAIC uses designation methodologies for non-agency RMBS, including RMBS backed by subprime mortgage loans and for commercial mortgage-backed securities ("CMBS"). The NAIC’s objective with the designation methodologies for these structured securities was to increase accuracy in assessing expected losses and to use the improved assessment to determine a more appropriate capital requirement for such structured securities. Prior to 2021, the NAIC designations for structured securities, including subprime and Alternative A-paper ("Alt-A") RMBS, were based upon a comparison of the bond’s amortized cost to the NAIC’s loss expectation for each security. Securities where modeling does not generate an expected loss in all scenarios are given the highest designation of NAIC 1. In 2021, the NAIC eliminated the comparison of non-legacy (issues after 2012) bond's amortized cost to the NAIC's loss expectation and instead assigned a NAIC designation based on the loss expectation alone. Several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NAIC methodologies.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our fixed maturity securities by NAIC designation as of March 31, 2022 and December 31, 2021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80" w:type="dxa"/>
            <w:vAlign w:val="bottom"/>
          </w:tcPr>
          <w:p>
            <w:pPr>
              <w:spacing w:after="0"/>
              <w:rPr>
                <w:sz w:val="16"/>
                <w:szCs w:val="16"/>
                <w:color w:val="auto"/>
              </w:rPr>
            </w:pPr>
          </w:p>
        </w:tc>
        <w:tc>
          <w:tcPr>
            <w:tcW w:w="22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Percent of Total Fair Value</w:t>
            </w:r>
          </w:p>
        </w:tc>
        <w:tc>
          <w:tcPr>
            <w:tcW w:w="0" w:type="dxa"/>
            <w:vAlign w:val="bottom"/>
          </w:tcPr>
          <w:p>
            <w:pPr>
              <w:spacing w:after="0"/>
              <w:rPr>
                <w:sz w:val="1"/>
                <w:szCs w:val="1"/>
                <w:color w:val="auto"/>
              </w:rPr>
            </w:pPr>
          </w:p>
        </w:tc>
      </w:tr>
      <w:tr>
        <w:trPr>
          <w:trHeight w:val="197"/>
        </w:trPr>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17,015</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w:t>
            </w:r>
          </w:p>
        </w:tc>
        <w:tc>
          <w:tcPr>
            <w:tcW w:w="1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NAIC Designation</w:t>
            </w: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40" w:type="dxa"/>
            <w:vAlign w:val="bottom"/>
          </w:tcPr>
          <w:p>
            <w:pPr>
              <w:spacing w:after="0"/>
              <w:rPr>
                <w:sz w:val="16"/>
                <w:szCs w:val="16"/>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Percent of Total Fair Value</w:t>
            </w:r>
          </w:p>
        </w:tc>
        <w:tc>
          <w:tcPr>
            <w:tcW w:w="0" w:type="dxa"/>
            <w:vAlign w:val="bottom"/>
          </w:tcPr>
          <w:p>
            <w:pPr>
              <w:spacing w:after="0"/>
              <w:rPr>
                <w:sz w:val="1"/>
                <w:szCs w:val="1"/>
                <w:color w:val="auto"/>
              </w:rPr>
            </w:pPr>
          </w:p>
        </w:tc>
      </w:tr>
      <w:tr>
        <w:trPr>
          <w:trHeight w:val="197"/>
        </w:trPr>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29,962</w:t>
            </w:r>
          </w:p>
        </w:tc>
        <w:tc>
          <w:tcPr>
            <w:tcW w:w="1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Industry Concentration</w:t>
      </w:r>
    </w:p>
    <w:p>
      <w:pPr>
        <w:spacing w:after="0" w:line="216"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The tables below present the top ten industry categories of our fixed maturity and equity securities and FHLB common stock, including the fair value and percent of total fixed maturity and equity securities and FHLB common stock fair value as of March 31, 2022 and December 31, 2021 (dollars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33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50552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 ("CMO")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Healthcare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50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0552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33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ABS Other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CLO securities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 ("CMO")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Electric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Healthcare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5495" cy="125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50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tcBorders>
              <w:top w:val="single" w:sz="8" w:color="auto"/>
            </w:tcBorders>
          </w:tcPr>
          <w:p>
            <w:pPr>
              <w:jc w:val="right"/>
              <w:ind w:right="110"/>
              <w:spacing w:after="0" w:line="147"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1"/>
        </w:trPr>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21,714</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6"/>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tcBorders>
              <w:top w:val="single" w:sz="8" w:color="auto"/>
            </w:tcBorders>
          </w:tcPr>
          <w:p>
            <w:pPr>
              <w:jc w:val="right"/>
              <w:ind w:right="110"/>
              <w:spacing w:after="0" w:line="147"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1"/>
        </w:trPr>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21,812</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26"/>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March 31, 2022 and December 31, 2021 (dollars in millions), are shown below. Actual maturities may differ from contractual maturities because issuers may have the right to call or prepay obligations.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4"/>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Government securities: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r>
      <w:tr>
        <w:trPr>
          <w:trHeight w:val="183"/>
        </w:trPr>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17,576</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r>
      <w:tr>
        <w:trPr>
          <w:trHeight w:val="19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Structured hybrids</w:t>
            </w:r>
          </w:p>
        </w:tc>
        <w:tc>
          <w:tcPr>
            <w:tcW w:w="2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8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12,386</w:t>
            </w:r>
          </w:p>
        </w:tc>
      </w:tr>
      <w:tr>
        <w:trPr>
          <w:trHeight w:val="222"/>
        </w:trPr>
        <w:tc>
          <w:tcPr>
            <w:tcW w:w="4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NAIC's valuation of the securities, general lack of sensitivity to interest rates, positive convexity to prepayment rates and correlation between the price of the securities and the strength of the U.S. housing market.</w:t>
      </w:r>
    </w:p>
    <w:p>
      <w:pPr>
        <w:spacing w:after="0" w:line="10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our investments in subprime and Alt-A RMBS securities was $49 million and $69 million as of March 31, 2022, respectively, and $52 million and $75 million as of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summarize our exposure to subprime and Alt-A RMBS by credit quality using NAIC designations, NRSRO ratings and vintage year as of March 31, 2022 and December 31, 2021 (dollars in millions):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9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2"/>
        </w:trPr>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NRSRO:</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rated - Above investment grade (a)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 and below</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197"/>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2007</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2005 and prior</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Securities denoted as not-rated by an NRSRO were classified as investment or non-investment grade according to the securities' respective NAIC designation.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March 31, 2022, the CLO and ABS positions were trading at a net unrealized gain/(loss) position of $59 million and $(137)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 CLO and ABS positions were trading at a net unrealized gain position of $145 million and $37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3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municipal bond exposure is a combination of general obligation bonds (fair value of $226 million and an amortized cost of $239 million as of March 31, 2022) and special revenue bonds (fair value of $1,084 million and an amortized cost of $1,141 million as of March 31, 2021).</w:t>
      </w:r>
    </w:p>
    <w:p>
      <w:pPr>
        <w:spacing w:after="0" w:line="7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Across all municipal bonds, the largest issuer represented 6% of the category, less than 1% of the entire portfolio and is rated NAIC 1. Our focus within municipal bonds is on NAIC 1 rated instruments, and 92%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rate all commercial mortgage loans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unaudited Condensed Consolidated Statements of Earnings.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LTV and DSC ratios are utilized as part of the review process described above. As of March 31, 2022, our mortgage loans on real estate portfolio had a weighted average DSC ratio of 2.4 times, and a weighted average LTV ratio of 56%. See Note D to the unaudited Condensed Consolidated Financial Statements included in Item 1 of Part I of this Report for additional information regarding our LTV and DSC ratios.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F&amp;G's residential mortgage loans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amortized cost and fair value of the fixed maturity securities and the equity securities that were in an unrealized loss position as of March 31, 2022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 (in millions):</w:t>
      </w:r>
    </w:p>
    <w:p>
      <w:pPr>
        <w:spacing w:after="0" w:line="23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20" w:type="dxa"/>
            <w:vAlign w:val="bottom"/>
          </w:tcPr>
          <w:p>
            <w:pPr>
              <w:spacing w:after="0"/>
              <w:rPr>
                <w:sz w:val="11"/>
                <w:szCs w:val="1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Expected Credit</w:t>
            </w: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Governments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 backed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3"/>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20" w:type="dxa"/>
            <w:vAlign w:val="bottom"/>
          </w:tcPr>
          <w:p>
            <w:pPr>
              <w:spacing w:after="0"/>
              <w:rPr>
                <w:sz w:val="11"/>
                <w:szCs w:val="1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Expected Credit</w:t>
            </w: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Governments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 backed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gross unrealized loss position on the fixed maturity available-for-sale fixed and equity portfolio was $1,598 million and $249 million as of March 31, 2022 and December 31, 2021, respectively. Most components of the portfolio exhibited price depreciation caused by higher treasury rates and wider spreads. The total amortized cost of all securities in an unrealized loss position was $22,988 million and $11,968 million as of March 31, 2022 and December 31, 2021, respectively. The average market value/book value of the investment category with the largest unrealized loss position was 89% for Services, media and other as of March 31, 2022. In aggregate, Services, media and other represented 18% of the total unrealized loss position as of March 31, 2022. The average market value/book value of the investment category with the largest unrealized loss position was 96% for Utilities, energy and related sectors as of December 31, 2021. In aggregate, Utilities, energy and related sectors represented 18% of the total unrealized loss position as of December 31, 2021.</w:t>
      </w:r>
    </w:p>
    <w:p>
      <w:pPr>
        <w:spacing w:after="0" w:line="68"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amortized cost and fair value of fixed maturity available for sale securities under watch list analysis and the number of months in a loss position with investment grade securities (NRSRO rating of BBB/Baa or higher) as of March 31, 2022 and December 31, 2021, were as follows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1000" w:type="dxa"/>
            <w:vAlign w:val="bottom"/>
          </w:tcPr>
          <w:p>
            <w:pPr>
              <w:jc w:val="center"/>
              <w:ind w:left="19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0"/>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100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1040" w:type="dxa"/>
            <w:vAlign w:val="bottom"/>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4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6"/>
                <w:szCs w:val="16"/>
                <w:color w:val="auto"/>
              </w:rPr>
            </w:pPr>
          </w:p>
        </w:tc>
        <w:tc>
          <w:tcPr>
            <w:tcW w:w="1040" w:type="dxa"/>
            <w:vAlign w:val="bottom"/>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spacing w:after="0"/>
              <w:rPr>
                <w:sz w:val="11"/>
                <w:szCs w:val="11"/>
                <w:color w:val="auto"/>
              </w:rPr>
            </w:pPr>
          </w:p>
        </w:tc>
        <w:tc>
          <w:tcPr>
            <w:tcW w:w="1000" w:type="dxa"/>
            <w:vAlign w:val="bottom"/>
            <w:shd w:val="clear" w:color="auto" w:fill="CCEEFF"/>
          </w:tcPr>
          <w:p>
            <w:pPr>
              <w:jc w:val="center"/>
              <w:ind w:left="190"/>
              <w:spacing w:after="0" w:line="13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84"/>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25"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March 31, 2022, our watch list included twelve securities in an unrealized loss position with an amortized cost of $275 million, allowance for expected credit losses of $0 million, unrealized losses of $36 million and a fair value of $239 million.</w:t>
      </w:r>
    </w:p>
    <w:p>
      <w:pPr>
        <w:spacing w:after="0" w:line="1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our watch list included seven securities in an unrealized loss position with an amortized cost of $132 million, allowance for expected credit losses of $0 million, unrealized losses of $7 million and a fair value of $125 million.</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watch list excludes structured securities due to a revision of processes as a result of ASU 2016-13.</w:t>
      </w:r>
    </w:p>
    <w:p>
      <w:pPr>
        <w:spacing w:after="0" w:line="12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were 34 and 36 structured securities with a fair value of $42 million and $45 million to which we had potential credit exposure as of March 31, 2022 and December 31, 2021, respectively. Our analysis of these structured securities, which included cash flow testing, resulted in allowances for expected credit losses of $6 million and $8 million as of March 31, 2022 and December 31, 2021,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w:t>
      </w:r>
    </w:p>
    <w:p>
      <w:pPr>
        <w:spacing w:after="0" w:line="16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in the exposure to sovereign debt described in our Annual Report on Form 10-K for the year ended December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discussion regarding our net investment income and net investment gains (losses) refer to Note D to the unaudited Condensed Consolidated Financial Statements included in Item 1 of Part I of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2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March 31, 2022 and December 31, 2021, refer to Note D to the unaudited Condensed Consolidated Financial Statements included in Item 1 of Part I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6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in the concentrations of financial instruments described in our Annual Report on Form 10-K for the year ended December 31,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9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E to the unaudited Condensed Consolidated Financial Statements included in Item 1 of Part I of this Report for additional information regarding our derivatives and our exposure to credit loss on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39" w:lineRule="exact"/>
        <w:rPr>
          <w:sz w:val="20"/>
          <w:szCs w:val="20"/>
          <w:color w:val="auto"/>
        </w:rPr>
      </w:pPr>
    </w:p>
    <w:p>
      <w:pPr>
        <w:jc w:val="both"/>
        <w:ind w:right="100" w:firstLine="395"/>
        <w:spacing w:after="0" w:line="254"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 (in millions):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278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r>
      <w:tr>
        <w:trPr>
          <w:trHeight w:val="24"/>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5"/>
                <w:szCs w:val="15"/>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110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4</w:t>
            </w:r>
          </w:p>
        </w:tc>
      </w:tr>
      <w:tr>
        <w:trPr>
          <w:trHeight w:val="224"/>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gains and losses, net</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w w:val="72"/>
              </w:rPr>
              <w:t>—</w:t>
            </w:r>
          </w:p>
        </w:tc>
      </w:tr>
      <w:tr>
        <w:trPr>
          <w:trHeight w:val="217"/>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4</w:t>
            </w: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2</w:t>
            </w:r>
          </w:p>
        </w:tc>
      </w:tr>
      <w:tr>
        <w:trPr>
          <w:trHeight w:val="224"/>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2</w:t>
            </w:r>
          </w:p>
        </w:tc>
      </w:tr>
      <w:tr>
        <w:trPr>
          <w:trHeight w:val="224"/>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w:t>
            </w:r>
          </w:p>
        </w:tc>
      </w:tr>
      <w:tr>
        <w:trPr>
          <w:trHeight w:val="217"/>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1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8</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 and equity in earnings of unconsolidated affiliates</w:t>
            </w:r>
          </w:p>
        </w:tc>
        <w:tc>
          <w:tcPr>
            <w:tcW w:w="110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right="100" w:firstLine="237"/>
        <w:spacing w:after="0" w:line="268"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64"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Total revenues in the Corporate and Other segment decreased $8 million, or 19%, in the three months ended March 31, 2022 from the corresponding period in 2021. The decrease was primarily attributable to a decrease in valuations associated with our deferred compensation plan assets of $16 million, partially offset by various immaterial items.</w:t>
      </w:r>
    </w:p>
    <w:p>
      <w:pPr>
        <w:spacing w:after="0" w:line="75" w:lineRule="exact"/>
        <w:rPr>
          <w:sz w:val="20"/>
          <w:szCs w:val="20"/>
          <w:color w:val="auto"/>
        </w:rPr>
      </w:pPr>
    </w:p>
    <w:p>
      <w:pPr>
        <w:jc w:val="both"/>
        <w:ind w:right="100" w:firstLine="237"/>
        <w:spacing w:after="0" w:line="268" w:lineRule="auto"/>
        <w:rPr>
          <w:sz w:val="20"/>
          <w:szCs w:val="20"/>
          <w:color w:val="auto"/>
        </w:rPr>
      </w:pPr>
      <w:r>
        <w:rPr>
          <w:rFonts w:ascii="Times New Roman" w:cs="Times New Roman" w:eastAsia="Times New Roman" w:hAnsi="Times New Roman"/>
          <w:sz w:val="18"/>
          <w:szCs w:val="18"/>
          <w:color w:val="auto"/>
        </w:rPr>
        <w:t>Personnel costs in the Corporate and Other segment decreased $12 million, or 41%, in the three months ended March 31, 2022 from the corresponding period in 2021. The decrease was primarily attributable to the aforementioned decrease in valuations associated with our deferred compensation plan assets.</w:t>
      </w:r>
    </w:p>
    <w:p>
      <w:pPr>
        <w:spacing w:after="0" w:line="64"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$2 million, or 8%, in the three months ended March 31, 2022 from the corresponding period in 2021. The increase was primarily attributable to increased expenses associated with our real estate technology businesses of $4 million, partially offset by other immaterial items.</w:t>
      </w:r>
    </w:p>
    <w:p>
      <w:pPr>
        <w:spacing w:after="0" w:line="75"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Interest expense in the Corporate and Other segment increased $2 million, or 10%, in the three months ended March 31, 2022 from the corresponding period in 2021. The increase was primarily attributable to increased average debt outstanding in the three months ended March 31, 2022 from the corresponding period in 2021.</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jc w:val="both"/>
        <w:ind w:right="100"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$0.44 per share in the first quarter of 2022, or approximately $124 million to our common shareholders. On May 10, 2022, our Board of Directors declared cash dividends of $0.44 per share, payable on June 30, 2022, to FNF common shareholders of record as of June 16, 2022.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2" w:lineRule="exact"/>
        <w:rPr>
          <w:sz w:val="20"/>
          <w:szCs w:val="20"/>
          <w:color w:val="auto"/>
        </w:rPr>
      </w:pPr>
    </w:p>
    <w:p>
      <w:pPr>
        <w:jc w:val="both"/>
        <w:ind w:right="100" w:firstLine="316"/>
        <w:spacing w:after="0" w:line="256" w:lineRule="auto"/>
        <w:rPr>
          <w:sz w:val="20"/>
          <w:szCs w:val="20"/>
          <w:color w:val="auto"/>
        </w:rPr>
      </w:pPr>
      <w:r>
        <w:rPr>
          <w:rFonts w:ascii="Times New Roman" w:cs="Times New Roman" w:eastAsia="Times New Roman" w:hAnsi="Times New Roman"/>
          <w:sz w:val="18"/>
          <w:szCs w:val="18"/>
          <w:color w:val="auto"/>
        </w:rPr>
        <w:t>As of March 31, 2022, we had cash and cash equivalents of $2,793 million, short term investments of $1,746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0"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75" w:lineRule="exact"/>
        <w:rPr>
          <w:sz w:val="20"/>
          <w:szCs w:val="20"/>
          <w:color w:val="auto"/>
        </w:rPr>
      </w:pPr>
    </w:p>
    <w:p>
      <w:pPr>
        <w:jc w:val="both"/>
        <w:ind w:firstLine="316"/>
        <w:spacing w:after="0" w:line="284" w:lineRule="auto"/>
        <w:rPr>
          <w:sz w:val="20"/>
          <w:szCs w:val="20"/>
          <w:color w:val="auto"/>
        </w:rPr>
      </w:pPr>
      <w:r>
        <w:rPr>
          <w:rFonts w:ascii="Times New Roman" w:cs="Times New Roman" w:eastAsia="Times New Roman" w:hAnsi="Times New Roman"/>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2021, $2,375 million of our net assets were restricted from dividend payments without prior approval from the relevant departments of insurance. We anticipate that our title insurance subsidiaries will pay or make dividends in the remainder of 2022 of approximately $626 million. Our underwritten title companies and non-insurance subsidiaries are not regulated to the same extent as our insurance subsidiaries.</w:t>
      </w:r>
    </w:p>
    <w:p>
      <w:pPr>
        <w:spacing w:after="0" w:line="55"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0"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three months ended March 31, 2022 and 2021 totaled $667 million and $665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cash provided by operating activities in the period in 2022 of $2 million is primarily attributable to the increase in future policy benefits of $536 million, which was primarily related to cash received for PRT transactions, the change in income taxes of $61 million and other individually immaterial items, partially offset by the decrease in pre-tax earnings in the 2022 period of $210 million and the timing of receipts and payments of prepaid assets and payables.</w:t>
      </w:r>
    </w:p>
    <w:p>
      <w:pPr>
        <w:spacing w:after="0" w:line="80" w:lineRule="exact"/>
        <w:rPr>
          <w:sz w:val="20"/>
          <w:szCs w:val="20"/>
          <w:color w:val="auto"/>
        </w:rPr>
      </w:pPr>
    </w:p>
    <w:p>
      <w:pPr>
        <w:jc w:val="both"/>
        <w:ind w:firstLine="316"/>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Investing Cash Flows. </w:t>
      </w:r>
      <w:r>
        <w:rPr>
          <w:rFonts w:ascii="Times New Roman" w:cs="Times New Roman" w:eastAsia="Times New Roman" w:hAnsi="Times New Roman"/>
          <w:sz w:val="16"/>
          <w:szCs w:val="16"/>
          <w:color w:val="auto"/>
        </w:rPr>
        <w:t>Our cash flows used in investing activities for the three months ended March 31, 2022 and 2021 were $3,414 million and $1,060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respectively. The increase in cash used in investing activities in the period in 2022 of $2,354 million is primarily attributable to increased purchases of investment securities of $527 million, increases in our investments in unconsolidated affiliates of $308 million, and net purchases of short-term investments of $1,255 million in the period in 2022 as compared to net proceeds from sales and maturities of short-term investments of $645 million in the corresponding period in 2021, partially offset by increased sales, calls, and maturities of investment securities of $398 million and other individually immaterial items.</w:t>
      </w:r>
    </w:p>
    <w:p>
      <w:pPr>
        <w:spacing w:after="0" w:line="50"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$43 million and $22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2022 and 2021, respectively.</w:t>
      </w:r>
    </w:p>
    <w:p>
      <w:pPr>
        <w:spacing w:after="0" w:line="59" w:lineRule="exact"/>
        <w:rPr>
          <w:sz w:val="20"/>
          <w:szCs w:val="20"/>
          <w:color w:val="auto"/>
        </w:rPr>
      </w:pPr>
    </w:p>
    <w:p>
      <w:pPr>
        <w:jc w:val="both"/>
        <w:ind w:firstLine="31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three months ended March 31, 2022 and 2021 were $1,180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$702 million, respectively. The increase in cash provided by financing activities in the period in 2022 of $478 million is primarily attributable to increased cash inflows from contractholder account deposits of $601 million, partially offset by increased cash outflows from contractholder withdrawals of $82 million, increased purchases of treasury stock of $17 million and increased dividend payments of $20 million.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2021.</w:t>
      </w:r>
    </w:p>
    <w:p>
      <w:pPr>
        <w:spacing w:after="0" w:line="59" w:lineRule="exact"/>
        <w:rPr>
          <w:sz w:val="20"/>
          <w:szCs w:val="20"/>
          <w:color w:val="auto"/>
        </w:rPr>
      </w:pPr>
    </w:p>
    <w:p>
      <w:pPr>
        <w:jc w:val="both"/>
        <w:ind w:firstLine="316"/>
        <w:spacing w:after="0" w:line="249"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2021, our Board of Directors approved the 2021 Repurchase Program (the "Repurchase Program")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purchase up to 25 million shares of our FNF common stock through July 31, 2024. We repurchased 2,750,000 shares of FNF common stock during the three months ended March 31, 2022 for approximately $134 million, at an average price of $48.68 per share. Subsequent to March 31, 2022 and through market close on May 9, 2022, we repurchased a total of 300,000 shares for approximately $14 million, at an average price of $46.59 under this program. Since the original commencement of the Repurchase Program, we repurchased a total of 6,030,000 FNF common shares for approximately $296 million, at an average price of $49.07 per share.</w:t>
      </w:r>
    </w:p>
    <w:p>
      <w:pPr>
        <w:spacing w:after="0" w:line="80"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2" w:lineRule="exact"/>
        <w:rPr>
          <w:sz w:val="20"/>
          <w:szCs w:val="20"/>
          <w:color w:val="auto"/>
        </w:rPr>
      </w:pPr>
    </w:p>
    <w:p>
      <w:pPr>
        <w:jc w:val="both"/>
        <w:ind w:firstLine="31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2021.</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March 31, 2022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for additional details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unfunded investment commitments.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1"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described in our Annual Report on Form 10-K for the year ended December 31, 2021.</w:t>
      </w:r>
    </w:p>
    <w:p>
      <w:pPr>
        <w:spacing w:after="0" w:line="113"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2021.</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jc w:val="both"/>
        <w:ind w:firstLine="316"/>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2"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9" w:lineRule="exact"/>
        <w:rPr>
          <w:sz w:val="20"/>
          <w:szCs w:val="20"/>
          <w:color w:val="auto"/>
        </w:rPr>
      </w:pPr>
    </w:p>
    <w:p>
      <w:pPr>
        <w:jc w:val="both"/>
        <w:ind w:right="80" w:firstLine="316"/>
        <w:spacing w:after="0" w:line="271"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which is incorporated by reference into this Item 1 of Part II.</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jc w:val="both"/>
        <w:ind w:right="80" w:firstLine="316"/>
        <w:spacing w:after="0" w:line="268" w:lineRule="auto"/>
        <w:rPr>
          <w:sz w:val="20"/>
          <w:szCs w:val="20"/>
          <w:color w:val="auto"/>
        </w:rPr>
      </w:pPr>
      <w:r>
        <w:rPr>
          <w:rFonts w:ascii="Times New Roman" w:cs="Times New Roman" w:eastAsia="Times New Roman" w:hAnsi="Times New Roman"/>
          <w:sz w:val="18"/>
          <w:szCs w:val="18"/>
          <w:color w:val="auto"/>
        </w:rPr>
        <w:t>The risk factors disclosed in "Item 1A. Risk Factors" included in our Annual Report on Form 10-K for the year ended December 31, 2021, are hereby incorporated by reference. In addition, we identified the following additional risk factor during the three months ended March 31,2022: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F&amp;G Distribution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F&amp;G Distribution is subject to inherent risks</w:t>
      </w:r>
    </w:p>
    <w:p>
      <w:pPr>
        <w:spacing w:after="0" w:line="11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6"/>
          <w:szCs w:val="16"/>
          <w:color w:val="auto"/>
        </w:rPr>
        <w:t>As previously announced, we plan to dividend to our shareholders, on a pro rata basis, 15% of the common stock of our wholly-owned subsidiary, F&amp;G, targeted to be completed in the late third quarter or early fourth quarter of 2022. The F&amp;G Distribution is subject to inherent risks and uncertainties, including, but not limited to: diversion of management's attention and the potential impact of the consummation of the F&amp;G Distribution on relationships, including with employees, suppliers, customers and competitors; our ability to successfully realize the anticipated benefits of the F&amp;G Distribution; the ability to satisfy any necessary conditions (including any applicable regulatory approvals) to consummate the F&amp;G Distribution within the estimated timeframe or at all; the final terms and conditions of the F&amp;G Distribution, including the nature of agreements and arrangements between FNF and F&amp;G following any such transaction, the costs of any such transaction, and the nature and amount of indebtedness incurred by F&amp;G. We cannot provide any assurances regarding the timeframe for completing the F&amp;G Distribution, nor can we provide any assurances that we will be successful in completing the proposed F&amp;G Distribution.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F&amp;G Distribution could adversely affect our earnings</w:t>
      </w:r>
    </w:p>
    <w:p>
      <w:pPr>
        <w:spacing w:after="0" w:line="11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F&amp;G contributes a significant portion of our earnings. We have begun to pursue the F&amp;G Distribution. Although there can be no assurance that this process will result in a consummated transaction, any separation of a portion of F&amp;G's business could adversely affect our earnings.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March 31, 2022:</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that May Yet Be Purchased</w:t>
            </w:r>
          </w:p>
        </w:tc>
        <w:tc>
          <w:tcPr>
            <w:tcW w:w="0" w:type="dxa"/>
            <w:vAlign w:val="bottom"/>
          </w:tcPr>
          <w:p>
            <w:pPr>
              <w:spacing w:after="0"/>
              <w:rPr>
                <w:sz w:val="1"/>
                <w:szCs w:val="1"/>
                <w:color w:val="auto"/>
              </w:rPr>
            </w:pPr>
          </w:p>
        </w:tc>
      </w:tr>
      <w:tr>
        <w:trPr>
          <w:trHeight w:val="14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gridSpan w:val="2"/>
            <w:vMerge w:val="continue"/>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20" w:type="dxa"/>
            <w:vAlign w:val="bottom"/>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2"/>
        </w:trPr>
        <w:tc>
          <w:tcPr>
            <w:tcW w:w="3440" w:type="dxa"/>
            <w:vAlign w:val="bottom"/>
            <w:gridSpan w:val="2"/>
            <w:vMerge w:val="continue"/>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920" w:type="dxa"/>
            <w:vAlign w:val="bottom"/>
            <w:gridSpan w:val="3"/>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92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22"/>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1/1/2022 - 1/31/2022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21,770,000</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2/1/2022 - 2/29/2022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21,570,000</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3/1/2022 - 3/31/2022</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19,270,000</w:t>
            </w:r>
          </w:p>
        </w:tc>
        <w:tc>
          <w:tcPr>
            <w:tcW w:w="0" w:type="dxa"/>
            <w:vAlign w:val="bottom"/>
          </w:tcPr>
          <w:p>
            <w:pPr>
              <w:spacing w:after="0"/>
              <w:rPr>
                <w:sz w:val="1"/>
                <w:szCs w:val="1"/>
                <w:color w:val="auto"/>
              </w:rPr>
            </w:pPr>
          </w:p>
        </w:tc>
      </w:tr>
      <w:tr>
        <w:trPr>
          <w:trHeight w:val="22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right="80" w:hanging="639"/>
        <w:spacing w:after="0" w:line="268" w:lineRule="auto"/>
        <w:tabs>
          <w:tab w:leader="none" w:pos="7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2021 our Board of Directors approved the Repurchase Program, under which we may purchase up to 25 million shares of our FNF common stock through July 31, 2024.</w:t>
      </w:r>
    </w:p>
    <w:p>
      <w:pPr>
        <w:spacing w:after="0" w:line="50" w:lineRule="exact"/>
        <w:rPr>
          <w:rFonts w:ascii="Times New Roman" w:cs="Times New Roman" w:eastAsia="Times New Roman" w:hAnsi="Times New Roman"/>
          <w:sz w:val="18"/>
          <w:szCs w:val="18"/>
          <w:color w:val="auto"/>
        </w:rPr>
      </w:pPr>
    </w:p>
    <w:p>
      <w:pPr>
        <w:ind w:left="700" w:hanging="379"/>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7"/>
        </w:trPr>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Exhibits: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2"/>
                <w:szCs w:val="22"/>
                <w:color w:val="auto"/>
              </w:rPr>
            </w:pPr>
          </w:p>
        </w:tc>
        <w:tc>
          <w:tcPr>
            <w:tcW w:w="9740" w:type="dxa"/>
            <w:vAlign w:val="bottom"/>
            <w:gridSpan w:val="11"/>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Amendment effective February 1, 2022 to Amended and Restated Employment Agreement between Fidelity National Financial, Inc. and</w:t>
              </w:r>
            </w:hyperlink>
          </w:p>
        </w:tc>
      </w:tr>
      <w:tr>
        <w:trPr>
          <w:trHeight w:val="177"/>
        </w:trPr>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0" w:type="dxa"/>
            <w:vAlign w:val="bottom"/>
            <w:tcBorders>
              <w:top w:val="single" w:sz="8" w:color="0000FF"/>
            </w:tcBorders>
            <w:gridSpan w:val="8"/>
          </w:tcPr>
          <w:p>
            <w:pPr>
              <w:spacing w:after="0" w:line="177"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Michael Nolan, effective as of March 2, 2016 (incorporated by reference to Exhibit 10.1 to the Registrant's Current Report on Form 8-K</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560" w:type="dxa"/>
            <w:vAlign w:val="bottom"/>
            <w:tcBorders>
              <w:top w:val="single" w:sz="8" w:color="0000FF"/>
            </w:tcBorders>
            <w:gridSpan w:val="7"/>
          </w:tcPr>
          <w:p>
            <w:pPr>
              <w:spacing w:after="0" w:line="177"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filed on February 17, 2022)(1).</w:t>
              </w:r>
            </w:hyperlink>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9740" w:type="dxa"/>
            <w:vAlign w:val="bottom"/>
            <w:gridSpan w:val="11"/>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Amendment effective February 1, 2022 to Amended and Restated Employment Agreement between Fidelity National Financial, Inc. and</w:t>
              </w:r>
            </w:hyperlink>
          </w:p>
        </w:tc>
      </w:tr>
      <w:tr>
        <w:trPr>
          <w:trHeight w:val="177"/>
        </w:trPr>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0" w:type="dxa"/>
            <w:vAlign w:val="bottom"/>
            <w:tcBorders>
              <w:top w:val="single" w:sz="8" w:color="0000FF"/>
            </w:tcBorders>
            <w:gridSpan w:val="8"/>
          </w:tcPr>
          <w:p>
            <w:pPr>
              <w:spacing w:after="0" w:line="17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Raymond R. Quirk, effective as of October 10, 2008 (incorporated by reference to Exhibit 10.2 to the Registrant's Current Report on</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tcBorders>
              <w:top w:val="single" w:sz="8" w:color="0000FF"/>
            </w:tcBorders>
            <w:gridSpan w:val="6"/>
          </w:tcPr>
          <w:p>
            <w:pPr>
              <w:spacing w:after="0" w:line="17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8-K filed on February 17, 2022)(1).</w:t>
              </w:r>
            </w:hyperlink>
          </w:p>
        </w:tc>
        <w:tc>
          <w:tcPr>
            <w:tcW w:w="4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309"/>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700" w:type="dxa"/>
            <w:vAlign w:val="bottom"/>
            <w:gridSpan w:val="6"/>
          </w:tcPr>
          <w:p>
            <w:pPr>
              <w:spacing w:after="0"/>
              <w:rPr>
                <w:sz w:val="24"/>
                <w:szCs w:val="24"/>
                <w:color w:val="auto"/>
              </w:rPr>
            </w:pPr>
          </w:p>
        </w:tc>
      </w:tr>
      <w:tr>
        <w:trPr>
          <w:trHeight w:val="309"/>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1"/>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20" w:type="dxa"/>
            <w:vAlign w:val="bottom"/>
            <w:tcBorders>
              <w:top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6"/>
                <w:szCs w:val="16"/>
                <w:color w:val="0000FF"/>
              </w:rPr>
              <w:t>U.S.C. Section 1350.</w:t>
            </w: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2"/>
        </w:trPr>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1"/>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Borders>
              <w:top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6"/>
                <w:szCs w:val="16"/>
                <w:color w:val="0000FF"/>
              </w:rPr>
              <w:t>U.S.C. Section 1350.</w:t>
            </w:r>
          </w:p>
        </w:tc>
        <w:tc>
          <w:tcPr>
            <w:tcW w:w="40" w:type="dxa"/>
            <w:vAlign w:val="bottom"/>
            <w:gridSpan w:val="2"/>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60" w:type="dxa"/>
            <w:vAlign w:val="bottom"/>
            <w:gridSpan w:val="10"/>
          </w:tcPr>
          <w:p>
            <w:pPr>
              <w:spacing w:after="0" w:line="20" w:lineRule="exact"/>
              <w:rPr>
                <w:sz w:val="1"/>
                <w:szCs w:val="1"/>
                <w:color w:val="auto"/>
              </w:rPr>
            </w:pPr>
          </w:p>
        </w:tc>
      </w:tr>
      <w:tr>
        <w:trPr>
          <w:trHeight w:val="400"/>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101.INS</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0"/>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101.SCH</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8"/>
        </w:trPr>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101.CAL</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8"/>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101.DEF</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8"/>
        </w:trPr>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101.PRE</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8"/>
        </w:trPr>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101.LAB</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0" w:lineRule="exact"/>
        <w:rPr>
          <w:sz w:val="20"/>
          <w:szCs w:val="20"/>
          <w:color w:val="auto"/>
        </w:rPr>
      </w:pPr>
    </w:p>
    <w:p>
      <w:pPr>
        <w:ind w:left="1520" w:hanging="1094"/>
        <w:spacing w:after="0"/>
        <w:tabs>
          <w:tab w:leader="none" w:pos="1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157" w:lineRule="exact"/>
        <w:rPr>
          <w:rFonts w:ascii="Times New Roman" w:cs="Times New Roman" w:eastAsia="Times New Roman" w:hAnsi="Times New Roman"/>
          <w:sz w:val="18"/>
          <w:szCs w:val="18"/>
          <w:color w:val="auto"/>
        </w:rPr>
      </w:pPr>
    </w:p>
    <w:p>
      <w:pPr>
        <w:ind w:left="20" w:right="3140" w:firstLine="3"/>
        <w:spacing w:after="0" w:line="405" w:lineRule="auto"/>
        <w:tabs>
          <w:tab w:leader="none" w:pos="21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601 of Regulation S-K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09" w:lineRule="exact"/>
        <w:rPr>
          <w:sz w:val="20"/>
          <w:szCs w:val="20"/>
          <w:color w:val="auto"/>
        </w:rPr>
      </w:pPr>
    </w:p>
    <w:p>
      <w:pPr>
        <w:ind w:right="140" w:firstLine="15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320" w:top="104" w:right="359" w:bottom="1440" w:gutter="0" w:footer="0" w:header="0"/>
        </w:sectPr>
      </w:pPr>
    </w:p>
    <w:p>
      <w:pPr>
        <w:ind w:left="520"/>
        <w:spacing w:after="0"/>
        <w:rPr>
          <w:sz w:val="20"/>
          <w:szCs w:val="20"/>
          <w:color w:val="auto"/>
        </w:rPr>
      </w:pPr>
      <w:r>
        <w:rPr>
          <w:rFonts w:ascii="Times New Roman" w:cs="Times New Roman" w:eastAsia="Times New Roman" w:hAnsi="Times New Roman"/>
          <w:sz w:val="16"/>
          <w:szCs w:val="16"/>
          <w:color w:val="auto"/>
        </w:rPr>
        <w:t>Date: May 10,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FIDELITY NATIONAL FINANCIAL,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79" w:lineRule="exact"/>
        <w:rPr>
          <w:sz w:val="20"/>
          <w:szCs w:val="20"/>
          <w:color w:val="auto"/>
        </w:rPr>
      </w:pPr>
    </w:p>
    <w:p>
      <w:pPr>
        <w:sectPr>
          <w:pgSz w:w="11900" w:h="16838" w:orient="portrait"/>
          <w:cols w:equalWidth="0" w:num="2">
            <w:col w:w="4720" w:space="720"/>
            <w:col w:w="5780"/>
          </w:cols>
          <w:pgMar w:left="320" w:top="104" w:right="35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29845</wp:posOffset>
            </wp:positionV>
            <wp:extent cx="26987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69875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700" w:space="240"/>
            <w:col w:w="5280"/>
          </w:cols>
          <w:pgMar w:left="320" w:top="104" w:right="359" w:bottom="1440" w:gutter="0" w:footer="0" w:header="0"/>
          <w:type w:val="continuous"/>
        </w:sectPr>
      </w:pPr>
    </w:p>
    <w:p>
      <w:pPr>
        <w:ind w:left="5940"/>
        <w:spacing w:after="0"/>
        <w:rPr>
          <w:sz w:val="20"/>
          <w:szCs w:val="20"/>
          <w:color w:val="auto"/>
        </w:rPr>
      </w:pPr>
      <w:r>
        <w:rPr>
          <w:rFonts w:ascii="Times New Roman" w:cs="Times New Roman" w:eastAsia="Times New Roman" w:hAnsi="Times New Roman"/>
          <w:sz w:val="18"/>
          <w:szCs w:val="18"/>
          <w:color w:val="auto"/>
        </w:rPr>
        <w:t>Anthony J. Park</w:t>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ind w:left="59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04" w:right="35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4" w:lineRule="exact"/>
        <w:rPr>
          <w:sz w:val="20"/>
          <w:szCs w:val="20"/>
          <w:color w:val="auto"/>
        </w:rPr>
      </w:pPr>
    </w:p>
    <w:p>
      <w:pPr>
        <w:ind w:left="180" w:hanging="175"/>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41" w:lineRule="exact"/>
        <w:rPr>
          <w:sz w:val="20"/>
          <w:szCs w:val="20"/>
          <w:color w:val="auto"/>
        </w:rPr>
      </w:pPr>
    </w:p>
    <w:p>
      <w:pPr>
        <w:ind w:left="480"/>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15240</wp:posOffset>
            </wp:positionV>
            <wp:extent cx="26238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Michael J. Nolan</w:t>
      </w:r>
    </w:p>
    <w:p>
      <w:pPr>
        <w:ind w:left="1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6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4" w:lineRule="exact"/>
        <w:rPr>
          <w:sz w:val="20"/>
          <w:szCs w:val="20"/>
          <w:color w:val="auto"/>
        </w:rPr>
      </w:pPr>
    </w:p>
    <w:p>
      <w:pPr>
        <w:ind w:left="180" w:hanging="175"/>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1" w:lineRule="exact"/>
        <w:rPr>
          <w:rFonts w:ascii="Times New Roman" w:cs="Times New Roman" w:eastAsia="Times New Roman" w:hAnsi="Times New Roman"/>
          <w:sz w:val="18"/>
          <w:szCs w:val="18"/>
          <w:color w:val="auto"/>
        </w:rPr>
      </w:pPr>
    </w:p>
    <w:p>
      <w:pPr>
        <w:ind w:firstLine="5"/>
        <w:spacing w:after="0" w:line="268" w:lineRule="auto"/>
        <w:tabs>
          <w:tab w:leader="none" w:pos="1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firstLine="5"/>
        <w:spacing w:after="0" w:line="268" w:lineRule="auto"/>
        <w:tabs>
          <w:tab w:leader="none" w:pos="1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firstLine="5"/>
        <w:spacing w:after="0" w:line="256" w:lineRule="auto"/>
        <w:tabs>
          <w:tab w:leader="none" w:pos="1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1"/>
        <w:spacing w:after="0" w:line="256" w:lineRule="auto"/>
        <w:tabs>
          <w:tab w:leader="none" w:pos="14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8" w:lineRule="auto"/>
        <w:tabs>
          <w:tab w:leader="none" w:pos="2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420" w:hanging="941"/>
        <w:spacing w:after="0" w:line="268" w:lineRule="auto"/>
        <w:tabs>
          <w:tab w:leader="none" w:pos="14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1"/>
        <w:spacing w:after="0" w:line="268" w:lineRule="auto"/>
        <w:tabs>
          <w:tab w:leader="none" w:pos="14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188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15240</wp:posOffset>
            </wp:positionV>
            <wp:extent cx="26238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18"/>
          <w:szCs w:val="18"/>
          <w:color w:val="auto"/>
        </w:rPr>
        <w:t>Anthony J. Park</w:t>
      </w:r>
    </w:p>
    <w:p>
      <w:pPr>
        <w:ind w:left="2560"/>
        <w:spacing w:after="0" w:line="190"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May 10, 2022</w:t>
      </w:r>
    </w:p>
    <w:p>
      <w:pPr>
        <w:sectPr>
          <w:pgSz w:w="11900" w:h="16838" w:orient="portrait"/>
          <w:cols w:equalWidth="0" w:num="1">
            <w:col w:w="11240"/>
          </w:cols>
          <w:pgMar w:left="320" w:top="86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2" w:lineRule="exact"/>
        <w:rPr>
          <w:sz w:val="20"/>
          <w:szCs w:val="20"/>
          <w:color w:val="auto"/>
        </w:rPr>
      </w:pPr>
    </w:p>
    <w:p>
      <w:pPr>
        <w:ind w:firstLine="376"/>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28"/>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5"/>
        </w:trPr>
        <w:tc>
          <w:tcPr>
            <w:tcW w:w="226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3" w:lineRule="exact"/>
        <w:rPr>
          <w:sz w:val="20"/>
          <w:szCs w:val="20"/>
          <w:color w:val="auto"/>
        </w:rPr>
      </w:pPr>
    </w:p>
    <w:p>
      <w:pPr>
        <w:ind w:firstLine="221"/>
        <w:spacing w:after="0" w:line="268"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7" w:lineRule="exact"/>
        <w:rPr>
          <w:sz w:val="20"/>
          <w:szCs w:val="20"/>
          <w:color w:val="auto"/>
        </w:rPr>
      </w:pPr>
    </w:p>
    <w:p>
      <w:pPr>
        <w:ind w:left="880" w:hanging="875"/>
        <w:spacing w:after="0" w:line="268"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8"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5"/>
        </w:trPr>
        <w:tc>
          <w:tcPr>
            <w:tcW w:w="2180" w:type="dxa"/>
            <w:vAlign w:val="bottom"/>
            <w:vMerge w:val="continue"/>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Roman"/>
      <w:start w:val="1"/>
    </w:lvl>
  </w:abstractNum>
  <w:abstractNum w:abstractNumId="11">
    <w:nsid w:val="721DA317"/>
    <w:multiLevelType w:val="hybridMultilevel"/>
    <w:lvl w:ilvl="0">
      <w:lvlJc w:val="left"/>
      <w:lvlText w:val="(%1)"/>
      <w:numFmt w:val="lowerRoman"/>
      <w:start w:val="5"/>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lvl w:ilvl="1">
      <w:lvlJc w:val="left"/>
      <w:lvlText w:val="%2"/>
      <w:numFmt w:val="decimal"/>
      <w:start w:val="104"/>
    </w:lvl>
  </w:abstractNum>
  <w:abstractNum w:abstractNumId="27">
    <w:nsid w:val="8138641"/>
    <w:multiLevelType w:val="hybridMultilevel"/>
    <w:lvl w:ilvl="0">
      <w:lvlJc w:val="left"/>
      <w:lvlText w:val="(%1)"/>
      <w:numFmt w:val="decimal"/>
      <w:start w:val="1"/>
    </w:lvl>
    <w:lvl w:ilvl="1">
      <w:lvlJc w:val="left"/>
      <w:lvlText w:val="%2"/>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0" Type="http://schemas.openxmlformats.org/officeDocument/2006/relationships/hyperlink" Target="https://www.sec.gov/Archives/edgar/data/0001331875/000133187522000016/ex101nolanemploymentagr02-.htm" TargetMode="External"/><Relationship Id="rId151" Type="http://schemas.openxmlformats.org/officeDocument/2006/relationships/hyperlink" Target="https://www.sec.gov/Archives/edgar/data/0001331875/000133187522000016/ex102quirkemploymentagr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2022-05-10T16:53:40Z</dcterms:created>
  <dcterms:modified xsi:type="dcterms:W3CDTF">2022-05-10T16:53:40Z</dcterms:modified>
</cp:coreProperties>
</file>