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300" w:right="60" w:hanging="724"/>
        <w:spacing w:after="0" w:line="25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300" w:right="480" w:hanging="709"/>
        <w:spacing w:after="0" w:line="25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1-32630</w:t>
      </w:r>
    </w:p>
    <w:p>
      <w:pPr>
        <w:spacing w:after="0" w:line="76"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_________________________________</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Fidelity National Financial,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7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4880" w:type="dxa"/>
            <w:vAlign w:val="bottom"/>
          </w:tcPr>
          <w:p>
            <w:pPr>
              <w:jc w:val="center"/>
              <w:ind w:right="1277"/>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right"/>
              <w:ind w:right="50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4880" w:type="dxa"/>
            <w:vAlign w:val="bottom"/>
          </w:tcPr>
          <w:p>
            <w:pPr>
              <w:jc w:val="center"/>
              <w:ind w:right="1297"/>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440" w:type="dxa"/>
            <w:vAlign w:val="bottom"/>
          </w:tcPr>
          <w:p>
            <w:pPr>
              <w:jc w:val="center"/>
              <w:ind w:left="13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488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601 Riverside Avenue</w:t>
            </w:r>
          </w:p>
        </w:tc>
        <w:tc>
          <w:tcPr>
            <w:tcW w:w="34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4880" w:type="dxa"/>
            <w:vAlign w:val="bottom"/>
          </w:tcPr>
          <w:p>
            <w:pPr>
              <w:jc w:val="center"/>
              <w:ind w:right="1297"/>
              <w:spacing w:after="0"/>
              <w:rPr>
                <w:sz w:val="20"/>
                <w:szCs w:val="20"/>
                <w:color w:val="auto"/>
              </w:rPr>
            </w:pPr>
            <w:r>
              <w:rPr>
                <w:rFonts w:ascii="Arial" w:cs="Arial" w:eastAsia="Arial" w:hAnsi="Arial"/>
                <w:sz w:val="18"/>
                <w:szCs w:val="18"/>
                <w:b w:val="1"/>
                <w:bCs w:val="1"/>
                <w:color w:val="auto"/>
                <w:w w:val="90"/>
              </w:rPr>
              <w:t>Jacksonville, Florida 32204</w:t>
            </w:r>
          </w:p>
        </w:tc>
        <w:tc>
          <w:tcPr>
            <w:tcW w:w="3440" w:type="dxa"/>
            <w:vAlign w:val="bottom"/>
          </w:tcPr>
          <w:p>
            <w:pPr>
              <w:ind w:left="1520"/>
              <w:spacing w:after="0"/>
              <w:rPr>
                <w:sz w:val="20"/>
                <w:szCs w:val="20"/>
                <w:color w:val="auto"/>
              </w:rPr>
            </w:pPr>
            <w:r>
              <w:rPr>
                <w:rFonts w:ascii="Arial" w:cs="Arial" w:eastAsia="Arial" w:hAnsi="Arial"/>
                <w:sz w:val="14"/>
                <w:szCs w:val="14"/>
                <w:i w:val="1"/>
                <w:iCs w:val="1"/>
                <w:color w:val="auto"/>
                <w:w w:val="95"/>
              </w:rPr>
              <w:t>(Registrant’s telephone number,</w:t>
            </w:r>
          </w:p>
        </w:tc>
      </w:tr>
      <w:tr>
        <w:trPr>
          <w:trHeight w:val="204"/>
        </w:trPr>
        <w:tc>
          <w:tcPr>
            <w:tcW w:w="4880" w:type="dxa"/>
            <w:vAlign w:val="bottom"/>
          </w:tcPr>
          <w:p>
            <w:pPr>
              <w:jc w:val="center"/>
              <w:ind w:right="1257"/>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440" w:type="dxa"/>
            <w:vAlign w:val="bottom"/>
          </w:tcPr>
          <w:p>
            <w:pPr>
              <w:jc w:val="center"/>
              <w:ind w:left="1281"/>
              <w:spacing w:after="0"/>
              <w:rPr>
                <w:sz w:val="20"/>
                <w:szCs w:val="20"/>
                <w:color w:val="auto"/>
              </w:rPr>
            </w:pPr>
            <w:r>
              <w:rPr>
                <w:rFonts w:ascii="Arial" w:cs="Arial" w:eastAsia="Arial" w:hAnsi="Arial"/>
                <w:sz w:val="14"/>
                <w:szCs w:val="14"/>
                <w:i w:val="1"/>
                <w:iCs w:val="1"/>
                <w:color w:val="auto"/>
                <w:w w:val="95"/>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0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Common Stock, $0.0001 par value</w:t>
            </w:r>
          </w:p>
        </w:tc>
        <w:tc>
          <w:tcPr>
            <w:tcW w:w="1360" w:type="dxa"/>
            <w:vAlign w:val="bottom"/>
          </w:tcPr>
          <w:p>
            <w:pPr>
              <w:spacing w:after="0"/>
              <w:rPr>
                <w:sz w:val="24"/>
                <w:szCs w:val="24"/>
                <w:color w:val="auto"/>
              </w:rPr>
            </w:pPr>
          </w:p>
        </w:tc>
        <w:tc>
          <w:tcPr>
            <w:tcW w:w="2720" w:type="dxa"/>
            <w:vAlign w:val="bottom"/>
          </w:tcPr>
          <w:p>
            <w:pPr>
              <w:jc w:val="center"/>
              <w:ind w:left="374"/>
              <w:spacing w:after="0"/>
              <w:rPr>
                <w:sz w:val="20"/>
                <w:szCs w:val="20"/>
                <w:color w:val="auto"/>
              </w:rPr>
            </w:pPr>
            <w:r>
              <w:rPr>
                <w:rFonts w:ascii="Arial" w:cs="Arial" w:eastAsia="Arial" w:hAnsi="Arial"/>
                <w:sz w:val="18"/>
                <w:szCs w:val="18"/>
                <w:color w:val="auto"/>
                <w:w w:val="91"/>
              </w:rPr>
              <w:t>New York Stock Exchange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7340" w:type="dxa"/>
            <w:vAlign w:val="bottom"/>
            <w:gridSpan w:val="4"/>
          </w:tcPr>
          <w:p>
            <w:pPr>
              <w:ind w:left="12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8"/>
        </w:trPr>
        <w:tc>
          <w:tcPr>
            <w:tcW w:w="914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R</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338"/>
        </w:trPr>
        <w:tc>
          <w:tcPr>
            <w:tcW w:w="914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7"/>
              </w:rPr>
              <w:t>No R</w:t>
            </w:r>
          </w:p>
        </w:tc>
      </w:tr>
    </w:tbl>
    <w:p>
      <w:pPr>
        <w:spacing w:after="0" w:line="10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R</w:t>
      </w:r>
    </w:p>
    <w:p>
      <w:pPr>
        <w:spacing w:after="0" w:line="87" w:lineRule="exact"/>
        <w:rPr>
          <w:sz w:val="24"/>
          <w:szCs w:val="24"/>
          <w:color w:val="auto"/>
        </w:rPr>
      </w:pPr>
    </w:p>
    <w:p>
      <w:pPr>
        <w:jc w:val="both"/>
        <w:ind w:firstLine="21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0" w:lineRule="exact"/>
        <w:rPr>
          <w:sz w:val="24"/>
          <w:szCs w:val="24"/>
          <w:color w:val="auto"/>
        </w:rPr>
      </w:pPr>
    </w:p>
    <w:p>
      <w:pPr>
        <w:ind w:left="260"/>
        <w:spacing w:after="0"/>
        <w:tabs>
          <w:tab w:leader="none" w:pos="2840" w:val="left"/>
          <w:tab w:leader="none" w:pos="5380" w:val="left"/>
          <w:tab w:leader="none" w:pos="83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7"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(Do not check if a smaller reporting company)</w:t>
      </w:r>
    </w:p>
    <w:p>
      <w:pPr>
        <w:spacing w:after="0" w:line="9" w:lineRule="exact"/>
        <w:rPr>
          <w:sz w:val="24"/>
          <w:szCs w:val="24"/>
          <w:color w:val="auto"/>
        </w:rPr>
      </w:pPr>
    </w:p>
    <w:p>
      <w:pPr>
        <w:ind w:left="220"/>
        <w:spacing w:after="0"/>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R</w:t>
      </w:r>
    </w:p>
    <w:p>
      <w:pPr>
        <w:spacing w:after="0" w:line="140"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aggregate market value of the shares of the common stock held by non-affiliates of the registrant as of June 30, 2012 was $4,081,912,032 based on the closing price of $19.26 as reported by the New York Stock Exchange.</w:t>
      </w:r>
    </w:p>
    <w:p>
      <w:pPr>
        <w:spacing w:after="0" w:line="7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January 31, 2013, there were 228,595,354 shares of Common Stock outstanding.</w:t>
      </w:r>
    </w:p>
    <w:p>
      <w:pPr>
        <w:spacing w:after="0" w:line="131" w:lineRule="exact"/>
        <w:rPr>
          <w:sz w:val="24"/>
          <w:szCs w:val="24"/>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information in Part III hereof is incorporated herein by reference to the registrant's Proxy Statement on Schedule 14A for the fiscal year ended December 31, 2012, to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4440" w:type="dxa"/>
            <w:vAlign w:val="bottom"/>
            <w:gridSpan w:val="15"/>
          </w:tcPr>
          <w:p>
            <w:pPr>
              <w:ind w:left="32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20" w:type="dxa"/>
            <w:vAlign w:val="bottom"/>
            <w:gridSpan w:val="2"/>
          </w:tcPr>
          <w:p>
            <w:pPr>
              <w:jc w:val="center"/>
              <w:ind w:left="4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6">
              <w:r>
                <w:rPr>
                  <w:rFonts w:ascii="Arial" w:cs="Arial" w:eastAsia="Arial" w:hAnsi="Arial"/>
                  <w:sz w:val="18"/>
                  <w:szCs w:val="18"/>
                  <w:color w:val="0000FF"/>
                  <w:w w:val="80"/>
                </w:rPr>
                <w:t>Item 1A.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20">
              <w:r>
                <w:rPr>
                  <w:rFonts w:ascii="Arial" w:cs="Arial" w:eastAsia="Arial" w:hAnsi="Arial"/>
                  <w:sz w:val="18"/>
                  <w:szCs w:val="18"/>
                  <w:color w:val="0000FF"/>
                  <w:w w:val="80"/>
                </w:rPr>
                <w:t>Item 1B.</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20">
              <w:r>
                <w:rPr>
                  <w:rFonts w:ascii="Arial" w:cs="Arial" w:eastAsia="Arial" w:hAnsi="Arial"/>
                  <w:sz w:val="18"/>
                  <w:szCs w:val="18"/>
                  <w:color w:val="0000FF"/>
                </w:rPr>
                <w:t>Unresolved Staff Comments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20">
              <w:r>
                <w:rPr>
                  <w:rFonts w:ascii="Arial" w:cs="Arial" w:eastAsia="Arial" w:hAnsi="Arial"/>
                  <w:sz w:val="18"/>
                  <w:szCs w:val="18"/>
                  <w:color w:val="0000FF"/>
                  <w:w w:val="98"/>
                </w:rPr>
                <w:t>Item 2.</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20">
              <w:r>
                <w:rPr>
                  <w:rFonts w:ascii="Arial" w:cs="Arial" w:eastAsia="Arial" w:hAnsi="Arial"/>
                  <w:sz w:val="18"/>
                  <w:szCs w:val="18"/>
                  <w:color w:val="0000FF"/>
                </w:rPr>
                <w:t>Properties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3.</w:t>
              </w:r>
            </w:hyperlink>
          </w:p>
        </w:tc>
        <w:tc>
          <w:tcPr>
            <w:tcW w:w="9300" w:type="dxa"/>
            <w:vAlign w:val="bottom"/>
            <w:gridSpan w:val="26"/>
          </w:tcPr>
          <w:p>
            <w:pPr>
              <w:ind w:left="320"/>
              <w:spacing w:after="0"/>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9300" w:type="dxa"/>
            <w:vAlign w:val="bottom"/>
            <w:gridSpan w:val="26"/>
          </w:tcPr>
          <w:p>
            <w:pPr>
              <w:ind w:left="320"/>
              <w:spacing w:after="0"/>
              <w:rPr>
                <w:rFonts w:ascii="Arial" w:cs="Arial" w:eastAsia="Arial" w:hAnsi="Arial"/>
                <w:sz w:val="18"/>
                <w:szCs w:val="18"/>
                <w:color w:val="0000FF"/>
              </w:rPr>
            </w:pPr>
            <w:hyperlink w:anchor="page21">
              <w:r>
                <w:rPr>
                  <w:rFonts w:ascii="Arial" w:cs="Arial" w:eastAsia="Arial" w:hAnsi="Arial"/>
                  <w:sz w:val="18"/>
                  <w:szCs w:val="18"/>
                  <w:color w:val="0000FF"/>
                </w:rPr>
                <w:t>Mine Safety Disclosure</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5.</w:t>
              </w:r>
            </w:hyperlink>
          </w:p>
        </w:tc>
        <w:tc>
          <w:tcPr>
            <w:tcW w:w="9300" w:type="dxa"/>
            <w:vAlign w:val="bottom"/>
            <w:gridSpan w:val="26"/>
          </w:tcPr>
          <w:p>
            <w:pPr>
              <w:ind w:left="320"/>
              <w:spacing w:after="0"/>
              <w:rPr>
                <w:rFonts w:ascii="Arial" w:cs="Arial" w:eastAsia="Arial" w:hAnsi="Arial"/>
                <w:sz w:val="18"/>
                <w:szCs w:val="18"/>
                <w:color w:val="0000FF"/>
              </w:rPr>
            </w:pPr>
            <w:hyperlink w:anchor="page21">
              <w:r>
                <w:rPr>
                  <w:rFonts w:ascii="Arial" w:cs="Arial" w:eastAsia="Arial" w:hAnsi="Arial"/>
                  <w:sz w:val="18"/>
                  <w:szCs w:val="18"/>
                  <w:color w:val="0000FF"/>
                </w:rPr>
                <w:t>Market for Registrant’s Common Equity, Related Stockholder Matters and Issuer Purchases of Equity Securities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6.</w:t>
              </w:r>
            </w:hyperlink>
          </w:p>
        </w:tc>
        <w:tc>
          <w:tcPr>
            <w:tcW w:w="9300" w:type="dxa"/>
            <w:vAlign w:val="bottom"/>
            <w:gridSpan w:val="26"/>
          </w:tcPr>
          <w:p>
            <w:pPr>
              <w:ind w:left="320"/>
              <w:spacing w:after="0"/>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7.</w:t>
              </w:r>
            </w:hyperlink>
          </w:p>
        </w:tc>
        <w:tc>
          <w:tcPr>
            <w:tcW w:w="9300" w:type="dxa"/>
            <w:vAlign w:val="bottom"/>
            <w:gridSpan w:val="26"/>
          </w:tcPr>
          <w:p>
            <w:pPr>
              <w:ind w:left="320"/>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49">
              <w:r>
                <w:rPr>
                  <w:rFonts w:ascii="Arial" w:cs="Arial" w:eastAsia="Arial" w:hAnsi="Arial"/>
                  <w:sz w:val="18"/>
                  <w:szCs w:val="18"/>
                  <w:color w:val="0000FF"/>
                  <w:w w:val="80"/>
                </w:rPr>
                <w:t>Item 7A.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 About Market Risk</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8.</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51">
              <w:r>
                <w:rPr>
                  <w:rFonts w:ascii="Arial" w:cs="Arial" w:eastAsia="Arial" w:hAnsi="Arial"/>
                  <w:sz w:val="18"/>
                  <w:szCs w:val="18"/>
                  <w:color w:val="0000FF"/>
                </w:rPr>
                <w:t>Financial Statements and Supplementary Data</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Item 9.</w:t>
              </w:r>
            </w:hyperlink>
          </w:p>
        </w:tc>
        <w:tc>
          <w:tcPr>
            <w:tcW w:w="9300" w:type="dxa"/>
            <w:vAlign w:val="bottom"/>
            <w:gridSpan w:val="26"/>
          </w:tcPr>
          <w:p>
            <w:pPr>
              <w:ind w:left="320"/>
              <w:spacing w:after="0"/>
              <w:rPr>
                <w:rFonts w:ascii="Arial" w:cs="Arial" w:eastAsia="Arial" w:hAnsi="Arial"/>
                <w:sz w:val="18"/>
                <w:szCs w:val="18"/>
                <w:color w:val="0000FF"/>
              </w:rPr>
            </w:pPr>
            <w:hyperlink w:anchor="page101">
              <w:r>
                <w:rPr>
                  <w:rFonts w:ascii="Arial" w:cs="Arial" w:eastAsia="Arial" w:hAnsi="Arial"/>
                  <w:sz w:val="18"/>
                  <w:szCs w:val="18"/>
                  <w:color w:val="0000FF"/>
                </w:rPr>
                <w:t>Changes in and Disagreements With Accountants on Accounting and Financial Disclosure</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02">
              <w:r>
                <w:rPr>
                  <w:rFonts w:ascii="Arial" w:cs="Arial" w:eastAsia="Arial" w:hAnsi="Arial"/>
                  <w:sz w:val="18"/>
                  <w:szCs w:val="18"/>
                  <w:color w:val="0000FF"/>
                  <w:w w:val="80"/>
                </w:rPr>
                <w:t>Item 9A.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102">
              <w:r>
                <w:rPr>
                  <w:rFonts w:ascii="Arial" w:cs="Arial" w:eastAsia="Arial" w:hAnsi="Arial"/>
                  <w:sz w:val="18"/>
                  <w:szCs w:val="18"/>
                  <w:color w:val="0000FF"/>
                </w:rPr>
                <w:t>Controls and Procedures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02">
              <w:r>
                <w:rPr>
                  <w:rFonts w:ascii="Arial" w:cs="Arial" w:eastAsia="Arial" w:hAnsi="Arial"/>
                  <w:sz w:val="18"/>
                  <w:szCs w:val="18"/>
                  <w:color w:val="0000FF"/>
                  <w:w w:val="80"/>
                </w:rPr>
                <w:t>Item 9B.</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102">
              <w:r>
                <w:rPr>
                  <w:rFonts w:ascii="Arial" w:cs="Arial" w:eastAsia="Arial" w:hAnsi="Arial"/>
                  <w:sz w:val="18"/>
                  <w:szCs w:val="18"/>
                  <w:color w:val="0000FF"/>
                </w:rPr>
                <w:t>Other Information</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102">
              <w:r>
                <w:rPr>
                  <w:rFonts w:ascii="Arial" w:cs="Arial" w:eastAsia="Arial" w:hAnsi="Arial"/>
                  <w:sz w:val="18"/>
                  <w:szCs w:val="18"/>
                  <w:color w:val="0000FF"/>
                  <w:w w:val="82"/>
                </w:rPr>
                <w:t>Item 10.</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Arial" w:cs="Arial" w:eastAsia="Arial" w:hAnsi="Arial"/>
                <w:sz w:val="18"/>
                <w:szCs w:val="18"/>
                <w:color w:val="0000FF"/>
              </w:rPr>
            </w:pPr>
            <w:hyperlink w:anchor="page102">
              <w:r>
                <w:rPr>
                  <w:rFonts w:ascii="Arial" w:cs="Arial" w:eastAsia="Arial" w:hAnsi="Arial"/>
                  <w:sz w:val="18"/>
                  <w:szCs w:val="18"/>
                  <w:color w:val="0000FF"/>
                </w:rPr>
                <w:t>Directors and Executive Officers of the Registrant</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11.</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Arial" w:cs="Arial" w:eastAsia="Arial" w:hAnsi="Arial"/>
                <w:sz w:val="18"/>
                <w:szCs w:val="18"/>
                <w:color w:val="0000FF"/>
              </w:rPr>
              <w:t>Executive Compensation</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12.</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13.</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14.</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Arial" w:cs="Arial" w:eastAsia="Arial" w:hAnsi="Arial"/>
                <w:sz w:val="18"/>
                <w:szCs w:val="18"/>
                <w:color w:val="0000FF"/>
              </w:rPr>
              <w:t>Principal Accounting Fees and Services</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PART IV</w:t>
              </w:r>
            </w:hyperlink>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103">
              <w:r>
                <w:rPr>
                  <w:rFonts w:ascii="Arial" w:cs="Arial" w:eastAsia="Arial" w:hAnsi="Arial"/>
                  <w:sz w:val="18"/>
                  <w:szCs w:val="18"/>
                  <w:color w:val="0000FF"/>
                  <w:w w:val="82"/>
                </w:rPr>
                <w:t>Item 15.</w:t>
              </w:r>
            </w:hyperlink>
          </w:p>
        </w:tc>
        <w:tc>
          <w:tcPr>
            <w:tcW w:w="360" w:type="dxa"/>
            <w:vAlign w:val="bottom"/>
          </w:tcPr>
          <w:p>
            <w:pPr>
              <w:spacing w:after="0"/>
              <w:rPr>
                <w:sz w:val="21"/>
                <w:szCs w:val="21"/>
                <w:color w:val="auto"/>
              </w:rPr>
            </w:pPr>
          </w:p>
        </w:tc>
        <w:tc>
          <w:tcPr>
            <w:tcW w:w="4400" w:type="dxa"/>
            <w:vAlign w:val="bottom"/>
            <w:gridSpan w:val="14"/>
          </w:tcPr>
          <w:p>
            <w:pPr>
              <w:ind w:left="320"/>
              <w:spacing w:after="0"/>
              <w:rPr>
                <w:rFonts w:ascii="Arial" w:cs="Arial" w:eastAsia="Arial" w:hAnsi="Arial"/>
                <w:sz w:val="18"/>
                <w:szCs w:val="18"/>
                <w:color w:val="0000FF"/>
              </w:rPr>
            </w:pPr>
            <w:hyperlink w:anchor="page103">
              <w:r>
                <w:rPr>
                  <w:rFonts w:ascii="Arial" w:cs="Arial" w:eastAsia="Arial" w:hAnsi="Arial"/>
                  <w:sz w:val="18"/>
                  <w:szCs w:val="18"/>
                  <w:color w:val="0000FF"/>
                </w:rPr>
                <w:t>Exhibits,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620" w:type="dxa"/>
            <w:vAlign w:val="bottom"/>
            <w:gridSpan w:val="2"/>
          </w:tcPr>
          <w:p>
            <w:pPr>
              <w:jc w:val="center"/>
              <w:ind w:left="351"/>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97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2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title insurance, mortgage services and other diversified services. We are the nation's largest title insurance company through our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Bakers Square, and Stoney River Legendary Steaks concepts. We also own 100% of J. Alexander's LLC ("J. Alexander's"). In addition, we own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90" w:lineRule="exact"/>
        <w:rPr>
          <w:sz w:val="20"/>
          <w:szCs w:val="20"/>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46"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in which we have a 51% ownership interest. Remy is a leading designer,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remanufacturer, marketer and distributor of aftermarket and original equipment electrical components for automobiles, light trucks, heavy-duty trucks and other vehicles.</w:t>
      </w:r>
    </w:p>
    <w:p>
      <w:pPr>
        <w:spacing w:after="0" w:line="46"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ABRH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 and operator of the O'Charley's, Ninety Nine Restaurants, Max &amp; Erma's, Village Inn, Bakers Square, and Stoney River Legendary Steaks. This segment also includes the recently acquired J. Alexander's.</w:t>
      </w:r>
    </w:p>
    <w:p>
      <w:pPr>
        <w:spacing w:after="0" w:line="46"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other smaller operations, and our share in the operations of certain equity investments, including Ceridian.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2012, our insurance companies had a 33.7%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almost 1,200 direct residential title offices and approximately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Fidelity National Title Group</w:t>
      </w:r>
    </w:p>
    <w:p>
      <w:pPr>
        <w:spacing w:after="0" w:line="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strategy in the title insurance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 to operate multiple title brands independently</w:t>
      </w:r>
      <w:r>
        <w:rPr>
          <w:rFonts w:ascii="Arial" w:cs="Arial" w:eastAsia="Arial" w:hAnsi="Arial"/>
          <w:sz w:val="18"/>
          <w:szCs w:val="18"/>
          <w:color w:val="auto"/>
        </w:rPr>
        <w:t>. We believe that in order to maintain and strengthen our title insurance customer base,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operate our strongest brands in a given marketplace independently of each other. Our national and regional brands include Fidelity National Title, Chicago Title, Commonwealth Land Title, Lawyers Title, Ticor Title, and Alamo Title.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5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4"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1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Dispositions, Minority Owned Operating Subsidiaries and Financings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Acquisitions have been an important part of our growth strategy. On an ongoing basis, with assistance from our advisors, we actively evaluate possible transactions, such as acquisitions and dispositions of business units and operating assets and business combination transactions, as well as possible means of financing the growth and operations of our business units or raising funds, through securities offerings or otherwise, for debt repayment or other purposes. In the future, we may seek to sell certain investments or other assets to increase our liquidity.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 We have made a number of acquisitions over the past three years to strengthen and expand our service offerings and customer base in our various businesses, and to expand into other businesses or where we otherwise saw value.</w:t>
      </w:r>
    </w:p>
    <w:p>
      <w:pPr>
        <w:spacing w:after="0" w:line="1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2012, we acquired Digital Insurance, Inc. ("Digital Insurance"). Total consideration paid was $98.2 million in cash, net of cash acquired of $3.1 million. We have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2012, we successfully completed a tender offer for the outstanding common stock of J. Alexander's Corporation for $14.50 per share. Total consideration paid was $70.4 million in cash, net of cash acquired of $6.9 million. Effective October 29, 2012, following a one-month waiting period required under the Tennessee Business Corporation Act, we completed the closing of the short-form merger with J. Alexander's and now own 100% of J. Alexander's, which later became J. Alexander's LLC. We have consolidated the operations of J. Alexander's beginning September 26, 2012. As of December 31, 2012, J. Alexander's operates 33 J. Alexander's restaurants in 13 states. Subsequent to year-end on February 25, 2013, we merged Stoney River Legendary Steaks into J. Alexander's.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$31.3 million and cash acquired upon consolidation of Remy was $95.5 million. Goodwill has been recorded based on the amount that the purchase price exceeded the fair value of the net assets acquired. Our 47% equity method investment prior to consolidation of $179.2 million was included in Investments in unconsolidated affiliates on the Consolidated Balance Sheets. A realized gain of $78.8 million was recognized in 2012 for the difference between our basis in our equity method investment of Remy prior to consolidation and the fair value of our investment in Remy at August 14, 2012, the date we acquired control and began to consolidate its operations.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2012, there were 322 company-owned restaurants in the O'Charley's group of companies and 218 company-owned restaurants in the ABRH group of companies. Total consideration paid was $122.2 million in cash, net of cash acquired of $35.0 million. Our investment in ABRH, prior to the merger, was $37.0 million and was included in Investments in unconsolidated affiliates on the Consolidated Balance Sheet. Our investment in O'Charley's prior to the tender offer of $13.8 million was included in Equity securities available for sale on the Consolidated Balance Sheet. We have consolidated the operations of ABRH with the O'Charley's group of companies, beginning on May 11, 2012.</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 2012, we completed the sale of an 85% interest in our remaining subsidiaries that write personal lines insurance to WT Holdings, Inc. for $119.0 million. Accordingly, the results of this business through the date of sale (which we refer to as our "at-risk" insurance business) for all periods presented are reflected in the Consolidated Statements of Earnings as discontinued operations. The at-risk insurance business sale resulted in a pre-tax loss of $15.1 million, which was recorded in the fourth quarter of 2011.</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31, 2011, we completed the sale of our flood insurance business to WRM America Holdings LLC (“WRM America”) for $135.0 million in cash and dividends, and a $75.0 million seller note. The seller note was paid in full during 2012. The flood insurance business sale resulted in a pre-tax gain of approximately $154.1 million ($94.9 million after tax), which was recorded in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Remy's strategy is to be the leading global manufacturer and remanufacturer of starters and alternators, yielding superior financial returns, as well as seeking to be a leading participant in the growing production of hybrid electric motors. We believe there are significant opportunities for future growth in this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strategies for capitalizing on these opportunities include the following:</w:t>
      </w:r>
    </w:p>
    <w:p>
      <w:pPr>
        <w:spacing w:after="0" w:line="90"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on market-leading positions in commercial vehicle products by producing durable, high-output starters and alternators for commercial vehicles in both original equipment ("OE") and aftermarket.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Commitment to expanding manufacturing in growth markets in Asia and South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invest in hybrid electric motors for commercial vehicles.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 to leverage the benefits of having an OE and aftermarket presence, seeking to provide our aftermarket customers with new products faster than competitors and providing its OE business with useful knowledge regarding long-term product performance and durability.</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provide value-added services that enhance customer performance, including category management services that strengthen its customer relationships, support customer growth and improve product category profitability.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pursue strategic partnerships and acquisitions that leverage its core competencies.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restaurant operations are focused in the family dining, casual dining and upscale-casual dining segments. The Restaurant Group's strategy is to manage our business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synergies of our operating companies to provide purchasing power and other shared service functions. We expect to continue to maintain a strong balance sheet for our Restaurant Group to support future acquisitions and to provide stability in all operating environments.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2012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an independent firm ("Demotech"), total operating income for the entire U.S. title insurance industry has decreased from its highest at $17.8 billion in 2005 to its lowest of $10.4 billion in 2011.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 Both the volume and the average price of residential real estate transactions have declined from 2007-2011. Beginning in 2008 and continuing through 2011, the mortgage delinquency and default rates caused negative operating results at a number of banks and financial institutions. Multiple banks failed during this time and others may fail in the future, reducing the capacity of the mortgage industry to make loans. During this time, lenders have tightened their underwriting standards which has made it more difficult for buyers to qualify for new loans. However, during this same period, interest rates declined to historically low levels, which spurred higher refinance activity in the period 2009 through 2012. We began to see a stabilization in the volume and average price of residential real estate during 2012. Our revenues in future periods will continue to be subject to these and other factors which are beyond our control and, as a result, are likely to fluctuate.</w:t>
      </w:r>
    </w:p>
    <w:p>
      <w:pPr>
        <w:spacing w:after="0" w:line="38"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88% of net premiums written in 2011. Over 30 independent title insurance companies accounted for the remaining 12% of net premiums written in 2011. In December 2008, we acquired LFG’s two principal title insurance underwriters, Commonwealth and Lawyers (the "LFG Underwriters"). Consolidation has created opportunities for increased financial and operating efficiencies for the industry’s largest participants and should continue to drive profitability and market share in the industry.</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A lender’s policy generally terminates upon the refinancing or resale of the property.</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their underwriting standards, policies and procedures.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just under 1,200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Boston, Washington D.C., and Houston.</w:t>
      </w:r>
    </w:p>
    <w:p>
      <w:pPr>
        <w:spacing w:after="0" w:line="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decrease the number of agents with which we transact business in an effort to reduce future expenses and manage risks. As of December 31, 2012, we transact business with approximately 5,000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37"/>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left="518"/>
              <w:spacing w:after="0"/>
              <w:rPr>
                <w:sz w:val="20"/>
                <w:szCs w:val="20"/>
                <w:color w:val="auto"/>
              </w:rPr>
            </w:pPr>
            <w:r>
              <w:rPr>
                <w:rFonts w:ascii="Arial" w:cs="Arial" w:eastAsia="Arial" w:hAnsi="Arial"/>
                <w:sz w:val="16"/>
                <w:szCs w:val="16"/>
                <w:b w:val="1"/>
                <w:bCs w:val="1"/>
                <w:color w:val="auto"/>
                <w:w w:val="89"/>
              </w:rPr>
              <w:t>2011</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w w:val="99"/>
              </w:rPr>
              <w:t>Amount</w:t>
            </w:r>
          </w:p>
        </w:tc>
        <w:tc>
          <w:tcPr>
            <w:tcW w:w="7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w w:val="99"/>
              </w:rPr>
              <w:t>Amount</w:t>
            </w:r>
          </w:p>
        </w:tc>
        <w:tc>
          <w:tcPr>
            <w:tcW w:w="12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w:t>
            </w:r>
          </w:p>
        </w:tc>
      </w:tr>
      <w:tr>
        <w:trPr>
          <w:trHeight w:val="3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1,829.6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2,236.7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61.4</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3,836.5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3,261.1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Geographic Operations. </w:t>
      </w:r>
      <w:r>
        <w:rPr>
          <w:rFonts w:ascii="Arial" w:cs="Arial" w:eastAsia="Arial" w:hAnsi="Arial"/>
          <w:sz w:val="18"/>
          <w:szCs w:val="18"/>
          <w:color w:val="auto"/>
        </w:rPr>
        <w:t>Our direct title operations are divided into approximately 140 profit centers. Each profit center processes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within its geographical area, which is usually identified by a county, a group of counties forming a region, or a state, depending on the management structure in that part of the country. We also transact title insurance business through a network of approximately 5,000 agents, primarily in those areas in which agents are the more prevalent title insurance provider.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3"/>
          </w:tcPr>
          <w:p>
            <w:pPr>
              <w:jc w:val="right"/>
              <w:ind w:right="1040"/>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4"/>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6"/>
                <w:szCs w:val="16"/>
                <w:b w:val="1"/>
                <w:bCs w:val="1"/>
                <w:color w:val="auto"/>
              </w:rPr>
              <w:t>Amount</w:t>
            </w:r>
          </w:p>
        </w:tc>
        <w:tc>
          <w:tcPr>
            <w:tcW w:w="140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w:t>
            </w: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(Dollars in 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11.3</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226.5</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1,718.3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1,991.3</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54.7</w:t>
            </w: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 generates revenue in multiple geographic locations. Revenues are attributed to geographic locations based on the point of sale.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Auto parts revenue in our Remy segment by region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16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97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97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Canada</w:t>
            </w: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97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97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Restaurant Group operates restaurants in 45 states throughout the United States.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collection and trust activities, trustee's sales guarantees, recordings and reconveyances, and home warranty services. The escrow and other services provided by us include all of those typically required in connection with residential and commercial real estate purchases and refinance activities. Escrow, title-related and other fees represented approximately 23.7%, 29.5%, and 25.9% of our revenues in 2012, 2011, and 2010,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 sectors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An important part of our operations is the handling of title and escrow claims. We employ a large staff of attorneys in our claims department.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claims processing centers are located in Omaha, Nebraska and Jacksonville, Florida. In-house claims counsel who handle larger claims are also located in other parts of the country.</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defalcations), and mistakes in the escrow process. Under our policies, we are required to defend insureds when covered claims are filed against their interest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six years after the policy has been issued, although claims may also be reported and paid many years later.</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We limit our maximum loss exposure by reinsuring risks with other insurers under excess of loss and case-by-case</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(“facultative”) reinsurance agreements. Reinsurance agreements generally provide that the reinsurer is liable for loss and loss adjustment expense payments exceeding the amount retained by the ceding company. However, the ceding company remains primarily liable in the event the reinsurer does not meet its contractual obligations. Facultative reinsurance agreements are entered into with other title insurers when the transaction to be insured will exceed state statutory or self-imposed limits. Excess of loss reinsurance protects us from a loss from a single occurrence. Through March 1, 2013, our excess of loss coverage is split into two tiers. The first tier provides coverage for residential and commercial transactions up to $100.0 million per loss occurrence, subject to a $10.0 million retention per loss. Prior to any recovery, there is also an additional $5.0 million aggregate retention. The second tier provides additional coverage for commercial transactions in excess of $100.0 million of loss per occurrence up to $400.0 million per occurrence, with the Company participating at 20.0%. We are currently in process of negotiating the terms and conditions of our 2013 - 2014 coverages.</w:t>
      </w:r>
    </w:p>
    <w:p>
      <w:pPr>
        <w:spacing w:after="0" w:line="31"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Competition in the title insurance industry is based primarily on expertise, service and price. In addition, the financial strength of the insurer</w:t>
      </w:r>
    </w:p>
    <w:p>
      <w:pPr>
        <w:spacing w:after="0" w:line="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Independent agency operations account for 54.8% of our total title insurance premiums. Several of the smaller competitors have closed their operations in the past few years as a result of the significant decrease in activity in the residential real estate market.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2012, the combined statutory unearned premium reserve required and reported for our title insurers was $1,777.7 million. In addition to statutory unearned premium reserves and reserves for known claims, each of our insurers maintains surplus funds for policyholder protection and business operations.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laws and regulations of some jurisdictions also prohibit an insurer from declaring or paying a dividend except out of its earned surplus or require the insurer to obtain prior regulatory approval. During 2013, our directly owned title insurers can pay dividends or make distributions to us of approximately $255.4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 There are no restrictions on our retained earnings regarding our ability to pay dividends to shareholders.</w:t>
      </w:r>
    </w:p>
    <w:p>
      <w:pPr>
        <w:spacing w:after="0" w:line="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$1,381.1 million and $894.7 million as of December 31, 2012 and 2011, respectively. The combined statutory earnings (loss) of our title insurers were $272.9 million, $151.1 million, and $(46.6) million for the years ended December 31, 2012, 2011, and 2010,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2012.</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worth. Minimum net worth requirements for each underwritten title company are as follows: $7.5 million for Fidelity National Title Company, $2.5 million for Fidelity National Title Company of California, $3.0 million for Chicago Title Company, and $0.4 million for Ticor Title Company of California, Commonwealth Land Title Company, and Lawyers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Company. These companies were in compliance with their respective minimum net worth requirements at December 31, 2012.</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and Fidelity National Title. Standard &amp; Poor’s Ratings Group (“S&amp;P”), Moody’s Investors Service (“Moody’s”), and A. M. Best Company ("A.M. Best") provide ratings for the entire FNF family of companies as a whole as follows: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S&amp;P</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Moody’s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A.M. Best</w:t>
            </w:r>
          </w:p>
        </w:tc>
      </w:tr>
      <w:tr>
        <w:trPr>
          <w:trHeight w:val="33"/>
        </w:trPr>
        <w:tc>
          <w:tcPr>
            <w:tcW w:w="7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8"/>
                <w:szCs w:val="18"/>
                <w:color w:val="auto"/>
              </w:rPr>
              <w:t>FNF family of companies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rPr>
              <w:t>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117" w:lineRule="exact"/>
        <w:rPr>
          <w:sz w:val="20"/>
          <w:szCs w:val="20"/>
          <w:color w:val="auto"/>
        </w:rPr>
      </w:pPr>
    </w:p>
    <w:p>
      <w:pPr>
        <w:ind w:left="80" w:firstLine="252"/>
        <w:spacing w:after="0" w:line="324"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S&amp;P "A-" rating is the eighth highest rating of 25 ratings for S&amp;P. S&amp;P states that an “A-” rating means that, in its opinion, the insurer is highly likely to have the ability to meet its financial obligations.</w:t>
      </w:r>
    </w:p>
    <w:p>
      <w:pPr>
        <w:spacing w:after="0" w:line="35" w:lineRule="exact"/>
        <w:rPr>
          <w:rFonts w:ascii="Arial" w:cs="Arial" w:eastAsia="Arial" w:hAnsi="Arial"/>
          <w:sz w:val="18"/>
          <w:szCs w:val="18"/>
          <w:color w:val="auto"/>
        </w:rPr>
      </w:pPr>
    </w:p>
    <w:p>
      <w:pPr>
        <w:ind w:left="80" w:firstLine="252"/>
        <w:spacing w:after="0" w:line="324"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Moody's "A3" rating is the twelfth highest rating of 33 ratings for Moody's. Moody's states that insurance companies rated “A3” offer good financial security.</w:t>
      </w:r>
    </w:p>
    <w:p>
      <w:pPr>
        <w:spacing w:after="0" w:line="35" w:lineRule="exact"/>
        <w:rPr>
          <w:rFonts w:ascii="Arial" w:cs="Arial" w:eastAsia="Arial" w:hAnsi="Arial"/>
          <w:sz w:val="18"/>
          <w:szCs w:val="18"/>
          <w:color w:val="auto"/>
        </w:rPr>
      </w:pPr>
    </w:p>
    <w:p>
      <w:pPr>
        <w:ind w:left="80" w:firstLine="252"/>
        <w:spacing w:after="0" w:line="324"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 Best "A-" rating is the fourth highest rating of 15 ratings for A.M. Best. A.M. Best states that its “A- (Excellent)” rating is assigned to those companies that have, in its opinion, an excellent ability to meet their ongoing obligations to policyholders.</w:t>
      </w:r>
    </w:p>
    <w:p>
      <w:pPr>
        <w:spacing w:after="0" w:line="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Demotech states that its ratings of “A´´ (A double prime)” and “A´ (A prime)” reflect its opinion that, regardless of the severity of a general economic</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downturn or deterioration in the insurance cycle, the insurers assigned either of those ratings possess “Unsurpassed” financial stability related to maintaining positive surplus as regards policyholders. The “A” rating reflects Demotech's opinion that, regardless of the severity of a general economic downturn or deterioration in the insurance cycle,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insurers assigned such rating possess “Exceptional” financial stability related to maintaining positive surplus as regards policyholders. The “A´´ (A double prime)”, “A´ (A prime)” and "A" ratings are the three highest ratings of Demotech's five ratings.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 If the rating agencies downgrade our Company, our results of operations and competitive position in the title insurance industry may suffer”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a national provider of real estate transaction products and services, we participate in a dynamic industry that is subject to significant regulatory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requirements, frequent new product and service introductions, and evolving industry standards. We believe that our future success will depend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while providing adequate liquidity. Our insurance subsidiaries, including title insurers, underwritten title companies and insurance agencies, are subject to extensive regulation under applicable state laws. The various states in which we operate regulate the types of assets that qualify for purposes of capital, surplus, and statutory unearned premium reserves. Our investment policy specifically limits duration and non-investment grade allocations in the core fixed-income portfolio. Maintaining shorter durations on the investment portfolio allows for the mitigation of interest rate risk. Equity securities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2012 and 2011, the carrying amount, which approximates the fair value, of total investments, excluding investments in unconsolidated affiliates, was $3.7 billion and $3.5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2"/>
                <w:szCs w:val="2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Aa/AA</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1,084.8</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1,139.5</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35.6</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23.7</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Baa/BBB</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16.1</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Lower</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1.7</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r>
      <w:tr>
        <w:trPr>
          <w:trHeight w:val="237"/>
        </w:trPr>
        <w:tc>
          <w:tcPr>
            <w:tcW w:w="2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3,206.5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3,356.7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3,093.0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3,200.2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2012</w:t>
            </w:r>
          </w:p>
        </w:tc>
        <w:tc>
          <w:tcPr>
            <w:tcW w:w="980" w:type="dxa"/>
            <w:vAlign w:val="bottom"/>
            <w:tcBorders>
              <w:bottom w:val="single" w:sz="8" w:color="auto"/>
            </w:tcBorders>
          </w:tcPr>
          <w:p>
            <w:pPr>
              <w:spacing w:after="0"/>
              <w:rPr>
                <w:sz w:val="16"/>
                <w:szCs w:val="16"/>
                <w:color w:val="auto"/>
              </w:rPr>
            </w:pPr>
          </w:p>
        </w:tc>
      </w:tr>
      <w:tr>
        <w:trPr>
          <w:trHeight w:val="237"/>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110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 of</w:t>
            </w: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23"/>
                <w:szCs w:val="2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110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3"/>
                <w:szCs w:val="2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1,689.6</w:t>
            </w:r>
          </w:p>
        </w:tc>
        <w:tc>
          <w:tcPr>
            <w:tcW w:w="10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1,760.1</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56.0</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37"/>
        </w:trPr>
        <w:tc>
          <w:tcPr>
            <w:tcW w:w="7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2,999.6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3,139.8</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2012 substantially all of our mortgage-backed and asset-backed securities are rated AAA by Moody's. The mortgage-backed and asset-backed securities are made up of $111.4 million of agency-backed mortgage-backed securities, $9.9 million of agency-backed collateralized mortgage obligations, $22.0 million of commercial mortgage-backed securities, and $10.2 million in asset-backed securities.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 Fixed maturity securities with an amortized cost of $1,476.6 million and a fair value of $1,533.2 million were callable or had make-whole call provisions at December 31, 2012.</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equity securities at December 31, 2012 and 2011 consisted of investments at a cost basis of $102.9 million and $83.2 million, respectively, and fair value of $137.6 million and $105.7 million, respectively. The balance of equity securities at December 31, 2012 and 2011 contains an investment in Fidelity National Information Services ("FIS") stock, a related party. The fair value of our investment in FIS stock was $55.8 million and $42.6 million as of December 31, 2012 and 2011, respectively. There were no significant investments in banks, trust or insurance companies at December 31, 2012 or 2011.</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2012 and 2011, we also held $392.2 million and $546.5 million, respectively, in investments that are accounted for using the equity method of accounting, principally our ownership interests in Ceridian and Remy in 2011.</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2012 and 2011, Other long-term investments included structured notes at a fair value of $40.8 million, which were purchased in the</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quarter of 2009. Also included in Other long-term investments were investments accounted for using the cost method of accounting of $63.8 million and $36.7 million, as of December 31, 2012 and 2011,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Short-term investments, which consist primarily of securities purchased under agreements to resell, commercial paper and money market instruments</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which have an original maturity of one year or less, are carried at amortized cost, which approximates fair value. As of December 31, 2012 and 2011, short-term investments amounted to $61.9 million and $50.4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2012, 2011 and 2010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r>
      <w:tr>
        <w:trPr>
          <w:trHeight w:val="250"/>
        </w:trPr>
        <w:tc>
          <w:tcPr>
            <w:tcW w:w="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162.9</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164.8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156.6</w:t>
            </w:r>
          </w:p>
        </w:tc>
      </w:tr>
      <w:tr>
        <w:trPr>
          <w:trHeight w:val="243"/>
        </w:trPr>
        <w:tc>
          <w:tcPr>
            <w:tcW w:w="20" w:type="dxa"/>
            <w:vAlign w:val="bottom"/>
          </w:tcPr>
          <w:p>
            <w:pPr>
              <w:spacing w:after="0"/>
              <w:rPr>
                <w:sz w:val="21"/>
                <w:szCs w:val="21"/>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3,697.8</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3,792.2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3,928.7</w:t>
            </w: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20" w:type="dxa"/>
            <w:vAlign w:val="bottom"/>
          </w:tcPr>
          <w:p>
            <w:pPr>
              <w:spacing w:after="0"/>
              <w:rPr>
                <w:sz w:val="18"/>
                <w:szCs w:val="18"/>
                <w:color w:val="auto"/>
              </w:rPr>
            </w:pPr>
          </w:p>
        </w:tc>
        <w:tc>
          <w:tcPr>
            <w:tcW w:w="7540" w:type="dxa"/>
            <w:vAlign w:val="bottom"/>
          </w:tcPr>
          <w:p>
            <w:pPr>
              <w:jc w:val="right"/>
              <w:ind w:right="405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Reserves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25, 2013, we had approximately 60,451 full-time equivalent employees, which includes 19,854 in our Fidelity National Title segment, 33,859 in our Restaurant Group segment and 6,631 in our Remy segment in our remaining segments. We monitor our staffing levels based on current economic activity. Except for approximately 3,000 of Remy's employees, none of our employees are subject to collective bargaining agreements. We believe that our relations with employees are generally good.</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concentration in the State of California, the source of approximately 17.2% of our title insurance premiums;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Declines in the level of real estate activity or the average price of real estate sales are likely to adversely affect our title insurance revenues. The Mortgage Bankers Association's ("MBA") Mortgage Finance Forecast currently estimates an approximately $1.4 trillion mortgage origination market for 2013, which would be a decrease of 22.2% from 2012. The MBA forecasts that the 22.2% decrease will result almost entirely from decreased refinance activity. Our revenues in future periods will continue to be subject to these and other factors which are beyond our control and, as a result, are likely to fluctuate.</w:t>
      </w:r>
    </w:p>
    <w:p>
      <w:pPr>
        <w:spacing w:after="0" w:line="1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Goodwill aggregated approximately $1,908.5 million, or 19.3% of our total assets, as of December 31, 2012.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2012.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 We own a minority interest in Ceridian Corporation ("Ceridian"), a leading provider of global human capital management and payment solutions. If the fair value of this company were to decline below book value, we would be required to write down the value of our investment, which could have a material negative impact on our results of operations and financial condition. If this company were to experience significant negative volatility in its results of operations it would have a material adverse effect on our own results of operations due to our inclusion of our portion of its earnings in our results of operations.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$7.5 billion at December 31, 2012.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more qualitative than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average provision for claim losses was 7.0% of title premiums in 2012. We will reassess the provision to be recorded in future periods consistent with this methodology and can make no assurance that we will not need to record additional charges in the future to increase reserves in respect of prior periods.</w:t>
      </w:r>
    </w:p>
    <w:p>
      <w:pPr>
        <w:spacing w:after="0" w:line="4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Regulation.”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for approximately 17.2 percent of our title insurance premiums, our business may be adversely affected by regulatory conditions in California.</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California is the largest source of revenue for the title insurance industry and, in 2012, California-based premiums accounted for 36.9% of premiums earned by our direct operations and 0.9% of our agency premium revenues. In the aggregate, California accounted for approximately 17.2% of our total title insurance premiums for 2012.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the rating agencies downgrade our Company, our results of operations and competitive position in the title insurance industry may suffer.</w:t>
      </w:r>
    </w:p>
    <w:p>
      <w:pPr>
        <w:spacing w:after="0" w:line="11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7" w:lineRule="exact"/>
        <w:rPr>
          <w:sz w:val="20"/>
          <w:szCs w:val="20"/>
          <w:color w:val="auto"/>
        </w:rPr>
      </w:pPr>
    </w:p>
    <w:p>
      <w:pPr>
        <w:jc w:val="both"/>
        <w:ind w:left="180"/>
        <w:spacing w:after="0" w:line="312" w:lineRule="auto"/>
        <w:rPr>
          <w:sz w:val="20"/>
          <w:szCs w:val="20"/>
          <w:color w:val="auto"/>
        </w:rPr>
      </w:pPr>
      <w:r>
        <w:rPr>
          <w:rFonts w:ascii="Arial" w:cs="Arial" w:eastAsia="Arial" w:hAnsi="Arial"/>
          <w:sz w:val="16"/>
          <w:szCs w:val="16"/>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has stated that we may make acquisitions in lines of business that are not directly tied to or synergistic with our core operating segments. Accordingly, we have in the past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 will limit the amounts our regulated subsidiaries can dividend to us. During 2013, our title insurers may pay dividends or make distributions to us without prior regulatory approval of approximately $255.4 million.</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could have conflicts with Fidelity National Information Services ("FIS"), and our chairman of our Board of Directors and other officers and directors could have conflicts of interest due to their relationships with FIS.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FIS and FNF were under common ownership by another publicly traded company, also called Fidelity National Financial, Inc. (“Old FNF”) until October 2006, when Old FNF distributed all of its FNF shares to the stockholders of Old FNF (the "2006 Distribution"). In November 2006, Old FNF then merged into FIS.</w:t>
      </w:r>
    </w:p>
    <w:p>
      <w:pPr>
        <w:spacing w:after="0" w:line="46"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Conflicts may arise between us and FIS as a result of our ongoing agreements and the nature of our respective businesses. Certain of our executive officers and directors could be subject to conflicts of interest with respect to such agreements and other matters due to their relationships with FIS.</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Some of our executive officers and directors own substantial amounts of FIS stock and stock options. Such ownership could create or appear to create potential conflicts of interest when our directors and officers are faced with decisions that involve FIS or any of its subsidiaries.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William P. Foley, II, is the executive chairman of our Board of Directors and the Vice Chairman of the Board of FIS. As a result of these roles, he has obligations to us and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FIS and FNF have several other overlapping directors and officers.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that could give rise to conflicts between us and FIS include, among other things:</w:t>
      </w:r>
    </w:p>
    <w:p>
      <w:pPr>
        <w:spacing w:after="0" w:line="90" w:lineRule="exact"/>
        <w:rPr>
          <w:sz w:val="20"/>
          <w:szCs w:val="20"/>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ongoing and future relationships with FIS, including related party agreements and other arrangements with respect to the information technology support services, administrative corporate support and cost sharing services, indemnification, and other matters; and</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and pricing of services that we have agreed to provide to FIS or that it has agreed to provide to us.</w:t>
      </w:r>
    </w:p>
    <w:p>
      <w:pPr>
        <w:spacing w:after="0" w:line="90" w:lineRule="exact"/>
        <w:rPr>
          <w:sz w:val="20"/>
          <w:szCs w:val="20"/>
          <w:color w:val="auto"/>
        </w:rPr>
      </w:pPr>
    </w:p>
    <w:p>
      <w:pPr>
        <w:jc w:val="both"/>
        <w:ind w:left="60" w:firstLine="324"/>
        <w:spacing w:after="0" w:line="312" w:lineRule="auto"/>
        <w:rPr>
          <w:sz w:val="20"/>
          <w:szCs w:val="20"/>
          <w:color w:val="auto"/>
        </w:rPr>
      </w:pPr>
      <w:r>
        <w:rPr>
          <w:rFonts w:ascii="Arial" w:cs="Arial" w:eastAsia="Arial" w:hAnsi="Arial"/>
          <w:sz w:val="16"/>
          <w:szCs w:val="16"/>
          <w:color w:val="auto"/>
        </w:rPr>
        <w:t>We seek to manage these potential conflicts through dispute resolution and other provisions of our agreements with FIS and through oversight by independent members of our Board of Directors. However, there can be no assurance that such measures will be effective or that we will be able to resolve all potential conflicts with FIS, or that the resolution of any such conflicts will be no less favorable to us than if we were dealing with a third party.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operations could be adversely affected by the results of our acquired restaurant companies due to the risks inherent in that segment.</w:t>
      </w:r>
    </w:p>
    <w:p>
      <w:pPr>
        <w:spacing w:after="0" w:line="1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acquired restaurant companies face certain risks that could negatively impact their results of operations. These risks include such things as the risks of continued unfavorable economic conditions, changing consumer preferences, unfavorable publicity, increasing food and labor costs, effectiveness of marketing campaigns, and the ability to compete successfully with other restaurants. In addition, risks related to supply chain, food quality, and protecting guests' personal information are inherent to the restaurant business. These companies are also subject to compliance with extensive government laws and regulations related to the manufacture, preparation, and sale of food and alcohol. If our restaurant companies are not able to respond effectively to one or more of these risks, it could have a material adverse impact on the results of operations of those businesses.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by risks affecting Remy.</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material adverse change in Remy's financial position or results of operations could adversely affect our financial position or results of operations. Remy's results are affected by factors such as general economic conditions, levels of demand for new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light and commercial vehicles, fuel prices, the product life of new and replacement parts, product liability and warranty claims related to its products, litigation and other disputes, and changes in the cost and availability of raw materials and components utilized in the manufacturing of its products. In addition, Remy's results also are influenced by technological innovations, relationships with its key customers and their success in the marketplace, and Remy's ability to compete successfully with its competitors. If Remy is not able to respond effectively to one or more of these risks, it could have a material adverse impact on its results of operations, which, in turn, would adversely impact our financial condition and results of operations.</w:t>
      </w:r>
    </w:p>
    <w:p>
      <w:pPr>
        <w:spacing w:after="0" w:line="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Given the international reach of its business, Remy is also subject to risks inherent in conducting business outside the United States, including foreign currency fluctuations, local political climates, export and import restrictions, and compliance with government laws and regulations such as the U.S. Foreign Corrupt Practices Act and the U.S. Export Administration Act. Any failure to manage these risks and requirements could harm Remy's business, financial condition or results of operations, which would similarly affect our financial condition and results of operations.</w:t>
      </w:r>
    </w:p>
    <w:p>
      <w:pPr>
        <w:spacing w:after="0" w:line="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Fidelity National Title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Fidelity National Title Group's corporate headquarters are on our campus in Jacksonville, Florida. The majority of our branch offices are leased from third parties (see Note M to Notes to Consolidated Financial Statements). Our subsidiaries conduct their business operations primarily in leased office space in 43 states, Washington, DC, Puerto Rico, Canada, India and Mexico.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Remy's world headquarters is located in Pendleton, Indiana. The majority of Remy's facilities, including the world headquarters are leased from third parties (see Note M to Notes to Consolidated Financial Statements). Remy's subsidiaries conduct their business operations in 10 countries including the United States, Belgium, Hungary, the United Kingdom, Brazil, Canada, China, Mexico, South Korea and Tunisia.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Restaurant Group's headquarters is located in Nashville, Tennessee with other office locations in Woburn, Massachusetts and Denver, Colorado. The majority of the restaurants are leased from third parties, and are located in 45 states.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depart from customary litigation incidental to our insurance business.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and other matters.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that may require us to pay fines or claims or take other actions.</w:t>
      </w:r>
    </w:p>
    <w:p>
      <w:pPr>
        <w:spacing w:after="0" w:line="3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Price High</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Price Low</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Cash Dividends</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gridSpan w:val="2"/>
          </w:tcPr>
          <w:p>
            <w:pPr>
              <w:ind w:left="35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2011</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gridSpan w:val="2"/>
          </w:tcPr>
          <w:p>
            <w:pPr>
              <w:ind w:left="35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540"/>
        </w:trPr>
        <w:tc>
          <w:tcPr>
            <w:tcW w:w="3960" w:type="dxa"/>
            <w:vAlign w:val="bottom"/>
          </w:tcPr>
          <w:p>
            <w:pPr>
              <w:spacing w:after="0"/>
              <w:rPr>
                <w:sz w:val="24"/>
                <w:szCs w:val="24"/>
                <w:color w:val="auto"/>
              </w:rPr>
            </w:pPr>
          </w:p>
        </w:tc>
        <w:tc>
          <w:tcPr>
            <w:tcW w:w="3500" w:type="dxa"/>
            <w:vAlign w:val="bottom"/>
          </w:tcPr>
          <w:p>
            <w:pPr>
              <w:jc w:val="right"/>
              <w:ind w:right="157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stockholder return on our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2012.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2007, with dividends reinvested over the periods indicated.</w:t>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Among Fidelity National Financial, Inc., the S&amp;P 500 Index</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3530600</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142875</wp:posOffset>
            </wp:positionV>
            <wp:extent cx="5848985" cy="3027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9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12/31/2007</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12/31/2008</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12/31/2009</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12/31/2010</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12/31/2011</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12/31/2012</w:t>
            </w:r>
          </w:p>
        </w:tc>
      </w:tr>
      <w:tr>
        <w:trPr>
          <w:trHeight w:val="393"/>
        </w:trPr>
        <w:tc>
          <w:tcPr>
            <w:tcW w:w="298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130.30</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102.87</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109.76</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131.92</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200.79</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S&amp;P 500</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63.00</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79.67</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91.67</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93.61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108.59</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87.68</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95.54</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78.24</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68.75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136.32</w:t>
            </w:r>
          </w:p>
        </w:tc>
      </w:tr>
    </w:tbl>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31, 2013, the last reported sale price of our common stock on the New York Stock Exchange was $25.10 per share and we had approximately 5,158 stockholders of record.</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30, 2013, our Board of Directors formally declared a $0.16 per share cash dividend that is payable on March 29, 2013 to stockholders of record as of March 15, 2013.</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2012, $1,997.1 million of our net assets are restricted from dividend payments without prior approval from the Departments of Insurance in the States where our title insurance subsidiaries are domiciled. During 2013, our directly owned title insurance subsidiaries can pay dividends or make distributions to us of approximately $255.4 million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without prior approval. The limits placed on such subsidiaries’ abilities to pay dividends affect our ability to pay dividends. There are no restrictions on our retained earnings regarding our ability to pay dividends to shareholders.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21, 2009, the Board of Directors approved a three-year stock repurchase program under which we can repurchase up to 15 million shares of our common stock through July 31, 2012. On January 27, 2011, our Board of Directors approved an additional 5 million shares that may be repurchased under the program. We may make repurchases from time to time in the open market, in block purchases or in privately negotiated transactions, depending on market conditions and other factors. In the year ended December 31, 2012, we repurchased a total of 1,150,000 shares for $21.7 million, or an average of $18.87 per share. This repurchase program expired July 31, 2012. In total, during the three-year tenure of the program, we repurchased a total of 16,528,512 shares for $243.4 million, or an average of $14.73 per share under this program.</w:t>
      </w:r>
    </w:p>
    <w:p>
      <w:pPr>
        <w:spacing w:after="0" w:line="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2012, we repurchased a total of 680,000 shares for $15.9 million, or an average of $23.38 per share under this program. Subsequent to year-end we repurchased a total of 80,000 shares for $2 million, or an average of $25.00 per share through market close on February 22, 2013. Since the original commencement of the plan adopted July 21, 2012, we have repurchased a total of 760,000 shares for $17.9 million, or an average of $23.55 per share, and there are 14,240,000 shares available to be repurchased under this program. For more information, see “Liquidity and Capital Resources” in Item 7 of this Form 10-K.</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year ending December 31, 2012:</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7"/>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 (2)</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(3) (4)</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1/1/2012 - 1/31/2012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2/1/2012 - 2/28/2012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3/1/2012 - 3/31/2012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4/1/2012 - 4/30/2012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5/1/2012 - 5/31/2012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6/1/2012 - 6/30/2012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135,000</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4,486,488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7/1/2012 - 7/31/2012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8/1/2012 - 8/31/2012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9/1/2012 - 9/30/2012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10/1/2012 - 10/31/2012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11/1/2012 - 11/30/2012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280,000</w:t>
            </w:r>
          </w:p>
        </w:tc>
        <w:tc>
          <w:tcPr>
            <w:tcW w:w="1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14,720,000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12/1/2012 - 12/31/2012</w:t>
            </w: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760" w:type="dxa"/>
            <w:vAlign w:val="bottom"/>
            <w:gridSpan w:val="2"/>
          </w:tcPr>
          <w:p>
            <w:pPr>
              <w:jc w:val="right"/>
              <w:ind w:right="24"/>
              <w:spacing w:after="0"/>
              <w:rPr>
                <w:sz w:val="20"/>
                <w:szCs w:val="20"/>
                <w:color w:val="auto"/>
              </w:rPr>
            </w:pPr>
            <w:r>
              <w:rPr>
                <w:rFonts w:ascii="Arial" w:cs="Arial" w:eastAsia="Arial" w:hAnsi="Arial"/>
                <w:sz w:val="18"/>
                <w:szCs w:val="18"/>
                <w:color w:val="auto"/>
              </w:rPr>
              <w:t>14,320,000</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980" w:hanging="648"/>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July 21, 2009, our Board of Directors approved a three-year stock repurchase program. Under the stock repurchase program, we could repurchase up to 15 million shares of our common stock. On January 27, 2011, our Board of Directors approved an increase of 5 million shares that may be repurchased under the program.</w:t>
      </w:r>
    </w:p>
    <w:p>
      <w:pPr>
        <w:spacing w:after="0" w:line="46"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July 21, 2012, our Board of Directors approved a new three-year stock repurchase program, effective August 1, 2012. Under the stock repurchase program, we can repurchase up to 15 million shares of our common stock.</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(3)The 2009 program expired on July 31, 2012.</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(4)As of the last day of the applicable month.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2012 presentation.</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We have consolidated the results of O'Charley's as of April 9, 2012. On May 11, 2012, we merged O'Charley's with our investment in ABRH in exchange for an increase in our ownership position in ABRH from 45% to 55%. We have consolidated the operations of ABRH with the O'Charley's group of companies, beginning on May 11, 2012.</w:t>
      </w:r>
    </w:p>
    <w:p>
      <w:pPr>
        <w:spacing w:after="0" w:line="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22, 2008, we completed the acquisition of LandAmerica Financial Group's two principal title insurance underwriters, Commonwealth Land Title Insurance Company and Lawyers Title Insurance Corporation, as well as United Capital Title Insurance Company (collectively, the “LFG Underwriters”). For periods subsequent to December 22, 2008, the LFG Underwriters are included in our consolidated financial statements.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9"/>
              </w:rPr>
              <w:t>2009(1)</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2008(2)</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7,201.7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4,839.6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5,413.3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5,521.3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1,872.9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1,291.8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1,303.6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auto parts revenue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Cost of restaurant revenues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4,424.8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4,238.4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Earnings (loss) before income taxes, equity in earnings (loss) of unconsolidated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and noncontrolling interest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Earnings (loss) before equity in earnings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Less: net earnings (loss) attributable to noncontrolling interests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620"/>
              <w:spacing w:after="0"/>
              <w:rPr>
                <w:sz w:val="20"/>
                <w:szCs w:val="20"/>
                <w:color w:val="auto"/>
              </w:rPr>
            </w:pPr>
            <w:r>
              <w:rPr>
                <w:rFonts w:ascii="Arial" w:cs="Arial" w:eastAsia="Arial" w:hAnsi="Arial"/>
                <w:sz w:val="18"/>
                <w:szCs w:val="18"/>
                <w:color w:val="auto"/>
                <w:w w:val="89"/>
              </w:rPr>
              <w:t>22</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2009(1)</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2008(2)</w:t>
            </w: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60" w:type="dxa"/>
            <w:vAlign w:val="bottom"/>
            <w:gridSpan w:val="5"/>
          </w:tcPr>
          <w:p>
            <w:pPr>
              <w:jc w:val="center"/>
              <w:ind w:right="25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 (3):</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Basic net earnings (loss) per share attributable to FNF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1.64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(0.85)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 basis (3)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221.2</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219.0</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226.2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224.7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210.0</w:t>
            </w: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8"/>
              </w:rPr>
              <w:t>Diluted net earnings (loss) per share attributable to FNF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1.66</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1.61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0.97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(0.85)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diluted basis (3)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226.0</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222.7</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229.3</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228.5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210.0</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0.48</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0.69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Investments (4)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4,053.0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4,051.7</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4,358.5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4,685.4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4,376.5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1,131.9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665.7</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580.8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315.3</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9,902.6</w:t>
            </w:r>
          </w:p>
        </w:tc>
        <w:tc>
          <w:tcPr>
            <w:tcW w:w="3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7,862.1</w:t>
            </w:r>
          </w:p>
        </w:tc>
        <w:tc>
          <w:tcPr>
            <w:tcW w:w="4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7,887.5</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7,934.4</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8,368.2</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1,343.9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915.8</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952.0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861.9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1,350.8</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Reserve for claim losses (6)</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1,748.0</w:t>
            </w:r>
          </w:p>
        </w:tc>
        <w:tc>
          <w:tcPr>
            <w:tcW w:w="3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1,912.8</w:t>
            </w:r>
          </w:p>
        </w:tc>
        <w:tc>
          <w:tcPr>
            <w:tcW w:w="4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2,270.1</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2,539.2</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2,735.7</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4,749.1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3,655.9</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3,444.4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3,344.9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2,856.8</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Book value per share (7)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20.78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16.57</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15.39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14.53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13.29</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2,702.0</w:t>
            </w:r>
          </w:p>
        </w:tc>
        <w:tc>
          <w:tcPr>
            <w:tcW w:w="3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2,140.1</w:t>
            </w:r>
          </w:p>
        </w:tc>
        <w:tc>
          <w:tcPr>
            <w:tcW w:w="4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2,385.3</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2,611.4</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1,860.4</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1,866.5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1,514.2</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1,574.3</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1,792.0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1,121.2</w:t>
            </w: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Provision for title insurance claim losses as a percent of title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insurance premiums (6)</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related revenue (8):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1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2009, include a decrease to our provision for claim losses of $74.4 million ($47.1 million net of income taxes) as a result of favorable claim loss development on prior policy years, offset by an increase to the provision for claim losses of $63.2 million ($40.0 million net of income taxes) as a result of unfavorable developments in the third quarter on a previously recorded insurance receivable.</w:t>
      </w:r>
    </w:p>
    <w:p>
      <w:pPr>
        <w:spacing w:after="0" w:line="5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2008, include a charge to our provision for claim losses of $261.6 million ($154.1 million net of income taxes), which we recorded as a result of adverse claim loss development on prior policy years.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shares outstanding as of December 31, 2009 includes 18,170,000 shares that were issued as part of an equity offering by FNF on April 20, 2009.</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investments as of December 31, 2012, 2011, 2010, 2009, and 2008, include securities pledged to secured trust deposits of $275.2 million, $274.2 million, $252.1 million, $288.7 million, and $382.6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as of December 31, 2012, 2011, 2010, 2009, and 2008 include cash pledged to secured trust deposits of $265.9 million, $161.3 million, $146.2 million, $96.8 million, and $109.6 million, respectively.</w:t>
      </w:r>
    </w:p>
    <w:p>
      <w:pPr>
        <w:spacing w:after="0" w:line="3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favorable title insurance claim loss development on prior policy years, we recorded a credit in 2009 totaling $74.4 million, or $47.1 million net of income taxes, to our provision for claims losses. As a result of adverse title insurance claim loss development on prior policy years, we recorded charges in 2008 totaling $261.6 million, or $154.1 million net of income taxes, to our provision for claim losses. These credits/charges were recorded in addition to our average provision for claim losses of 7.3% and 8.5% for the years ended December 31, 2009 and 2008, respectively.</w:t>
      </w:r>
    </w:p>
    <w:p>
      <w:pPr>
        <w:spacing w:after="0" w:line="5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right"/>
        <w:ind w:right="7820"/>
        <w:spacing w:after="0"/>
        <w:rPr>
          <w:sz w:val="20"/>
          <w:szCs w:val="20"/>
          <w:color w:val="auto"/>
        </w:rPr>
      </w:pPr>
      <w:r>
        <w:rPr>
          <w:rFonts w:ascii="Arial" w:cs="Arial" w:eastAsia="Arial" w:hAnsi="Arial"/>
          <w:sz w:val="16"/>
          <w:szCs w:val="16"/>
          <w:b w:val="1"/>
          <w:bCs w:val="1"/>
          <w:color w:val="auto"/>
        </w:rPr>
        <w:t>Selected Quarterly Financial Data (Unaudited)</w:t>
      </w:r>
    </w:p>
    <w:p>
      <w:pPr>
        <w:spacing w:after="0" w:line="198" w:lineRule="exact"/>
        <w:rPr>
          <w:sz w:val="20"/>
          <w:szCs w:val="20"/>
          <w:color w:val="auto"/>
        </w:rPr>
      </w:pPr>
    </w:p>
    <w:p>
      <w:pPr>
        <w:jc w:val="right"/>
        <w:ind w:right="7820"/>
        <w:spacing w:after="0"/>
        <w:rPr>
          <w:sz w:val="20"/>
          <w:szCs w:val="20"/>
          <w:color w:val="auto"/>
        </w:rPr>
      </w:pPr>
      <w:r>
        <w:rPr>
          <w:rFonts w:ascii="Arial" w:cs="Arial" w:eastAsia="Arial" w:hAnsi="Arial"/>
          <w:sz w:val="17"/>
          <w:szCs w:val="17"/>
          <w:color w:val="auto"/>
        </w:rPr>
        <w:t>Selected quarterly financial data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1,189.9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1,736.9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2,039.9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Earnings from continuing operations before income taxes, equity 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unconsolidated affiliates, and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105.6</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223.0</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300.7</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Net earnings attributable to Fidelity National Financial, Inc. common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74.4</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147.0</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233.3</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Basic earnings per share attributable to Fidelity National 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0.34</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0.67</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Diluted earnings per share attributable to Fidelity National Financial,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0.66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0.14</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1,233.7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equity in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 of unconsolidated affiliates, and noncontrolling interest</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111.6</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earnings attributable to Fidelity National Financial, Inc. common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Basic earnings per share attributable to Fidelity National Financial,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Diluted earnings per share attributable to Fidelity National 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0.36</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2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81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91"/>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Bakers Square, and Stoney River Legendary Steaks concepts. We also recently acquired 100% of J. Alexander's LLC ("J. Alexander's"). In addition, we own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in which we have a 51% ownership interest. Remy is a leading designer,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remanufacturer, marketer and distributor of aftermarket and original equipment electrical components for automobiles, light trucks, heavy-duty trucks and other vehicles.</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ABRH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 and operator of the O'Charley's, Ninety Nine Restaurants, Max &amp; Erma's, Village Inn, Bakers Square, and Stoney River Legendary Steaks. This segment also includes the recently acquired J. Alexander's.</w:t>
      </w:r>
    </w:p>
    <w:p>
      <w:pPr>
        <w:spacing w:after="0" w:line="127"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other smaller operations, and our share in the operations of certain equity investments, including Ceridian.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2012, we acquired Digital Insurance, Inc. ("Digital Insurance"). Total consideration paid was $98.2 million in cash, net of cash acquired of $3.1 million. We consolidated the operations of Digital Insurance as of December 31, 2012. Digital Insurance is the nation's leading employee benefits platform specializing in health insurance distribution and benefits management for small and mid-sized businesses. See Note B of the Notes to Consolidated Financial Statements for further details on this transaction.</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2012, we successfully completed a tender offer for the outstanding common stock of J. Alexander's Corporation for $14.50 per share. Total consideration paid was $70.4 million in cash, net of cash acquired of $6.9 million. We have consolidated the operations of J. Alexander's beginning September 26, 2012. As of December 31, 2012, J. Alexander's operates 33 J. Alexander's restaurants in 13 states. Subsequent to year-end on February 25, 2013, we merged Stoney River Legendary Steaks into J. Alexander's. See Note B of the Notes to Consolidated Financial Statements for further details on this transaction.</w:t>
      </w:r>
    </w:p>
    <w:p>
      <w:pPr>
        <w:spacing w:after="0" w:line="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$31.3 million and cash acquired upon consolidation of Remy was $95.5 million. Our 47% equity method investment prior to consolidation of $179.2 million was included in Investments in unconsolidated affiliates on the Consolidated Balance Sheets. A realized gain of $78.8 million was recognized in 2012 for the difference between our basis in our equity method investment of Remy prior to consolidation and the fair value of our investment in Remy at August 14, 2012, the date we acquired control and began to consolidate its operations. See Note B of the Notes to Consolidated Financial Statements for further details on this transaction.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28, 2012, we completed an offering of $400.0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$1.9 million, which is netted against the $400.0 million aggregate principal amount of the 5.50% notes. The discount is amortized to September 2022 when the 5.50% notes mature. The 5.50% notes will pay interest semi-annually on the 1st of March and September,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March 1, 2013. We received net proceeds of $395.5 million, after expenses, which were used to repay the $236.5 million aggregate principal amount outstanding of our 5.25% unsecured notes maturing in March 2013, and the $50.0 million in prinicpal amount outstanding on our revolving credit facility, and the remainder is being held for general corporate purposes. See Note J of the Notes to Consolidated Financial Statements.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28, 2012, we used $242.3 million of the net proceeds of the issuance of the 5.50% notes to fund the repayment of the $236.5 million aggregate principal amount outstanding of our 5.25% unsecured notes, including $0.6 million of unpaid interest and a $5.2 million make-whole call penalty, as the 5.25% unsecured notes had a stated maturity of March 2013. See Note J of the Notes to Consolidated Financial Statements.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$80.0 million with a maturity date of May 31, 2017. Additionally, the ABRH Credit Facility provides for a maximum term loan ("Restaurant Group Term Loan") of $85.0 million with quarterly installment repayments through December 25, 2016 and a maturity date of May 31, 2017 for the outstanding unpaid principal balance and all accrued and unpaid interest. See Note J of the Notes to Consolidated Financial Statements.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 2012, we completed the sale of an 85% interest in our remaining subsidiaries that write personal lines insurance to WT Holdings, Inc. for $119.0 million. Accordingly, the results of this business through the date of sale (which we refer to as our "at-risk" insurance business) for all periods presented are reflected in the Consolidated Statements of Earnings as discontinued operations. The at-risk insurance business sale resulted in a pre-tax loss of $15.1 million, which was recorded in the fourth quarter of 2011. See Note A of the Notes to Consolidated Financial Statements for further details on this transaction.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16, 2012, we entered into an agreement to amend and extend our credit agreement dated September 12, 2006, as amended and restated as of March 5, 2010 (the “ Revolving Credit Facility”) with Bank of America, N.A. as administrative agent and swing line lender (the “Administrative Agent”), and the other financial institutions party thereto, and an agreement to change the aggregate size of the credit facility under the Revolving Credit Facility. These agreements reduced the total size of the credit facility from $925.0 million to $800.0 million, with an option to increase the size of the credit facility to $900.0 million, and established an extended maturity date of April 16, 2016. Pricing for the new agreement is based on an applicable margin between 132.5 basis points to 160.0 basis points over LIBOR, depending on the senior debt ratings of FNF. See Note J of the Notes to Consolidated Financial Statements.</w:t>
      </w:r>
    </w:p>
    <w:p>
      <w:pPr>
        <w:spacing w:after="0" w:line="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2012, there were 322 company-owned restaurants in the O'Charley's group of companies and 218 company-owned restaurants in the ABRH group of companies. Total consideration paid was $122.2 million in cash, net of cash acquired of $35.0 million. Our investment in ABRH prior to the merger, was $37.0 million and was included in Investments in unconsolidated affiliates on the Consolidated Balance Sheet. Our investment in O'Charley's prior to the tender offer of $13.8 million was included in Equity securities available for sale on the Consolidated Balance Sheet. We have consolidated the operations of ABRH with the O'Charley's group of companies, beginning on May 11, 2012. See Note B of the Notes to Consolidated Financial Statements for further details on this transaction.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transactions with Fidelity National Information Services ("FIS"), which is a related party. See Note A of the 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Declines in the level of real estate activity or the average price of real estate sales will adversely affect our title insurance revenues.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mortgage funding supply;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2007, as interest rates on adjustable rate mortgages reset to higher rates, foreclosures on subprime mortgage loans increased to record levels. This resulted in a significant decrease in levels of available mortgage funding as investors became wary of the risks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difficulties in attempting to refinance their adjustable rate mortgages. In the last three years, the elevated mortgage delinquency and default rates caused negative operating results at a number of banks and financial institutions and, as a result, significantly reduced the level of lending activity. Multiple banks have failed over the past three years and others may fail in the future, further reducing the capacity of the mortgage industry to make loans.</w:t>
      </w:r>
    </w:p>
    <w:p>
      <w:pPr>
        <w:spacing w:after="0" w:line="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Since December 2008, the Federal Reserve has held the federal funds rate at 0.0%-0.25%, and has indicated that rates will stay at this level at least through 2014. Mortgage interest rates remained at historically low levels throughout 2011 and continued to decrease throughout 2012.</w:t>
      </w:r>
    </w:p>
    <w:p>
      <w:pPr>
        <w:spacing w:after="0" w:line="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According to the MBA, U.S. mortgage originations (including refinancings) were approximately $1.8 trillion, $1.3 trillion and $1.6 trillion in 2012, 2011 and 2010, respectively. The MBA’s Mortgage Finance Forecast currently estimates an approximately $1.4 trillion mortgage origination market for 2013, which would be a decrease of 22.2% from 2012. The MBA forecasts that the 22.2% decrease will result almost entirely from decreased refinance activity.</w:t>
      </w:r>
    </w:p>
    <w:p>
      <w:pPr>
        <w:spacing w:after="0" w:line="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Several pieces of legislation were enacted to address the struggling mortgage market and the current economic and financial environment. On October 24, 2011, the Federal Housing Finance Agency announced a series of changes to the Home Affordable Refinance Program ("HARP") that would make it easier for certain borrowers who owe more than their home is worth and who are current on their mortgage payments to refinance their mortgages at lower interest rates. The new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We believe that the modified HARP program has had a positive impact on the volume of our refinance orders during 2012. We are uncertain to what degree the modified HARP program may affect our results in the future.</w:t>
      </w:r>
    </w:p>
    <w:p>
      <w:pPr>
        <w:spacing w:after="0" w:line="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2012, the Obama Administration announced new initiatives designed to increase refinancing of mortgages, reduce foreclosures and improve the housing market. Under these initiatives, among other things: (i) certain borrowers with loans insured by Fannie Mae or Freddie Mac ("GSEs" and such loans, "GSE loans") and certain borrowers with non-GSE loans, through a new FHA program, would be able to refinance their mortgages and take advantage of the currently low interest rates; (ii) the FHA will begin transitioning foreclosed properties in the nation's hardest-hit cities into rental housing units; (iii) GSEs and major banks have begun offering one year of forbearance (up from three months) to certain unemployed borrowers; and (iv) the Home Affordable Modification Program ("HAMP") was extended through 2013, including easing the eligibility requirements and increasing the financial incentives for banks to participate. As indicated, the Obama Administration has already begun implementing these initiatives, except for the refinancing initiatives. The GSEs have not started the refinancing program. The Obama Administration is looking to Congress to pass legislation to implement a refinancing program for non-GSE loans. We are uncertain to what degree these initiatives may affect our results in the future.</w:t>
      </w:r>
    </w:p>
    <w:p>
      <w:pPr>
        <w:spacing w:after="0" w:line="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response to these freezes, the Office of the Comptroller of the Currency ("OCC") is concurrently reviewing the foreclosure practices in the residential mortgage loan servicing industry. On April 13, 2011, the OCC and other federal regulators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We are not involved in these enforcement actions and we do not believe that we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 Many states continue to evaluate foreclosure practices and related legislation may change in the future. The consent orders imposed by the federal regulators have continued to delay lender foreclosure completions. In January 2012, ten large mortgage servicers concluded the reviews required by the 2011 consent orders and agreed to monetary settlements.</w:t>
      </w:r>
    </w:p>
    <w:p>
      <w:pPr>
        <w:spacing w:after="0" w:line="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1,000,000 underwater borrowers will have their mortgages reduced by lenders and 300,000 homeowners will be able to refinance their homes at lower interest rates. We are uncertain to what degree these initiatives have affected our results or may affect our results in the future.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state-level regulation, segments of our title insurance business are subject to regulation by federal agencies, including the newly formed Consumer Financial Protection Bureau (“CFPB”). The Dodd-Frank Wall Street Reform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w:t>
      </w:r>
    </w:p>
    <w:p>
      <w:pPr>
        <w:spacing w:after="0" w:line="5" w:lineRule="exact"/>
        <w:rPr>
          <w:sz w:val="20"/>
          <w:szCs w:val="20"/>
          <w:color w:val="auto"/>
        </w:rPr>
      </w:pPr>
    </w:p>
    <w:p>
      <w:pPr>
        <w:jc w:val="both"/>
        <w:ind w:firstLine="8"/>
        <w:spacing w:after="0" w:line="255"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lenders to deliver to consumers a statement of final financing charges (and the related annual percentage rate) at least three business days prior to the closing. A final version of these rules is expected to be published in 2013. We cannot be certain what impact, if any, the final rules, or the CFPB generally, will have on our title insurance business.</w:t>
      </w:r>
    </w:p>
    <w:p>
      <w:pPr>
        <w:spacing w:after="0" w:line="5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From 2008 - 2011, we have seen a divergence from these historical trends with orders being negatively affected by a reduction in the availability of financing, rising default levels, and falling home values causing an overall downward trend in home sales. In addition we have noted short term fluctuations through recent years in resale and refinance transactions as a result of changes in interest rates and the implementation and subsequent expiration of government programs designed to stimulate the real estate market. During 2012 we experienced an increase in existing home sales to the highest volume levels since 2007. We have also seen a decline in total housing inventory to the lowest levels since 2005.</w:t>
      </w:r>
    </w:p>
    <w:p>
      <w:pPr>
        <w:spacing w:after="0" w:line="3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However, from 2007 to 2009 we experienced a significant decrease in our average commercial fee per file and a decrease in the number of closings of larger deals due to difficulties or delays in obtaining financing. During 2010 and through 2012, we have experienced an increase in fee per file and in the volume of commercial transactions, which indicates an improvement in commercial markets.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its aftermarket operations,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When contracts are up for renewal, competitors tend to bid very aggressively to replace the incumbent supplier, although the cost of switching from the incumbent tends to mitigate this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three most significant commodities that may affect our cost of food and beverage are beef, seafood, poultry, and dairy, which accounted for almost 45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In 2010, the Patient Protection and Affordable Care Act ("Affordable Care Act") was passed and becomes effective in 2014. We are continuing to assess the impact of the Affordable Care Act on our health care benefit costs. The imposition of any requirement that we provide health insurance benefits to employees that are more extensive than the health insurance benefits we currently provide, or the imposition of additional employer paid employment taxes on income earned by our employees, could have a material adverse effect on our results of operations in the future. The Affordable Care Act is likely to similarly affect the restaurant industry in general. Additionally, our Restaurant Group and suppliers may also be affected by higher minimum wage and benefit standards, which could result in higher costs for goods and services supplied to us.</w:t>
      </w:r>
    </w:p>
    <w:p>
      <w:pPr>
        <w:spacing w:after="0" w:line="96" w:lineRule="exact"/>
        <w:rPr>
          <w:sz w:val="20"/>
          <w:szCs w:val="20"/>
          <w:color w:val="auto"/>
        </w:rPr>
      </w:pPr>
    </w:p>
    <w:p>
      <w:pPr>
        <w:ind w:right="320" w:firstLine="324"/>
        <w:spacing w:after="0" w:line="454"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b w:val="1"/>
          <w:bCs w:val="1"/>
          <w:color w:val="auto"/>
        </w:rPr>
        <w:t>Critical Accounting Estimates</w:t>
      </w:r>
    </w:p>
    <w:p>
      <w:pPr>
        <w:jc w:val="both"/>
        <w:ind w:firstLine="324"/>
        <w:spacing w:after="0" w:line="257" w:lineRule="auto"/>
        <w:rPr>
          <w:sz w:val="20"/>
          <w:szCs w:val="20"/>
          <w:color w:val="auto"/>
        </w:rPr>
      </w:pPr>
      <w:r>
        <w:rPr>
          <w:rFonts w:ascii="Arial" w:cs="Arial" w:eastAsia="Arial" w:hAnsi="Arial"/>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tcPr>
          <w:p>
            <w:pPr>
              <w:spacing w:after="0"/>
              <w:rPr>
                <w:sz w:val="16"/>
                <w:szCs w:val="16"/>
                <w:color w:val="auto"/>
              </w:rPr>
            </w:pPr>
          </w:p>
        </w:tc>
      </w:tr>
      <w:tr>
        <w:trPr>
          <w:trHeight w:val="203"/>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2011</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80"/>
        </w:trPr>
        <w:tc>
          <w:tcPr>
            <w:tcW w:w="57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gridSpan w:val="5"/>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44"/>
        </w:trPr>
        <w:tc>
          <w:tcPr>
            <w:tcW w:w="5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Known claims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IBNR</w:t>
            </w:r>
          </w:p>
        </w:tc>
        <w:tc>
          <w:tcPr>
            <w:tcW w:w="2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1,461.8</w:t>
            </w:r>
          </w:p>
        </w:tc>
        <w:tc>
          <w:tcPr>
            <w:tcW w:w="120" w:type="dxa"/>
            <w:vAlign w:val="bottom"/>
          </w:tcPr>
          <w:p>
            <w:pPr>
              <w:spacing w:after="0"/>
              <w:rPr>
                <w:sz w:val="21"/>
                <w:szCs w:val="21"/>
                <w:color w:val="auto"/>
              </w:rPr>
            </w:pP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1,578.8</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82.5</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Title Claim Losses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1,748.0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1,912.8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process for recording our reserves for claim losses begins with analysis of our loss provision rate. We forecast ultimate losses for each policy year based upon historical policy year loss emergence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We have been recording our periodic loss provision rate at 7.0% of title premiums in 2012 and 6.8% of title premiums in 2011 and 2010. Of such amounts, 5.5%, 5.8%, and 6.0% related to losses on policies written in the current year, and the remainder relates to developments on prior year policies. In 2012, adverse development of $57.5 million or 1.5% of 2012 premiums was accounted for in the loss provision rate. At each quarter-end,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more qualitative than quantitative, can change from period to period, and include items such as current trends in the real estate industry (which we can assess, but for which there is a time lag in the development of the data used by our actuary), any adjustments from the actuarial estimates needed for the effects of unusually large or small claims, improvements in our claims management processes, and other cost-saving measures. If the recorded amount is not within a reasonable range of our actuary's central estimate, we may have to record a charge or credit and reassess the loss provision rate on a go-forward basis. We will continue to reassess the provision to be recorded in future periods consistent with this methodology.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r>
      <w:tr>
        <w:trPr>
          <w:trHeight w:val="196"/>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2,488.8</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30.4</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loss provision (1)</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248.9</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(521.1)</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1,912.8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2,210.9</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3,641.2</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660" w:hanging="328"/>
        <w:spacing w:after="0" w:line="259"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provision for title claim losses in the 2012 period is a $10.8 million impairment recorded on an asset previously recouped as part of a claim settlement.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460" w:type="dxa"/>
            <w:vAlign w:val="bottom"/>
          </w:tcPr>
          <w:p>
            <w:pPr>
              <w:ind w:left="40"/>
              <w:spacing w:after="0"/>
              <w:rPr>
                <w:sz w:val="20"/>
                <w:szCs w:val="20"/>
                <w:color w:val="auto"/>
              </w:rPr>
            </w:pPr>
            <w:r>
              <w:rPr>
                <w:rFonts w:ascii="Arial" w:cs="Arial" w:eastAsia="Arial" w:hAnsi="Arial"/>
                <w:sz w:val="18"/>
                <w:szCs w:val="18"/>
                <w:color w:val="auto"/>
                <w:w w:val="97"/>
              </w:rPr>
              <w:t>5.5%</w:t>
            </w:r>
          </w:p>
        </w:tc>
        <w:tc>
          <w:tcPr>
            <w:tcW w:w="10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2"/>
              </w:rPr>
              <w:t>5.8%</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748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8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7"/>
              </w:rPr>
              <w:t>7.0%</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2"/>
              </w:rPr>
              <w:t>6.8%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562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are made up of loss payments and claims management expenses offset by recoupments and were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Claims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Net Loss</w:t>
            </w:r>
          </w:p>
        </w:tc>
      </w:tr>
      <w:tr>
        <w:trPr>
          <w:trHeight w:val="234"/>
        </w:trPr>
        <w:tc>
          <w:tcPr>
            <w:tcW w:w="56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Loss Payments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Recoupments</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Payments</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2012</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ending December 31, 2011</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520.4</w:t>
            </w: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2012, the recorded reserve for title insurance claims losses was $1.7 billion, which was approximately $0.05 billion below the central estimate provided by our actuary, but within the provided actuarial range of $1.6 billion to $1.9 billion. We believe that our recorded reserves are reasonable and represent our best estimate. In reaching this conclusion, we considered the following qualitative factors.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noted above, our recorded reserves were below the mid-point of the range of our actuarial estimates as of December 31, 2012. Management is comfortable with our recorded position as we have seen significant positive developments in 2012 and 2011 in claims management expenses as a percentage of our total net losses. Claims management expenses have decreased due to management initiatives related to use of outside counsel and their fees and additional use of internal counsel in handling claims matters. These developments are not yet fully reflected in our actuarial analysis. This has been somewhat offset because the actual claim loss payments were greater than the claims projected to be paid in the model utilized by our actuary. Overall, net loss payments primarily related to the high volume policy years in the mid-2000's, particularly the 2005-2008 policy years. We believe that this development related to the fact that these policy years have higher loss ratios and that the reporting of these claims has been accelerated. The reasons for higher loss payments and payment acceleration are as follows:</w:t>
      </w:r>
    </w:p>
    <w:p>
      <w:pPr>
        <w:spacing w:after="0" w:line="13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Historical high prices for real estate (thus higher policy limits as compared to premiums earned)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volume of real estate transactions increased likelihood of errors in the examination and closing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values and volumes of real estate transactions and weaker loan underwriting standards increased the likelihood of fraudulent transactions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Subsequent declines in home equity values resulted in lender losses that would not have been losses had home equity been maintained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foreclosures resulted in higher litigation costs and acceleration in reporting of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exposure to mechanic lien claims from failures of builders and developers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Some traditional actuarial methods, such as paid loss development, are particularly sensitive to distortions in payment activity. We believe that the high level of foreclosure activity over the past three years is accelerating the reporting of claims, particularly lender claims, thereby increasing paid losses and expenses. As a result, a paid loss development approach may temporarily overstate ultimate cost projections. We believe that losses and expenses related to this accelerated claims activity, specifically losses relating to lender policies, will have a shorter duration and that expected payments relating to these policy years will eventually return to or perhaps even drop below historical levels. We have also seen positive development relating to the 2009 through 2012 policy years, which we believe is indicative of more stringent underwriting standards by us and the lending industry. In addition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 policy claim paid relating to a property that is in foreclosure negates any potential loss under an owner's policy previously issued on the property as the owner has no equity in the property. Along with the positive development on claims management expenses, our ending open claim inventory also decreased from approximately 33,000 claims at December 31, 2011 to approximately 30,000 claims at December 31, 2012. If actual claims loss development is worse than currently expected and is not offset by other positive factors, such as continued improvement in claims management expenses and the other factors mentioned above, it is reasonably possible that our recorded reserves may fall outside a reasonable range of our actuary's central estimate, which may require additional reserve strengthening in future periods.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2011 and 2010, our recorded reserves were $1.9 billion and $2.2 billion, which we determined was reasonable and represented our best estimate and these recorded amounts were within a reasonable range of the central estimates provided by our actuaries.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$38.4 million increase (decrease) in our annualized provision for title claim losses would occur if our loss provision rate were 1% higher (lower), based on 2012 title premiums of $3,836.5 million. A 10% increase (decrease) in the reserve for title claim losses would result in an increase (decrease) in our provision for title claim losses of approximately $174.8 million.</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Valuation of Investments. </w:t>
      </w:r>
      <w:r>
        <w:rPr>
          <w:rFonts w:ascii="Arial" w:cs="Arial" w:eastAsia="Arial" w:hAnsi="Arial"/>
          <w:sz w:val="18"/>
          <w:szCs w:val="18"/>
          <w:color w:val="auto"/>
        </w:rPr>
        <w:t>We regularly review our investment portfolio for factors that may indicate that a decline in fair value of an investment is other-than-temporary. Some factors considered in evaluating whether or not a decline in fair value 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other-than-temporary include: (i) our intent and need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2012 and 2011,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137.6</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37"/>
        </w:trPr>
        <w:tc>
          <w:tcPr>
            <w:tcW w:w="65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3,253.2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3,540.4</w:t>
            </w:r>
          </w:p>
        </w:tc>
      </w:tr>
      <w:tr>
        <w:trPr>
          <w:trHeight w:val="149"/>
        </w:trPr>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rate swap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57"/>
        </w:trPr>
        <w:tc>
          <w:tcPr>
            <w:tcW w:w="65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35"/>
        </w:trPr>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3,457.0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105.7</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3,528.4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3,689.1</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7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4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4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3 investments consist of structured notes that were purchased in the third quarter of 2009. The structured notes had a par value of $37.5 million and fair value of $40.8 million at December 31, 2012 and December 31, 2011. The structured notes are held for general investment purposes and represent one percent of our total 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 ensure that they are reasonable and believe they represent an exit price as of December 31, 2012.</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2012 and 2011, we incurred impairment charges relating to investments that were determined to be other-than-temporarily impaired, which resulted in impairment charges of $2.7 million and $17.1 million, respectively. Impairment charges in 2012 and in 2011 related to fixed maturity securities primarily related to our conclusion that the credit risk of these holdings was high and the ability of the issuer to pay the full amount of the principal outstanding was unlikely. During 2010, we incurred no impairment charges relating to investments that were determined to be other-than-temporarily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Included in our Investments as of December 31, 2012 are various holdings in Foreign securities, including several European countries' instruments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Book Value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Luxembourg</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Netherlands</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Spain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We have reviewed all of these securities as of December 31, 2012 and do not believe that there is a risk of credit loss as these securities are in a gross unrealized gain position of $9.6 million and a gross unrealized loss position of $0.9 million. We held no European sovereign debt at December 31, 2012.</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We have made acquisitions in the past that have resulted in a significant amount of goodwill. As of December 31, 2012 and 2011,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aggregated $1,908.5 million and $1,452.2 million, respectively. The majority of our goodwill as of December 31, 2012 and 2011 relates to goodwill recorded in connection with the Chicago Title merger in 2000. In evaluating the recoverability of goodwill, we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2012, 2011, or 2010. As of December 31, 2012, we have determined that we have a fair value which substantially exceeds our carrying value.</w:t>
      </w:r>
    </w:p>
    <w:p>
      <w:pPr>
        <w:spacing w:after="0" w:line="4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Other Intangible Assets. </w:t>
      </w:r>
      <w:r>
        <w:rPr>
          <w:rFonts w:ascii="Arial" w:cs="Arial" w:eastAsia="Arial" w:hAnsi="Arial"/>
          <w:sz w:val="16"/>
          <w:szCs w:val="16"/>
          <w:color w:val="auto"/>
        </w:rPr>
        <w:t>We have other intangible assets, not including goodwill, which consist primarily of customer relationships and contracts and</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considered intangible assets with indefinite lives and are reviewed for impairment at least annually. Debt issuance costs are amortized on a straight line basis over the contractual life of the related debt instrument.</w:t>
      </w:r>
    </w:p>
    <w:p>
      <w:pPr>
        <w:spacing w:after="0" w:line="3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our Remy segment, upon entering into new or extending existing contracts, we may be required to purchase certain cores and inventory from our customers at retail prices, or be obligated to provide certain agreed support. The excess of the prices paid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cores and inventory over fair value, and the value of any agreed support, are recorded as contract intangibles and amortized as a reduction to auto parts revenue on a method to reflect the pattern of economic benefit consumed. Customer contract intangibles which are not paid to customers, are amortized and recorded in cost of auto parts revenue.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impairment expense related to other intangible assets in 2012, 2011, or 2010.</w:t>
      </w:r>
    </w:p>
    <w:p>
      <w:pPr>
        <w:spacing w:after="0" w:line="9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direct title insurance premiums and escrow, title-related and other fees are recognized as revenue at the time of closing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70-80% reported within three months following closing, an additional 10-20% reported within the next three months and the remainder within seven to fifteen months. In addition to accruing these earned but unreported agency premiums, we also accrue agent commission expense, which was 76.1%, 77.1% and 78.6% of agent premiums earned in 2012, 2011 and 2010, respectively. We also record provision for claim losses at our average provision rate at the time we record the accrual for the premiums, which was 7.0% for 2012 and 6.8% for 2011 and 2010, and accruals for premium taxes and other expenses relating to our premium accrual. The resulting impact to pretax earnings in any period is less than 10% of the accrued premium amount. The impact of the change in the accrual for agency premiums and related expenses for the years ended December 31, 2012, 2011 and 2010 on our pretax earnings was an (decrease) increase of $(0.2) million, $7.8 million and $10.7 million, respectively. The amount due from our agents relating to this accrual, i.e. the agent premium less their contractual retained commission, was approximately $90.7 million and $91.3 million at December 31, 2012 and 2011, respectively, which represents agency premiums of approximately $438.2 million and $441.2 million at December 31, 2012 and 2011, respectively, and agent commissions of $347.5 million and $349.9 million at December 31, 2012 and 2011, respectively. We may have changes in our accrual for agency revenue in the future if additional relevant information becomes available.</w:t>
      </w:r>
    </w:p>
    <w:p>
      <w:pPr>
        <w:spacing w:after="0" w:line="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During the third quarter of 2012, we acquired 51% of Remy's total outstanding common shares, as a result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we began to consolidate the results of Remy effective August 14, 2012. On April 9, 2012, we successfully closed a tender offer for the outstanding common stock of O'Charley's; we have consolidated the results of O'Charley's as of April 9, 2012. On May 11, 2012, we merged O'Charley's with our investment in ABRH in exchange for an increase in our ownership position in ABRH from 45% to 55%. We have consolidated the results of ABRH as of May 11, 2012.</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1,736.0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1,401.4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235.7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1,758.7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Cost of auto parts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4,864.6</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2"/>
              </w:rPr>
              <w:t>Earnings from continuing operations before income taxes and equity in earnings (loss)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548.7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2,385.3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1,574.3</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 in 2012 increased $2,362.1 million compared to 2011, reflecting an increase in both the Fidelity National Title Group and the Corporate and other segments, as well as the addition of the Remy and Restaurant group segments. Total revenue in 2011 decreased $573.7 million compared to 2010, reflecting a decrease in both the Fidelity National Title Group segment and the Corporate and other segment.</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Escrow, title-related and other fees increased $278.5 million, or 19.5%, in 2012 compared to 2011, consisting of an increase of $266.8 million in the Fidelity National Title Group segment and $11.7 million in the Corporate and other segment. Escrow, title-related and other fees increased $27.7 million, or 2.0% in 2011 compared to 2010, consisting of an increase of $38.9 million in the Fidelity National Title Group segment offset by a decrease of $11.2 million in the Corporate and other segment.</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revenue includes the consolidated results of operations of ABRH and J. Alexanders. Auto parts revenue includes the consolidated results of operations of Remy.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was $143.9 million, $142.7 million, and $135.0 million for the years ended December 31, 2012, 2011, and 2010, respectively. The increase in 2011 as compared to 2010 is due to an overall increase in the fixed maturity security portfolio book value during 2011 as well as dividend income received on our preferred stock which was not held during 2010. Effective return on average invested assets, excluding realized gains and losses, was 4.4%, 4.3%, and 4.0% for the years ended December 31, 2012, 2011, and 2010, respectively.</w:t>
      </w:r>
    </w:p>
    <w:p>
      <w:pPr>
        <w:sectPr>
          <w:pgSz w:w="11900" w:h="16838" w:orient="portrait"/>
          <w:cols w:equalWidth="0" w:num="1">
            <w:col w:w="11420"/>
          </w:cols>
          <w:pgMar w:left="240" w:top="125"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Net realized gains and losses totaled $186.9 million, $6.7 million, and $235.7 million for the years ended December 31, 2012, 2011, and 2010, respectively. The net realized gain for the year ended December 31, 2012 includes a $72.5 million gain on the consolidation of ABRH and O'Charley's, a $48.1 million bargain purchase gain on the acquisition of O'Charley's, a $78.8 million gain on the consolidation of Remy, and $14.4 million in net gains from the sale of other various investments and assets, offset by a $5.9 million impairment on land held at our majority-owned affiliate Cascade Timberlands, a $5.7 million loss on the early extinguishment of our 5.25% bonds, $2.7 million impairment charges on investments determined to be other-than-temporarily impaired and a $12.6 million impairment for title plants no longer in use. The net realized gain for the year ended December 31, 2011 includes $28.2 million net gains on various investments and other assets, offset by a $4.4 million decrease in the value of our structured notes and $17.1 million in impairment charges on investments determined to be other-than-temporarily impaired. The net realized gain for the year ended December 31, 2010 includes a $98.4 million gain on the sale of our 32% interest in Sedgwick in May 2010, a $27.2 million gain on the sale of a corporate bond purchased during 2009, a $21.7 million gain on the sale of FIS stock as part of a tender offer, $11.4 million in gains resulting from an increase in the value of our structured notes, and $77.0 million in gains from the sale of other various investments and assets.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11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totaled $1,872.9 million, $1,578.0 million, and $1,578.6 million for the years ended December 31, 2012, 2011 and 2010, respectively. Personnel costs increased $294.9 million, or 18.7%, for the year ended December 31, 2012 from the 2011, with an increase of $222.1 million in the Fidelity National Title Group segment, an additional $43.4 million from the Restaurant Group segment and $29.4 million from the Remy segment. Personnel costs as a percentage of total revenues were 26.0%, 32.6%, and 29.2% for the years ended December 31, 2012, 2011, and 2010, respectively. Average employee count, excluding Remy and the Restaurant Group, was 18,719, 17,330, and 17,180 for the years ended December 31, 2012, 2011, and 2010, respectively. In 2012 there were 33,859 employees added with the consolidation of the Restaurant group and 6,631 employees added with the consolidation of Remy. Included in personnel costs is stock-based compensation expense of $27.5 million, $26.6 million, and $25.1 million for the years ended December 31, 2012, 2011, and 2010, respectively. The change in personnel costs is discussed in further detail at the segment level below.</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as a percentage of direct title insurance premiums and escrow, title-related and other fees were 37.9% in 2012 and 2011, and 40.8% in 2010. Other operating expenses increased $220.6 million or 20.4% in 2012 from 2011, reflecting increases of $117.9 million in the Fidelity National Title Group segment and $13.9 million in the Corporate and other segment as well as an additional $18.0 million from Remy and $70.8 million from the Restaurant group. In the Fidelity National Title Group segment, the increase in other operating expenses was due mainly to increases in sales, consistent with increases in revenue. Other operating expenses decreased $62.5 million or 5.5% in 2011 from 2010, reflecting decreases of $55.6 million in the Fidelity National Title Group segment and $6.9 million in the Corporate and other segment. In the Fidelity National Title Group segment, the decrease was due mainly to decreases in facilities costs and technology costs as part of our corporate cost savings initiative. The decrease in the corporate and other segment was due primarily to the cost of sales on the sale of a large parcel of land and timber at our majority owned affiliate Cascade Timberlands included in the 2010 period. Other operating expenses for the years ended December 31, 2012, 2011 and 2010, included $2.1 million, $1.4 million and $11.7 million, respectively, in abandoned lease charges relating to office closures.</w:t>
      </w:r>
    </w:p>
    <w:p>
      <w:pPr>
        <w:spacing w:after="0" w:line="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includes cost of food and beverage, primarily the costs of beef, seafood, poultry, dairy and alcoholic and non-alcoholic beverages net of vendor discounts and rebates, payroll and related costs and expenses directly relating to restaurant level activities, and restaurant operating costs including occupancy, advertising and other expenses at the restaurant level. The Restaurant Group results of operations are discussed in further detail at the segment level below.</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Depreciation and amortization increased $31.5 million in 2012 from 2011, mainly relating to the additional $36.6 million depreciation expense from our Remy and Restaurant Group segments added during the year, offset by a decrease due to older assets being fully depreciated. Depreciation and amortization decreased $13.2 million in 2011 from 2010 due to older assets being fully depreciated and a decrease in capital spending over the past several years.</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provision for title claim losses is discussed in further detail below at the segment level.</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for the years ended December 31, 2012, 2011, and 2010 was $74.4 million, $57.2 million, and $46.2 million, respectively. The increase in 2012 from 2011 is due to additional interest incurred on the 5.50% notes issued in August of 2012, as well as additional interest expense of $13.6 million from our Remy and Restaurant Group segments added during the year. The increase in 2011 from 2010 is due to additional interest incurred on the 4.25% convertible notes issued in August 2011 as well as interest expense incurred on the 6.60% notes issued in May 2010.</w:t>
      </w:r>
    </w:p>
    <w:p>
      <w:pPr>
        <w:spacing w:after="0" w:line="11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Income tax expense was $246.7 million, $134.4 million, and $189.8 million for the years ended December 31, 2012, 2011, and 2010, respectively. Income tax expense as a percentage of earnings from continuing operations before income taxes for the years ended December 31, 2012, 2011, and 2010 was 29.3%, 32.4%, and 34.6%, respectively.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 The decrease in the effective tax rate in 2012 from 2011 is due to a one-time tax benefit related to the bargain purchase gain on the O'Charley's acquisition and the consolidation of Remy.</w:t>
      </w:r>
    </w:p>
    <w:p>
      <w:pPr>
        <w:spacing w:after="0" w:line="139"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color w:val="auto"/>
        </w:rPr>
        <w:t>Equity in earnings (losses) of unconsolidated affiliates was $9.9 million, $9.7 million, and $(1.2) million for the years ended December 31, 2012, 2011, and 2010, respectively, and consisted of our equity in the net earnings (losses) of Ceridian, Remy prior to its consolidation in August 2012, other investments in unconsolidated affiliates and our former investment in Sedgwick in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Fidelity National Title Group</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1,344.6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5,230.2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1,083.2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4,723.8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506.4</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 2012 increased $832.9 million or 17.4% compared to 2011. Total revenues in 2011 decreased $437.3 million or 8.4% compared to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2010</w:t>
            </w:r>
          </w:p>
        </w:tc>
      </w:tr>
      <w:tr>
        <w:trPr>
          <w:trHeight w:val="264"/>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1,829.6</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2,236.7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61.4</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3,836.5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2012, the proportion of agency premiums to direct premiums decreased, with agency premiums comprising 54.8% of total premiums in 2012, compared with 56.1% in 2011. In 2011 the proportion of agency premiums to direct premiums decreased to 56.1% of total premiums, compared with 61.4% in 2010.</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increase of $304.5 million in title premiums from direct operations in 2012 was primarily due to an increase in order counts and an increase in commercial transactions during the year. In 2012, mortgage interest rates have continued to decrease from the low levels in 2011 and 2010. Closed order volumes were 1,866,500 and 1,514,200 in the years ending 2012 and 2011, respectively. The average fee per file in our direct operations was $1,487 and $1,489 in the years ending 2012 and 2011, respectively, with the increase reflecting an increase in the volume of refinance transactions. The increase of $27.0 million in title premiums from direct operations in 2011 compared to 2010 was due primarily to an increase in fee per file and an increase in commerical transactions during the year. Closed order volumes were 1,514,200 and 1,574,300 in the years ending 2011 and 2010, respectively. The average fee per file in our direct operations was $1,489 and $1,387 in the years ending 2011 and 2010, respectively, with the increase reflecting a higher volume of commercial transactions which typically have a higher fee per file. The fee per file tends to change as the mix of refinance and purchase transactions changes, because purchase transactions generally involve the issuance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both a lender’s policy and an owner’s policy, resulting in higher fees, whereas refinance transactions typically only require a lender’s policy, resulting in lower fees. The fee per file will also increase as the proportion of commercial orders increases.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increase of $270.9 million in agency premiums in 2012 is primarily the result of a strengthening residential purchase environment. Our agency operations typically garner a lower percentage of commercial and refinance transactions and a higher percentage of purchase transactions. The decrease of $407.1 million in agency premiums in 2011 is primarily the result of a decrease in remitted and accrued agency premiums due to a slower residential purchase environment. Contributing to the decrease in remitted premiums in 2011 was a significant decrease in business from one of our largest agents.</w:t>
      </w:r>
    </w:p>
    <w:p>
      <w:pPr>
        <w:spacing w:after="0" w:line="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Fidelity National Title Group segment, escrow fees, which are more directly related to our direct operations, increased $147.6 million, or 26.0%, in 2012 compared to 2011 due to the increase in direct title premiums over the prior year. Other fees in the Fidelity National Title Group segment, excluding escrow fees, increased $119.2 million, or 14.6%, in 2012 compared to 2011 primarily due to an increase in revenues from refinance and commercial transactions as well as increases in our other title related businesses, consistent with the title operations. Escrow fees in the Fidelity National Title Group segment increased $26.5 million, or 4.9%, in 2011 compared to 2010 due to the increase in direct title premiums over the prior year. Other fees in the Fidelity National Title Group segment, excluding escrow fees, increased $12.4 million, or 1.5%, in 2011 compared to 2010 primarily due to an increase in revenues from commercial transactions offset by a decrease in revenues from a division of our business that manages real estate owned by financial institutions due to a continued delay in lender foreclosure completions.</w:t>
      </w:r>
    </w:p>
    <w:p>
      <w:pPr>
        <w:spacing w:after="0" w:line="2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 increase of $222.1 million in 2012 from 2011 is due mainly to increases in open and closed order counts. The decrease in personnel costs of $17.9 million in 2011 from 2010 is due mainly to decreases in title premiums from direct operations and decreases in opened and closed order counts. Average employee count in the title segment increased to 18,509 in 2012 from 17,036 in 2011 and increased marginally in 2011 from 16,747 in 2010. Personnel costs in the title segment as a percentage of total revenues from direct title premiums and escrow, title-related and other fees were 51.7%, 54.3% and 56.3% for the years ended December 31, 2012, 2011, and 2010, respectively.</w:t>
      </w:r>
    </w:p>
    <w:p>
      <w:pPr>
        <w:spacing w:after="0" w:line="43"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2010</w:t>
            </w:r>
          </w:p>
        </w:tc>
      </w:tr>
      <w:tr>
        <w:trPr>
          <w:trHeight w:val="264"/>
        </w:trPr>
        <w:tc>
          <w:tcPr>
            <w:tcW w:w="4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1,410.8</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1,758.7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78.6</w:t>
            </w: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increased from 22.9% in 2011 to 23.9% in 2012. Net margin from agency title insurance premiums we retain as a percentage of total agency premiums increased from 21.4% in 2010 to 22.9% in 2011. The increase in both years is due primarily to the modification of various agency agreements since 2010 which resulted in an increase to our retained premium including our move to an 80%/20% split in New York.</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title claim losses accordingly as new information becomes known, new loss patterns emerge, or as other contributing factors are considered and incorporated into the analysis of the reserve for claim losses. The claim loss provision for title insurance was $279.3 million, $222.3 million, and $248.9 million for the years ended December 31, 2012, 2011, and 2010, respectively. These amounts reflected average claim loss provision rates of 7.0% for 2012 and 6.8% of title premiums for 2011 and 2010. The claim loss provision for 2012 also includes a $10.8 million impairment recorded on an asset previously recouped as part of a claim settlement. We will continue to monitor and evaluate our loss provision level, actual claims paid, and the loss reserve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year ended December 31, 2012, reflect results of Remy and subsidiaries as of the date of consolidation, August 14, 2012 through December 31,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Year Ended</w:t>
            </w:r>
          </w:p>
        </w:tc>
      </w:tr>
      <w:tr>
        <w:trPr>
          <w:trHeight w:val="203"/>
        </w:trPr>
        <w:tc>
          <w:tcPr>
            <w:tcW w:w="9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December 31, 2012</w:t>
            </w:r>
          </w:p>
        </w:tc>
      </w:tr>
      <w:tr>
        <w:trPr>
          <w:trHeight w:val="343"/>
        </w:trPr>
        <w:tc>
          <w:tcPr>
            <w:tcW w:w="9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(In millions)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417.5</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r>
      <w:tr>
        <w:trPr>
          <w:trHeight w:val="237"/>
        </w:trPr>
        <w:tc>
          <w:tcPr>
            <w:tcW w:w="96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497.0</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29.4</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auto parts revenue, includes $26.7 million of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18.0</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10.2</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408.5</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88.5</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Prior to its consolidation, we previously held a $179.2 million investment in Remy, which was included in Investments in unconsolidated affiliates on the Consolidated Balance Sheet. As a result of the difference between our basis in these investments and the fair value at the time of consolidation, we recognized a $78.8 million realized gain during the year ended December 31, 2012. Results were negatively affected during the year by a one-time mark-to-market fair value adjustment to Remy's finished goods inventory recorded in the third quarter as a result of the purchase accounting related to the Remy acquisition. Also included in the 2012 Remy results were $4.7 million of restructuring costs incurred during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reflected in the year ended December 31, 2012 reflect results of O'Charley's Inc. and subsidiaries as of the date of acquisition, April 9, 2012 through December 31, 2012, the results of ABRH as of the date of merger with O'Charley's, May 11, 2012 through December 31, 2012, as well as the results of J. Alexanders as of the date of acquisition, September 26, 2012 through December 31,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Year Ended</w:t>
            </w:r>
          </w:p>
        </w:tc>
      </w:tr>
      <w:tr>
        <w:trPr>
          <w:trHeight w:val="209"/>
        </w:trPr>
        <w:tc>
          <w:tcPr>
            <w:tcW w:w="9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December 31, 2012</w:t>
            </w:r>
          </w:p>
        </w:tc>
      </w:tr>
      <w:tr>
        <w:trPr>
          <w:trHeight w:val="190"/>
        </w:trPr>
        <w:tc>
          <w:tcPr>
            <w:tcW w:w="9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(In millions)</w:t>
            </w:r>
          </w:p>
        </w:tc>
      </w:tr>
      <w:tr>
        <w:trPr>
          <w:trHeight w:val="255"/>
        </w:trPr>
        <w:tc>
          <w:tcPr>
            <w:tcW w:w="96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909.3</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118.7</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1,028.0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774.2</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r>
      <w:tr>
        <w:trPr>
          <w:trHeight w:val="237"/>
        </w:trPr>
        <w:tc>
          <w:tcPr>
            <w:tcW w:w="96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927.0</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Prior to its consolidation, we previously held a $13.8 million investment in common stock of O'Charley's, Inc., which was included in Equity securities available for sale on the Consolidated Balance Sheet and a $37.0 million investment in ABRH which was included in Investments in unconsolidated affiliates on the Consolidated Balance Sheet. As a result of the difference between</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basis in these investments and the fair value at the time of consolidation, we recognized a $72.5 million realized gain during the year ended December 31, 2012. We also recognized a $48.1 million bargain purchase gain relating to the acquisition of O'Charley's. See Note B for further discussion. Also included in the results of operations of the Restaurant Group for the year ended December 31, 2012 were $18.8 million of acquisition, transaction, and integration costs related to the O'Charley's tender offer and the subsequent merger with ABRH.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 and our former investment in Sedgwick in 2010. The Corporate and other segment generated revenues of $50.9 million, $46.7 million and $183.1 million for the years ended December 31, 2012, 2011, and 2010, respectively.</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fees increased $11.7 million, or 25.7%, in 2012 compared to 2011 and decreased $11.2 million, or 19.7%, in 2011 compared to 2010. The increase in 2012 was due primarily to the sale of a parcel of land and timber at our majority-owned affiliate Cascade Timberlands. The decrease in 2011 was primarily due to the 2010 period including $13.7 million in revenue from the sale of a large parcel of land and timber at Cascade Timberlands.</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were $48.1 million in 2012 and 2011 and $30.8 million in 2010. Personnel costs in 2012 include a $10.8 million accrual for our Long Term Incentive Plan established during 2012 which is tied to the fair value of certain of our non-title operations. The increase in personnel costs of $17.3 million in 2011 from 2010 is due mainly to higher bonus accruals in the 2011 period, earned as part of our cost savings initiative which ended in October of 2011.</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segment generated pretax (losses) earnings of $(129.2) million, $(115.5) million, and $42.3 million for the years ended December 31, 2012, 2011, and 2010, respectively. The change in pretax earnings in all periods is primarily related to changes in net realized gains (losses). Net realized (losses) gains totaled $(11.5) million, $(0.3) million and $124.8 million for the years ended December 31, 2012, 2011, and 2010, respectively. The decrease in 2012 from 2011 is due to the 2012 period including a $5.7 million realized loss on the early extinguishment of our 5.25% notes in 2012 as well as a $5.9 million impairment on land held at Cascade Timberlands. The decrease in 2011 from 2010 is due to a $98.4 million gain on the sale of our 32% interest in Sedgwick and a $27.2 million gain on the sale of a corporate bond being included in the year ended December 31,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capital expenditures, business acquisitions, stock repurchases and dividends on our common stock. We paid dividends of $0.58 per share during 2012, or approximately $128.7 million. On January 30, 2013, our Board of Directors formally declared a $0.16 per share cash dividend that is payable on March 29, 2013 to stockholders of record as of March 15, 2013. There are no restrictions on our retained earnings regarding our ability to pay dividends to shareholders. The declaration of any future dividends is at the discretion of our Board of Directors. Additional uses of cash flow are expected to include stock repurchases, acquisitions, and debt repayments.</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93"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2012, $1,997.1 million of our net assets were restricted from dividend payments without prior approval from the relevant departments of insurance. During 2013, our title insurance subsidiaries can pay or make distributions to us of approximately $255.4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without prior regulatory approval. Our underwritten title companies and non-title insurance subsidiaries collect revenue and pay operating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they are not regulated to the same extent as our insurance subsidiaries.</w:t>
      </w:r>
    </w:p>
    <w:p>
      <w:pPr>
        <w:spacing w:after="0" w:line="157"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 During 2011, we were able to increase our liquidity through the sale of our at-risk insurance businesses, which generated approximately $119.5 million during 2011 and $194.0 million in 2012 in net cash proceeds. During 2010, we were able to create additional liquidity through the sale of our 32% interest in Sedgwick, which generated cash proceeds of approximately $193.6 million in 2010 and $32.0 million in 2011.</w:t>
      </w:r>
    </w:p>
    <w:p>
      <w:pPr>
        <w:spacing w:after="0" w:line="139"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Our cash flows provided by operations for the years ended December 31, 2012, 2011, and 2010 were $620.0 million, $110.3 million and $188.5 million, respectively. The increase in cash provided by operations of $509.7 million from 2012 to 2011 is due primarily to increased earnings from continuing operations in 2012 as well as lower title claim payments in 2012 compared to 2011. The decrease in cash provided by operations of $78.2 million from 2010 to 2011 is due mainly to a higher proportion of income relating to investing activities in 2010 as compared to 2011 and various smaller changes in other assets and liabilities.</w:t>
      </w:r>
    </w:p>
    <w:p>
      <w:pPr>
        <w:spacing w:after="0" w:line="134" w:lineRule="exact"/>
        <w:rPr>
          <w:sz w:val="20"/>
          <w:szCs w:val="20"/>
          <w:color w:val="auto"/>
        </w:rPr>
      </w:pPr>
    </w:p>
    <w:p>
      <w:pPr>
        <w:jc w:val="both"/>
        <w:ind w:firstLine="383"/>
        <w:spacing w:after="0" w:line="312"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Total capital expenditures for property and equipment and capitalized software were $79.2 million, $35.9 million and $53.9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years ended December 31, 2012, 2011, and 2010, respectively. The increase from 2011 to 2012 is mainly due to $35.7 million in additions from our Remy and Restaurant Group segments, including capital expenditures in our Restaurant Group segment to remodel several locations.</w:t>
      </w:r>
    </w:p>
    <w:p>
      <w:pPr>
        <w:spacing w:after="0" w:line="9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i w:val="1"/>
          <w:iCs w:val="1"/>
          <w:color w:val="auto"/>
        </w:rPr>
        <w:t xml:space="preserve">Financing. </w:t>
      </w:r>
      <w:r>
        <w:rPr>
          <w:rFonts w:ascii="Arial" w:cs="Arial" w:eastAsia="Arial" w:hAnsi="Arial"/>
          <w:sz w:val="17"/>
          <w:szCs w:val="17"/>
          <w:color w:val="auto"/>
        </w:rPr>
        <w:t>On August 28, 2012, we completed an offering of $400.0 million in aggregate principal amount of 5.50% notes due September 2022 (the</w:t>
      </w:r>
      <w:r>
        <w:rPr>
          <w:rFonts w:ascii="Arial" w:cs="Arial" w:eastAsia="Arial" w:hAnsi="Arial"/>
          <w:sz w:val="17"/>
          <w:szCs w:val="17"/>
          <w:i w:val="1"/>
          <w:iCs w:val="1"/>
          <w:color w:val="auto"/>
        </w:rPr>
        <w:t xml:space="preserve"> </w:t>
      </w:r>
      <w:r>
        <w:rPr>
          <w:rFonts w:ascii="Arial" w:cs="Arial" w:eastAsia="Arial" w:hAnsi="Arial"/>
          <w:sz w:val="17"/>
          <w:szCs w:val="17"/>
          <w:color w:val="auto"/>
        </w:rPr>
        <w:t>"5.50% notes"), pursuant to an effective registration statement previously filed with the Securities and Exchange Commission. The notes were priced at 99.513% of par to yield 5.564% annual interest. As such we recorded a discount of $1.9 million, which is netted against the $400.0 million aggregate principal amount of the 5.50% notes. The discount is amortized to September 2022 when the 5.50% notes mature. The 5.50% notes will pay interest semi-annually on the 1st of March and September, beginning March 1, 2013. We received net proceeds of $395.5 million, after expenses, which were used to repay the $236.5 million aggregate principal amount outstanding of our 5.25% unsecured notes maturing in March 2013, the $50.0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28, 2012, we used $242.3 million of the net proceeds of the issuance of the 5.50% notes to fund the repayment of the $236.5 million aggregate principal amount outstanding of our 5.25% unsecured notes, including $0.6 million of unpaid interest and a $5.2 million make-whole call penalty, as the 5.25% unsecured notes had a stated maturity of March 2013.</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$80.0 million with a maturity date of May 31, 2017. Additionally, the ABRH Credit Facility provides for a maximum term loan ("Restaurant Group Term Loan") of $85.0 million with quarterly installment repayments through December 25, 2016 and a maturity date of May 31, 2017 for the outstanding unpaid principal balance and all accrued and unpaid interest. On May 31, 2012, ABRH borrowed the entire $85.0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 in turn pay to its members) to $5.0 million in the aggregate (outside of certain other permitted dividend payments) in fiscal year 2012 (with varying amounts for subsequent years). The ABRH Credit Facility includes customary events of default for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$2.0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December 31, 2012, the balance of the term loan was $72.2 million and there was no outstanding balance on the revolving loan. ABRH had $20.4 million of outstanding letters of credit as of December 31, 2012. As of December 31, 2012, ABRH had $59.6 million of remaining borrowing capacity under their revolving credit facility.</w:t>
      </w:r>
    </w:p>
    <w:p>
      <w:pPr>
        <w:spacing w:after="0" w:line="1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April 16, 2012, we entered into an agreement to amend and extend our credit agreement dated September 12, 2006, as amended and restated as of March 5, 2010 (the “ Revolving Credit Facility”) with Bank of America, N.A. as administrative agent and swing line lender (the “Administrative Agent”), and the other financial institutions party thereto, and an agreement to change the aggregate size of the credit facility under the Revolving Credit Facility. These agreements reduced the total size of the credit facility from $925.0 million to $800.0 million, with an option to increase the size of the credit facility to $900.0 million, and established an extended maturity date of April 16, 2016. Pricing for the new agreement is based on an applicable margin between 132.5 basis points to 160.0 basis points over LIBOR, depending on the senior debt ratings of FNF. The Revolving Credit Facility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Revolving Credit Facility prohibits us from paying dividends to our stockholders if an event of default has occurred and is continuing or would result therefrom. The Revolving Credit Facility requires us to maintain certain financial ratios and levels of capitalization. The Revolving Credit Facility includes customary events of default for facilities of this type (with customary grace periods, as applicable).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Revolving Credit Facility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Revolving Credit Facility shall automatically become immediately due and payable, and the lenders' commitments will automatically terminate. As of December 31, 2012, there was no outstanding balance under the Revolving Credit Facility.</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August 2, 2011, we completed an offering of $300.0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$21.5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98% of the product of the last reported sale price per share of our common stock on such trading day and the applicable conversion rate on such trading day;</w:t>
      </w:r>
    </w:p>
    <w:p>
      <w:pPr>
        <w:spacing w:after="0" w:line="46" w:lineRule="exact"/>
        <w:rPr>
          <w:sz w:val="20"/>
          <w:szCs w:val="20"/>
          <w:color w:val="auto"/>
        </w:rPr>
      </w:pPr>
    </w:p>
    <w:p>
      <w:pPr>
        <w:jc w:val="both"/>
        <w:ind w:firstLine="8"/>
        <w:spacing w:after="0" w:line="273" w:lineRule="auto"/>
        <w:tabs>
          <w:tab w:leader="none" w:pos="322" w:val="left"/>
        </w:tabs>
        <w:numPr>
          <w:ilvl w:val="0"/>
          <w:numId w:val="25"/>
        </w:numPr>
        <w:rPr>
          <w:rFonts w:ascii="Arial" w:cs="Arial" w:eastAsia="Arial" w:hAnsi="Arial"/>
          <w:sz w:val="17"/>
          <w:szCs w:val="17"/>
          <w:color w:val="auto"/>
        </w:rPr>
      </w:pPr>
      <w:r>
        <w:rPr>
          <w:rFonts w:ascii="Arial" w:cs="Arial" w:eastAsia="Arial" w:hAnsi="Arial"/>
          <w:sz w:val="17"/>
          <w:szCs w:val="17"/>
          <w:color w:val="auto"/>
        </w:rPr>
        <w:t>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4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2011, we used $75.0 million of the proceeds from the Notes to purchase 4,609,700 shares of our common stock at $16.27 per share in privately negotiated transactions concurrently with the issuance. We used the remaining net proceeds along with other cash on hand for repayment of $250.0 million outstanding debt on our revolving credit agreement.</w:t>
      </w:r>
    </w:p>
    <w:p>
      <w:pPr>
        <w:spacing w:after="0" w:line="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2010, Remy entered into a $300.0 million Term B Loan (“Term B”) facility. The Term B is secured by a first priority lien on the stock of Remy's subsidiaries and substantially all Remy domestic assets other than accounts receivable and inventory pledged to the Asset-Based Revolving Credit Facility, as described below. The Term B bears an interest rate of LIBOR (subject to a floor of 1.75%) plus 4.5% per annum. The Term B matures on December 17, 2016. Principal payments in the amount of $0.8 million are due at the end of each calendar quarter with termination and final payment no later than December 17, 2016. The Term B facility is subject to an excess cash calculation which may require the payment of additional principal on an annual basis. The Term B also includes events of default customary for a facility of this type, including a cross-default provision under which the lenders may declare the loan in default if we (i) fail to make a payment when due under any debt having a principal amount greater than $5.0 million or (ii) breach any other covenant in any such debt as a result of which the holders of such debt are permitted to accelerate its maturity. Remy is in compliance with all covenants as of December 31, 2012.</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2010, Remy entered into a $95.0 million, five year Asset-Based Revolving Credit Facility, (the "Remy Credit Facility"). The Remy Credit Facility is secured by substantially all of Remy's domestic accounts receivable and inventory. It bears interest, varying with the level of available borrowing, at a defined Base Rate plus 1.00%-1.50% per annum or, at our election, at an applicable LIBOR Rate plus 2.00%-2.50% per annum and is paid monthly. The Remy Credit Facility contains various 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 At December 31, 2012, the Remy Credit Facility balance was zero. Based upon the collateral supporting the Remy Credit Facility, the amount borrowed, and the outstanding Remy letters of credit of $2.9 million, there was additional availability for borrowing of $69.0 million as of December 31, 2012. The Remy Credit Facility agreement matures on December 17, 2015.</w:t>
      </w:r>
    </w:p>
    <w:p>
      <w:pPr>
        <w:spacing w:after="0" w:line="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Remy also has revolving credit facilities with four Korean banks with a total facility amount of approximately $16.1 million of which $6.1 million is borrowed at average interest rates of 4.54% at December 31, 2012. In Hungary, there is a revolving credit facility and a note payable with two separate banks for a credit facility of $5.5 million of which $3.0 million is borrowed at average interest rates of 2.61% at December 31, 2012. In Belgium Remy has revolving loans with two banks for a credit facility of $3.7 million with no outstanding borrowings at December 31, 2012.</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$0.3 million, which is netted against the $300.0 million aggregate principal amount of notes. The discount is amortized to May 2017 when the 6.60% Notes mature. We received net proceeds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$100.0 million for all such debt, arising from (i) failure to make a principal payment when due or (ii) the occurrence of an event which results in such debt being due and payable prior to its scheduled maturity.</w:t>
      </w:r>
    </w:p>
    <w:p>
      <w:pPr>
        <w:spacing w:after="0" w:line="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From 2008 - 2011, we have seen a divergence from these historical trends with orders being negatively affected by a reduction in the availability of financing, rising default levels, and falling home values causing an overall downward trend in home sales. In addition we have noted short term fluctuations through recent years in resale and refinance transactions as a result of changes in interest rates and the implementation and subsequent expiration of government programs designed to stimulate the real estate market. During 2012 we experienced an increase in existing home sales to the highest volume levels since 2007. We have also seen a decline in total housing inventory to the lowest levels since 2005.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20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and purchase obligations of Remy and the Restaurant Group. As of December 31, 2012, our required annual payments relating to these contractual obligations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1,343.9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1,062.7</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1,748.0</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554.4</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5,239.4</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2012, we had title insurance reserves of $1,748.0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127"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Restaurant Group has unconditional purchase obligations with various vendors. These purchase obligations are primarily food obligations with fixed commitments in regards to the time period of the contract with annual price adjustments that can fluctuate and a fixed beverage contract with an annual price adjustment. In situations where the price is based on market prices, the Company used the existing market prices at December 31, 2012 to determine the amount of the obligation.</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Remy has long-term customer obligations related to outstanding customer contracts. These contracts designate Remy to be the exclusive supplier to the respective customer, product line or distribution center and require Remy to compensate these customers over several years for store support. Remy has also entered into arrangements with certain customers under which cores, a key component in its remanufacturing operations, are purchased and held in inventory. Credits to be issued to these customers for these arrangements are recorded at net present value and are reflected as long-term customer obligations.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sponsor multiple pension plans and other post-retirement benefit plans. See Note O of the Notes to Consolidated Financial Statements.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include estimated future interest payments on our outstanding debt and an investment commitment entered into in December of 2012 for $50.0 million to be made in the future.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On July 21, 2009, the Board of Directors approved a three-year stock repurchase program under which we can repurchase up</w:t>
      </w:r>
      <w:r>
        <w:rPr>
          <w:rFonts w:ascii="Arial" w:cs="Arial" w:eastAsia="Arial" w:hAnsi="Arial"/>
          <w:sz w:val="18"/>
          <w:szCs w:val="18"/>
          <w:i w:val="1"/>
          <w:iCs w:val="1"/>
          <w:color w:val="auto"/>
        </w:rPr>
        <w:t xml:space="preserve"> </w:t>
      </w:r>
      <w:r>
        <w:rPr>
          <w:rFonts w:ascii="Arial" w:cs="Arial" w:eastAsia="Arial" w:hAnsi="Arial"/>
          <w:sz w:val="18"/>
          <w:szCs w:val="18"/>
          <w:color w:val="auto"/>
        </w:rPr>
        <w:t>to 15 million shares of our common stock through July 31, 2012. On January 27, 2011, our Board of Directors approved an additional 5 million shares that may be repurchased under the program. In the year ended December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2012, we repurchased a total of 1,150,000 shares for $21.7 million, or an average of $18.87 per share. This program expired July 31, 2012 and we repurchased a total of 16,528,512 shares for $243.4 million, or an average of $14.73 per share under this program.</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2012, we repurchased a total of 680,000 shares for $15.9 million, or an average of $23.38 per share under this program. Subsequent to year-end we repurchased a total of 80,000 shares for $2 million, or an average of $25.00 per share through market close on February 25, 2013. Since the original commencement of the plan adopted July 21, 2012, we have repurchased a total of 760,000 shares for $17.9 million, or an average of $23.55 per share, and there are 14,240,000 shares available to be repurchased under this program.</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33"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8"/>
          <w:szCs w:val="18"/>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$55.8 million and $42.6 million as of December 31, 2012 and 2011, respectively, and is recorded in Equity securities available for sale.</w:t>
      </w:r>
    </w:p>
    <w:p>
      <w:pPr>
        <w:spacing w:after="0" w:line="139"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December 31, 2012 of $71.3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recent accounting pronouncements, see Note S of Notes to Consolidated Financial Statements included elsewhere herein.</w:t>
      </w:r>
    </w:p>
    <w:p>
      <w:pPr>
        <w:spacing w:after="0" w:line="3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2012, we had $1,343.9 million in long-term debt, of which $331.0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to hedge these risks.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2010, Remy entered into an interest rate swap agreement in respect of 50% of the outstanding principal balance of our Term B Loan under which a variable LIBOR rate with a floor of 1.750% was swapped to a fixed rate of 3.345%. The Term B Loan $150.0 million notional value interest rate swap expires December 31, 2013. This interest rate swap is an undesignated hedge and changes in the fair value are recorded as Interest expense in the accompanying Consolidated Statement of Earnings. The interest rate swaps reduce our overall interest rate risk.</w:t>
      </w:r>
    </w:p>
    <w:p>
      <w:pPr>
        <w:spacing w:after="0" w:line="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Remy had thirty-six commodity price hedge contracts outstanding at December 31, 2012, with combined notional quantities of 6,566 metric tons of copper. These contracts mature within the next fifteen months. These contracts were designated as cash flow hedging instruments. Accumulated unrealized net losses of $0.4 million were recorded in Accumulated other comprehensive earnings as of December 31, 2012 related to these contracts. As of December 31, 2012, net losses related to these contracts of $0.4 million are expected to be reclassified to the accompanying Consolidated Statement of Earnings within the next 12 months. Hedging ineffectiveness during the year ended December 31, 2012 was immaterial.</w:t>
      </w:r>
    </w:p>
    <w:p>
      <w:pPr>
        <w:spacing w:after="0" w:line="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At December 31, 2012, we held $137.6 million in marketable equity securities (not including our investments in preferred stock of $216.9 million at December 31, 2012 and our Investments in unconsolidated affiliates, which amounted to $392.2 million at December 31, 2012).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our equity securities, fixed maturity investments and borrowings, we hold structured notes which were purchased during 2009 with a par value of $37.5 million and fair value of $40.8 million at December 31, 2012. These instruments are subject to market risks including commodity price risk. The fair value of these instruments represents exit prices obtained from a proprietary valuation model utilized by the trading desk of a broker-dealer. The fair value of the structured notes is subject to various assumptions utilized in the valuation model, including the underlying value of the relevant commodities index. The structured notes are held for general investment purposes and represent one percent of our total investment portfolio. In part because of the relatively small size of this investment, we do not believe that an adverse change in the relevant commodity prices, foreign exchange rates or interest rates on which the value of the notes depends would likely have a material effect on our financial position, and therefore we have not provided a sensitivity analysis for these items.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accounts receivable and cash investments. We require placement of cash in financial institutions evaluated as highly creditworthy. Remy's customer base includes global light and commercial vehicle manufacturers and a large number of retailers, distributors and installers of automotive aftermarket parts. Remy evaluates the credit and the geographical dispersion of sales transactions to help mitigate credit risk concentration.</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Remy manufactures and sells products primarily in North America, South America, Asia, Europe and Africa. As a result our financial results could be significantly affected by factors such as changes in foreign currency exchange rates or weak economic conditions in foreign markets in which we manufacture and sell our products. We generally try to use natural hedges within our foreign currency activities, including the matching of revenues and costs, to minimize foreign currency risk. Where natural hedges are not in place, we consider managing certain aspects of our foreign currency activities through the use of foreign exchange contracts. We primarily utilize forward exchange contracts with maturities generally within twenty-four months to hedge against currency rate fluctuations, some of which are designated as hedges. See Note E for further discussion.</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33.9% of total liabilities at December 31, 2012)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2012 and December 31, 2011,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2012, an increase (decrease) in the levels of interest rates of 100 basis points, with all other variables held constant, would result in a (decrease) increase in the fair value of our fixed maturity securities and certain of our investments in preferred stock which are tied to interest rates of $111.1 million as compared with a (decrease) increase of $108.0 million at December 31, 2011.</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for the year ended December 31, 2012, a decrease of 100 basis points in the levels of interest rates, with all other variables held constant, would result in a decrease in the interest expense on our average outstanding floating rate debt of $0.1 million as compared to a decrease of $0.1 million for the year ended December 31, 2011. An increase of 100 basis points in the levels of interest rates, with all other variables held constant, would result in an increase in the interest expense of our average outstanding floating rate debt of $1.4 million for the year ended December 31, 2012, as compared to $2.0 million for the year ended December 31, 2011.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2012, a 20% increase (decrease) in market prices, with all other variables held constant, would result in an increase (decrease) in the fair value of our equity securities portfolio of $27.5 million, as compared with an increase (decrease) of $21.1 million at December 31, 2011.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8"/>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 on Effectiveness of Internal Control over Financial Reporting</w:t>
              </w:r>
            </w:hyperlink>
          </w:p>
        </w:tc>
        <w:tc>
          <w:tcPr>
            <w:tcW w:w="1140" w:type="dxa"/>
            <w:vAlign w:val="bottom"/>
            <w:gridSpan w:val="3"/>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680" w:type="dxa"/>
            <w:vAlign w:val="bottom"/>
            <w:gridSpan w:val="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40" w:type="dxa"/>
            <w:vAlign w:val="bottom"/>
            <w:gridSpan w:val="2"/>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Consolidated Balance Sheets as of December 31, 2012 and 2011</w:t>
              </w:r>
            </w:hyperlink>
          </w:p>
        </w:tc>
        <w:tc>
          <w:tcPr>
            <w:tcW w:w="2300" w:type="dxa"/>
            <w:vAlign w:val="bottom"/>
            <w:gridSpan w:val="3"/>
          </w:tcPr>
          <w:p>
            <w:pPr>
              <w:spacing w:after="0"/>
              <w:rPr>
                <w:sz w:val="21"/>
                <w:szCs w:val="21"/>
                <w:color w:val="auto"/>
              </w:rPr>
            </w:pPr>
          </w:p>
        </w:tc>
        <w:tc>
          <w:tcPr>
            <w:tcW w:w="3300" w:type="dxa"/>
            <w:vAlign w:val="bottom"/>
            <w:gridSpan w:val="3"/>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40" w:type="dxa"/>
            <w:vAlign w:val="bottom"/>
            <w:gridSpan w:val="4"/>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Consolidated Statements of Earnings for the years ended December 31, 2012, 2011, and 2010</w:t>
              </w:r>
            </w:hyperlink>
          </w:p>
        </w:tc>
        <w:tc>
          <w:tcPr>
            <w:tcW w:w="3500" w:type="dxa"/>
            <w:vAlign w:val="bottom"/>
            <w:gridSpan w:val="4"/>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6"/>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Consolidated Statements of Comprehensive Earnings for the years ended December 31, 2012, 2011, and 2010</w:t>
              </w:r>
            </w:hyperlink>
          </w:p>
        </w:tc>
        <w:tc>
          <w:tcPr>
            <w:tcW w:w="2320" w:type="dxa"/>
            <w:vAlign w:val="bottom"/>
            <w:gridSpan w:val="2"/>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580" w:type="dxa"/>
            <w:vAlign w:val="bottom"/>
            <w:gridSpan w:val="3"/>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Consolidated Statements of Equity for the years ended December 31, 2012, 2011, and 2010</w:t>
              </w:r>
            </w:hyperlink>
          </w:p>
        </w:tc>
        <w:tc>
          <w:tcPr>
            <w:tcW w:w="1340" w:type="dxa"/>
            <w:vAlign w:val="bottom"/>
            <w:gridSpan w:val="3"/>
          </w:tcPr>
          <w:p>
            <w:pPr>
              <w:spacing w:after="0"/>
              <w:rPr>
                <w:sz w:val="21"/>
                <w:szCs w:val="21"/>
                <w:color w:val="auto"/>
              </w:rPr>
            </w:pPr>
          </w:p>
        </w:tc>
        <w:tc>
          <w:tcPr>
            <w:tcW w:w="2320" w:type="dxa"/>
            <w:vAlign w:val="bottom"/>
            <w:gridSpan w:val="2"/>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Consolidated Statements of Cash Flows for the years ended December 31, 2012, 2011, and 2010</w:t>
              </w:r>
            </w:hyperlink>
          </w:p>
        </w:tc>
        <w:tc>
          <w:tcPr>
            <w:tcW w:w="1140" w:type="dxa"/>
            <w:vAlign w:val="bottom"/>
            <w:gridSpan w:val="3"/>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5"/>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Notes to Consolidated Financial Statements</w:t>
              </w:r>
            </w:hyperlink>
          </w:p>
        </w:tc>
        <w:tc>
          <w:tcPr>
            <w:tcW w:w="3300" w:type="dxa"/>
            <w:vAlign w:val="bottom"/>
            <w:gridSpan w:val="3"/>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r>
      <w:tr>
        <w:trPr>
          <w:trHeight w:val="723"/>
        </w:trPr>
        <w:tc>
          <w:tcPr>
            <w:tcW w:w="3140" w:type="dxa"/>
            <w:vAlign w:val="bottom"/>
            <w:tcBorders>
              <w:top w:val="single" w:sz="8" w:color="0000FF"/>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2012,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(COSO). Fidelity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69"/>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Fidelity National Financial, Inc. and subsidiaries as of December 31, 2012 and 2011, and the related Consolidated Statements of Earnings, Comprehensive Earnings, Equity and Cash Flows for each of the years in the three-year period ended December 31, 2012, and our report dated February 26, 2013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2012 and 2011, and the related Consolidated Statements of Earnings, Comprehensive Earnings,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2012 and 2011, and the results of their operations and their cash flows for each of the years in the three-year period ended December 31, 2012, in conformity with U.S. generally accepted accounting principles.</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26, 2013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maturities available for sale, at fair value, at December 31, 2012 and 2011, includes pledged fixed maturities of $275.2 and $274.2,</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3,139.8</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3,200.2</w:t>
            </w: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related to secured trust deposits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216.9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4,053.0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4,051.7</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2"/>
              </w:rPr>
              <w:t>Cash and cash equivalents, at December 31, 2012 and 2011, includes pledged cash of $265.9 and $161.3,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665.7</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$21.7 and $22.6 at December 31, 2012 and 2011,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1,908.5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1,452.2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9,902.6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7,862.1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Accounts payable and other accrued liabilities, at December 31, 2012 and 2011, includes accounts payable to related parties of $5.4 and $5.6,</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862.7</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1,748.0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5,153.5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4,206.2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Class A, $0.0001 par value; authorized, 600,000,000 shares as of December 31, 2012 and 2011; issued 268,541,117 shares and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254,868,454 shares at December 31, 2012 and 2011, respectively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3,798.6</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 (loss)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39,995,513 shares and 34,190,969 shares as of December 31, 2012 and 2011, respectively, at cost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(532.2)</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4,268.0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3,632.7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4,749.1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3,655.9</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9,902.6</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88"/>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7"/>
          </w:tcPr>
          <w:p>
            <w:pPr>
              <w:jc w:val="center"/>
              <w:ind w:left="548"/>
              <w:spacing w:after="0"/>
              <w:rPr>
                <w:sz w:val="20"/>
                <w:szCs w:val="20"/>
                <w:color w:val="auto"/>
              </w:rPr>
            </w:pPr>
            <w:r>
              <w:rPr>
                <w:rFonts w:ascii="Arial" w:cs="Arial" w:eastAsia="Arial" w:hAnsi="Arial"/>
                <w:sz w:val="14"/>
                <w:szCs w:val="14"/>
                <w:b w:val="1"/>
                <w:bCs w:val="1"/>
                <w:color w:val="auto"/>
                <w:w w:val="91"/>
              </w:rPr>
              <w:t>(In millions, except share data)</w:t>
            </w:r>
          </w:p>
        </w:tc>
        <w:tc>
          <w:tcPr>
            <w:tcW w:w="90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Direct title insurance premiums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1,736.0</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1,431.5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1,404.5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title insurance premiums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2,236.7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Escrow, title-related and other fees</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1,429.1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1,401.4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 parts revenue</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Restaurant revenue</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and investment income</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Realized gains and losses, net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235.7</w:t>
            </w: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7,201.7</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5,413.3</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Personnel costs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Agent commissions</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1,758.7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expenses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w w:val="96"/>
              </w:rPr>
              <w:t>Cost of auto parts revenue, includes $26.7 million of depreciation and amortization in the year ended December 31, 2012</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restaurant revenue</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title claim losses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248.9</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w:t>
            </w:r>
          </w:p>
        </w:tc>
      </w:tr>
      <w:tr>
        <w:trPr>
          <w:trHeight w:val="25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6,358.3</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4,424.8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4,864.6</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earnings (loss) of unconsolidated affiliates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548.7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on continuing operations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earnings (loss) of unconsolidated affiliates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358.9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357.7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from discontinued operations, net of tax</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375.6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83"/>
        </w:trPr>
        <w:tc>
          <w:tcPr>
            <w:tcW w:w="7440" w:type="dxa"/>
            <w:vAlign w:val="bottom"/>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606.5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370.1</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6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r>
      <w:tr>
        <w:trPr>
          <w:trHeight w:val="22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Diluted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21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Dividends per share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0.58</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0.69</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601.4</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280.5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352.2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606.5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370.1</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40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2010</w:t>
            </w:r>
          </w:p>
        </w:tc>
      </w:tr>
      <w:tr>
        <w:trPr>
          <w:trHeight w:val="237"/>
        </w:trPr>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6"/>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375.6</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Other comprehensive earnings (loss):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Unrealized gain on investments and other financial instruments, net (excluding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w:t>
            </w:r>
          </w:p>
        </w:tc>
      </w:tr>
      <w:tr>
        <w:trPr>
          <w:trHeight w:val="237"/>
        </w:trPr>
        <w:tc>
          <w:tcPr>
            <w:tcW w:w="8300" w:type="dxa"/>
            <w:vAlign w:val="bottom"/>
          </w:tcPr>
          <w:p>
            <w:pPr>
              <w:ind w:left="280"/>
              <w:spacing w:after="0"/>
              <w:rPr>
                <w:sz w:val="20"/>
                <w:szCs w:val="20"/>
                <w:color w:val="auto"/>
              </w:rPr>
            </w:pPr>
            <w:r>
              <w:rPr>
                <w:rFonts w:ascii="Arial" w:cs="Arial" w:eastAsia="Arial" w:hAnsi="Arial"/>
                <w:sz w:val="16"/>
                <w:szCs w:val="16"/>
                <w:color w:val="auto"/>
              </w:rPr>
              <w:t>Unrealized gain (loss) relating to investments in unconsolidated affiliates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7.0</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on foreign currency translation and cash flow hedging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r>
      <w:tr>
        <w:trPr>
          <w:trHeight w:val="237"/>
        </w:trPr>
        <w:tc>
          <w:tcPr>
            <w:tcW w:w="830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r>
      <w:tr>
        <w:trPr>
          <w:trHeight w:val="217"/>
        </w:trPr>
        <w:tc>
          <w:tcPr>
            <w:tcW w:w="8300" w:type="dxa"/>
            <w:vAlign w:val="bottom"/>
          </w:tcPr>
          <w:p>
            <w:pPr>
              <w:ind w:left="40"/>
              <w:spacing w:after="0"/>
              <w:rPr>
                <w:sz w:val="20"/>
                <w:szCs w:val="20"/>
                <w:color w:val="auto"/>
              </w:rPr>
            </w:pPr>
            <w:r>
              <w:rPr>
                <w:rFonts w:ascii="Arial" w:cs="Arial" w:eastAsia="Arial" w:hAnsi="Arial"/>
                <w:sz w:val="16"/>
                <w:szCs w:val="16"/>
                <w:color w:val="auto"/>
              </w:rPr>
              <w:t>Other comprehensive earnings (loss)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352.6</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Less: Comprehensive earnings attributable to noncontrolling interests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5.5</w:t>
            </w:r>
          </w:p>
        </w:tc>
      </w:tr>
      <w:tr>
        <w:trPr>
          <w:trHeight w:val="33"/>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347.1</w:t>
            </w: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21" w:right="29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91"/>
              </w:rPr>
              <w:t>Fidelity National Financial, Inc. Common Shareholders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320" w:type="dxa"/>
            <w:vAlign w:val="bottom"/>
            <w:gridSpan w:val="5"/>
            <w:vMerge w:val="restart"/>
          </w:tcPr>
          <w:p>
            <w:pPr>
              <w:ind w:left="2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32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8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w w:val="88"/>
              </w:rPr>
              <w:t>Additional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Paid-In</w:t>
            </w:r>
          </w:p>
        </w:tc>
        <w:tc>
          <w:tcPr>
            <w:tcW w:w="320" w:type="dxa"/>
            <w:vAlign w:val="bottom"/>
          </w:tcPr>
          <w:p>
            <w:pPr>
              <w:spacing w:after="0"/>
              <w:rPr>
                <w:sz w:val="9"/>
                <w:szCs w:val="9"/>
                <w:color w:val="auto"/>
              </w:rPr>
            </w:pPr>
          </w:p>
        </w:tc>
        <w:tc>
          <w:tcPr>
            <w:tcW w:w="76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Earnings</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54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(In millions)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2009</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(319.4)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3,344.9</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repurchased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stock</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8" w:lineRule="exact"/>
              <w:rPr>
                <w:sz w:val="20"/>
                <w:szCs w:val="20"/>
                <w:color w:val="auto"/>
              </w:rPr>
            </w:pPr>
            <w:r>
              <w:rPr>
                <w:rFonts w:ascii="Arial" w:cs="Arial" w:eastAsia="Arial" w:hAnsi="Arial"/>
                <w:sz w:val="13"/>
                <w:szCs w:val="13"/>
                <w:color w:val="auto"/>
                <w:w w:val="91"/>
              </w:rPr>
              <w:t>Other comprehensive earnings — unrealized loss on investments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3"/>
                <w:szCs w:val="13"/>
                <w:color w:val="auto"/>
              </w:rPr>
              <w:t>other financial instruments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5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Other comprehensive earnings — unrealized gain on investments in</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w w:val="91"/>
              </w:rPr>
              <w:t>Other comprehensive earnings — unrealized gain on foreign currency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Other comprehensive earnings — minimum pension liability adjustment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Contributions to 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noncontrolling interest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(157.4)</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375.6</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2010</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(440.8)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3,444.4</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repurchased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8" w:lineRule="exact"/>
              <w:rPr>
                <w:sz w:val="20"/>
                <w:szCs w:val="20"/>
                <w:color w:val="auto"/>
              </w:rPr>
            </w:pPr>
            <w:r>
              <w:rPr>
                <w:rFonts w:ascii="Arial" w:cs="Arial" w:eastAsia="Arial" w:hAnsi="Arial"/>
                <w:sz w:val="13"/>
                <w:szCs w:val="13"/>
                <w:color w:val="auto"/>
                <w:w w:val="87"/>
              </w:rPr>
              <w:t>Issuance of convertible notes, net of deferred taxes of $8.2 and issuance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3"/>
                <w:szCs w:val="13"/>
                <w:color w:val="auto"/>
              </w:rPr>
              <w:t>costs of $0.5</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12.8</w:t>
            </w:r>
          </w:p>
        </w:tc>
        <w:tc>
          <w:tcPr>
            <w:tcW w:w="40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Issuance of restricted stock</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Other comprehensive earnings — unrealized loss on investments and</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financial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8" w:lineRule="exact"/>
              <w:rPr>
                <w:sz w:val="20"/>
                <w:szCs w:val="20"/>
                <w:color w:val="auto"/>
              </w:rPr>
            </w:pPr>
            <w:r>
              <w:rPr>
                <w:rFonts w:ascii="Arial" w:cs="Arial" w:eastAsia="Arial" w:hAnsi="Arial"/>
                <w:sz w:val="13"/>
                <w:szCs w:val="13"/>
                <w:color w:val="auto"/>
                <w:w w:val="94"/>
              </w:rPr>
              <w:t>Other comprehensive earnings — unrealized loss on investments 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Other comprehensive earnings — unrealized loss on foreign currency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w w:val="89"/>
              </w:rPr>
              <w:t>Other comprehensive earnings — minimum pension liability adjustment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72"/>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369.5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249"/>
        </w:trPr>
        <w:tc>
          <w:tcPr>
            <w:tcW w:w="3880" w:type="dxa"/>
            <w:vAlign w:val="bottom"/>
          </w:tcPr>
          <w:p>
            <w:pPr>
              <w:ind w:left="40"/>
              <w:spacing w:after="0"/>
              <w:rPr>
                <w:sz w:val="20"/>
                <w:szCs w:val="20"/>
                <w:color w:val="auto"/>
              </w:rPr>
            </w:pPr>
            <w:r>
              <w:rPr>
                <w:rFonts w:ascii="Arial" w:cs="Arial" w:eastAsia="Arial" w:hAnsi="Arial"/>
                <w:sz w:val="13"/>
                <w:szCs w:val="13"/>
                <w:color w:val="auto"/>
              </w:rPr>
              <w:t>Balance, December 31, 2011</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254.9</w:t>
            </w:r>
          </w:p>
        </w:tc>
        <w:tc>
          <w:tcPr>
            <w:tcW w:w="100" w:type="dxa"/>
            <w:vAlign w:val="bottom"/>
          </w:tcPr>
          <w:p>
            <w:pPr>
              <w:spacing w:after="0"/>
              <w:rPr>
                <w:sz w:val="21"/>
                <w:szCs w:val="21"/>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3,798.6</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8"/>
              </w:rPr>
              <w:t>$ (532.2)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96"/>
              </w:rPr>
              <w:t>3,655.9</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O'Charley's, Inc.</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154.2</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91.3</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repurchased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31.0</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stock</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8" w:lineRule="exact"/>
              <w:rPr>
                <w:sz w:val="20"/>
                <w:szCs w:val="20"/>
                <w:color w:val="auto"/>
              </w:rPr>
            </w:pPr>
            <w:r>
              <w:rPr>
                <w:rFonts w:ascii="Arial" w:cs="Arial" w:eastAsia="Arial" w:hAnsi="Arial"/>
                <w:sz w:val="13"/>
                <w:szCs w:val="13"/>
                <w:color w:val="auto"/>
                <w:w w:val="91"/>
              </w:rPr>
              <w:t>Other comprehensive earnings — unrealized gain on investments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3"/>
                <w:szCs w:val="13"/>
                <w:color w:val="auto"/>
              </w:rPr>
              <w:t>other financial instruments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Other comprehensive earnings — unrealized gain on investments in</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8" w:lineRule="exact"/>
              <w:rPr>
                <w:sz w:val="20"/>
                <w:szCs w:val="20"/>
                <w:color w:val="auto"/>
              </w:rPr>
            </w:pPr>
            <w:r>
              <w:rPr>
                <w:rFonts w:ascii="Arial" w:cs="Arial" w:eastAsia="Arial" w:hAnsi="Arial"/>
                <w:sz w:val="13"/>
                <w:szCs w:val="13"/>
                <w:color w:val="auto"/>
                <w:w w:val="91"/>
              </w:rPr>
              <w:t>Other comprehensive earnings — unrealized gain on foreign currency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3"/>
                <w:szCs w:val="13"/>
                <w:color w:val="auto"/>
              </w:rPr>
              <w:t>and cash flow hedging</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Other comprehensive earnings — minimum pension liability adjustment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23.4</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262"/>
        </w:trPr>
        <w:tc>
          <w:tcPr>
            <w:tcW w:w="3880" w:type="dxa"/>
            <w:vAlign w:val="bottom"/>
          </w:tcPr>
          <w:p>
            <w:pPr>
              <w:ind w:left="140"/>
              <w:spacing w:after="0"/>
              <w:rPr>
                <w:sz w:val="20"/>
                <w:szCs w:val="20"/>
                <w:color w:val="auto"/>
              </w:rPr>
            </w:pPr>
            <w:r>
              <w:rPr>
                <w:rFonts w:ascii="Arial" w:cs="Arial" w:eastAsia="Arial" w:hAnsi="Arial"/>
                <w:sz w:val="13"/>
                <w:szCs w:val="13"/>
                <w:color w:val="auto"/>
              </w:rPr>
              <w:t>Contributions to 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Consolidation of previous minority-owned subsidiary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461.9</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611.7</w:t>
            </w: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2012</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(658.2)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4,749.1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5" w:right="239" w:bottom="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019"/>
          </w:cols>
          <w:pgMar w:left="1440" w:top="125" w:right="1440" w:bottom="1440" w:gutter="0" w:footer="0" w:header="0"/>
        </w:sectPr>
      </w:pPr>
    </w:p>
    <w:bookmarkStart w:id="59" w:name="page60"/>
    <w:bookmarkEnd w:id="59"/>
    <w:p>
      <w:pPr>
        <w:spacing w:after="0" w:line="59"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379.1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375.6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90.4</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(earnings) loss of unconsolidated affiliates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gain (loss) on sales of investments and other assets, net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(138.3)</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consolidation of O'Charley's, Inc. and American Blue Ribbon Holdings, LLC</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Bargain purchase gain on O'Charley's, Inc.</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consolidation of Remy International, Inc.</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gain on sale of at-risk and flood insurance businesses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investment in Sedgwick CMS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Stock-based compensation cost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25.1</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pledged cash, pledged investments and secured trust deposits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(increase) decrease in trade receivables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prepaid expenses and other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increase (decrease) in accounts payable, accrued liabilities, deferred revenue and other</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 reserve for title claim losses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r>
      <w:tr>
        <w:trPr>
          <w:trHeight w:val="26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change in income taxes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160.2</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188.5</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402.4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other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(purchases of) proceeds from short-term investment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contributions to investments in unconsolidated affiliates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other investing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the sale of flood insurance business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Sedgwick CMS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Acquisition of O'Charley's, Inc. and American Blue Ribbon Holdings, LLC, net of cash acquired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J. Alexanders Corporation, net of cash acquired</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Acquisition of Remy International, Inc., net of cash acquired</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at-risk insurance business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40"/>
              <w:spacing w:after="0"/>
              <w:rPr>
                <w:sz w:val="20"/>
                <w:szCs w:val="20"/>
                <w:color w:val="auto"/>
              </w:rPr>
            </w:pPr>
            <w:r>
              <w:rPr>
                <w:rFonts w:ascii="Arial" w:cs="Arial" w:eastAsia="Arial" w:hAnsi="Arial"/>
                <w:sz w:val="14"/>
                <w:szCs w:val="14"/>
                <w:color w:val="auto"/>
              </w:rPr>
              <w:t>Acquisition of Digital Insurance, Inc. net of cash acquired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Borrowings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600.3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service payments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Make-whole call penalty on early extinguishment of debt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Purchases of treasury stock</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 excluding pledged cash related to secured trust deposits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97" w:orient="portrait"/>
          <w:cols w:equalWidth="0" w:num="1">
            <w:col w:w="11420"/>
          </w:cols>
          <w:pgMar w:left="240" w:top="125" w:right="239" w:bottom="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019"/>
          </w:cols>
          <w:pgMar w:left="1440" w:top="341" w:right="1440"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title insurance, mortgage services and other diversified services. We are the nation's largest title insurance company through our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Bakers Square, and Stoney River Legendary Steaks concepts. We also own 100% of J. Alexander's LLC ("J. Alexander's").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we completed a project to reduce the number of our title insurance underwriters in order to eliminate certain legal, operating and oversight costs associated with operating multiple separate and independent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in which we have a 51% ownership interest. Remy is a leading designer,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remanufacturer, marketer and distributor of aftermarket and original equipment electrical components for automobiles, light trucks, heavy-duty trucks and other vehicles.</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ABRH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 and operator of the O'Charley's, Ninety Nine Restaurants, Max &amp; Erma's, Village Inn, Bakers Square, and Stoney River Legendary Steaks. This segment also includes the recently acquired J. Alexander's.</w:t>
      </w:r>
    </w:p>
    <w:p>
      <w:pPr>
        <w:spacing w:after="0" w:line="127"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other smaller operations, and our share in the operations of certain equity investments, including Ceridian.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 2012, we completed the sale of an 85% interest in our remaining subsidiaries that write personal lines insurance to WT Holdings, Inc. for $119.0 million. Accordingly, the results of this business through the date of sale (which we refer to as our "at-risk" insurance business) for all periods presented are reflected in the Consolidated Statements of Earnings as discontinued operations. The at-risk insurance business sale resulted in a pre-tax loss of $15.1 million, which was recorded in the fourth quarter of 2011. Total revenues from the at-risk insurance business included in discontinued operations are $124.4 million, $162.8 million and $160.9 million for the years ending December 31, 2012, 2011, and 2010, respectively. Pre-tax earnings (loss) from the at-risk insurance business included in discontinued operations are $10.4 million, $(23.6) million and $(16.4) million for the years ending December 31, 2012, 2011, and 2010,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2" w:name="page63"/>
    <w:bookmarkEnd w:id="6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31, 2011, we completed the sale of our flood insurance business to WRM America Holdings LLC (“WRM America”) for $135.0 million in cash and dividends, and a $75.0 million seller note. The seller note was paid in full during 2012. Accordingly, the results of this business through the date of sale for all periods presented are reflected in the Consolidated Statements of Earnings as discontinued operations. The flood insurance business sale resulted in a pre-tax gain of approximately $154.1 million ($94.9 million after tax), which was recorded in 2011. Total revenues from the flood business included in discontinued operations are $151.3 million and $166.4 million for the years ending December 31, 2011 and 2010, respectively. Pre-tax earnings from the flood business included in discontinued operations are $29.2 million and $30.0 million for the years ending December 31, 2011 and 2010,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Sedgwick CMS</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May 28, 2010, we completed the sale of our 32% interest in Sedgwick, our former minority-owned affiliate that provides claims management services to large corporate and public sector entities, to a group of private equity funds. See Note D on Investments for further discussion of the sale.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prospectively.</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long-term investments consist of structured notes and various cost-method investments, and are carried at fair value as of the balance sheet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based on exit prices obtained from a broker-dealer.</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3" w:name="page64"/>
    <w:bookmarkEnd w:id="6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respective year using a September 30 measurement date and as a result no goodwill impairments have been recorded. For the years ended December 31, 2012 and 2011, we determined there were no events or circumstances which indicated that the carrying value exceeded the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other intangible assets, not including goodwill, which consist primarily of customer relationships and contracts and 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considered intangible assets with indefinite lives and are reviewed for impairment at least annually. Debt issuance costs are amortized on a straight line basis over the contractual life of the related debt instrument.</w:t>
      </w:r>
    </w:p>
    <w:p>
      <w:pPr>
        <w:spacing w:after="0" w:line="3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Remy segment, upon entering into new or extending existing contracts, we may be required to purchase certain cores and inventory from our customers at retail prices, or be obligated to provide certain agreed support. The excess of the prices paid for the cores and inventory over fair value, and the value of any agreed support, are recorded as contract intangibles and amortized as a reduction to auto parts revenue on a method to reflect the pattern of economic benefit consumed. Customer contract intangibles which are not paid to customers, are amortized and recorded in cost of auto parts revenue.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impairment expense related to other intangible assets in 2012, 2011, or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in the years ending December 31, 2012, 2011, and 2010 and identified and recorded impairment expense of $12.6 million, $2.6 million and $4.3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Property and equipment are recorded at cost, less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3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Remy. </w:t>
      </w:r>
      <w:r>
        <w:rPr>
          <w:rFonts w:ascii="Arial" w:cs="Arial" w:eastAsia="Arial" w:hAnsi="Arial"/>
          <w:sz w:val="17"/>
          <w:szCs w:val="17"/>
          <w:color w:val="auto"/>
        </w:rPr>
        <w:t>Property and equipment within our Remy segment are recorded at cost, less depreciation. Major expenditures that significantly extend the useful</w:t>
      </w:r>
      <w:r>
        <w:rPr>
          <w:rFonts w:ascii="Arial" w:cs="Arial" w:eastAsia="Arial" w:hAnsi="Arial"/>
          <w:sz w:val="17"/>
          <w:szCs w:val="17"/>
          <w:i w:val="1"/>
          <w:iCs w:val="1"/>
          <w:color w:val="auto"/>
        </w:rPr>
        <w:t xml:space="preserve"> </w:t>
      </w:r>
      <w:r>
        <w:rPr>
          <w:rFonts w:ascii="Arial" w:cs="Arial" w:eastAsia="Arial" w:hAnsi="Arial"/>
          <w:sz w:val="17"/>
          <w:szCs w:val="17"/>
          <w:color w:val="auto"/>
        </w:rPr>
        <w:t>life or enhance the usability of the property, plant or equipment are capitalized. Depreciation is calculated primarily using the straight-line method over the estimated useful lives of the related assets (fifteen to forty years for buildings and 3 to 15 years for tooling, machinery and equipment). Capital leases and leasehold improvements are amortized over on a straight-line basis the shorter of the lease term or their estimated useful life.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Property and equipment within our Restaurant Group segment are recorded at cost, less depreciation. Depreciation is computed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 over thirty years for buildings and improvements and three to twenty-five years for furniture, fixtures and equipment. Leasehold improvements are amortized over the lesser of the asset’s estimated useful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4" w:name="page65"/>
    <w:bookmarkEnd w:id="6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life or the expected lease term, inclusive of renewal periods not to exceed twenty years. Equipment under capitalized leases is amortized on a straight-line basis to its expected residual value at the end of the lease term.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reserve for claim losses also includes reserves for losses arising from the escrow, closing and disbursement functions due to fraud or operational error.</w:t>
      </w:r>
    </w:p>
    <w:p>
      <w:pPr>
        <w:spacing w:after="0" w:line="35"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$528.3 million and $419.9 million at December 31, 2012 and 2011,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Accounting</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our Remy segment, remanufacturing is the process where failed or used components, commonly known as cores, are disassembled into subcomponents, cleaned, inspected, tested, combined with new subcomponents and reassembled into saleable, finished products. With many customers, a deposit is charged for the core. Upon return of a core, we grant the customer a credit based on the core deposit value. Core deposits are excluded from auto parts revenue. We record a liability for core returns based on cores expected to be returned. This liability is recorded in Accounts payable and other accrued liabilities in the accompanying Consolidated Balance Sheet. The liability represents the difference between the core deposit value to be credited to the customer and the estimated core inventory value of the core to be returned. Revisions to these estimates are made periodically to consider current costs and customer return trends. Upon receipt of a core, we record inventory at lower of cost or fair market value. The value of a core declines over its estimated useful life (ranging from 4 to 30 years) and is devalued accordingly. Carrying value of the core inventory is evaluated by comparing current prices obtained from core brokers to carrying cost. The devaluation of core carrying value is reflected as a charge to Cost of auto parts revenue. Core inventory that is deemed to be obsolete or in excess of current and future projected demand is written down to the lower of cost or market and charged to Cost of auto parts revenue. Core inventories are classified as Prepaid expenses and other assets in the accompanying Consolidated Balance Sheet.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Remy segment, when we enter into arrangements to purchase certain cores held in a customer’s inventory or when the customer is not charged a deposit for the core, we have the right to receive a core from the customer in return for every exchange unit supplied to them. We classify such rights as “Core return rights” in Prepaid expenses and other assets in the accompanying Consolidated Balance Sheet. The core return rights are valued based on the underlying core inventory values. Devaluation of these rights is charged to Cost of auto parts revenue. On a periodic basis, we settle with customers for cores that have not been returned.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Remy segment, we conduct research and development programs that are expected to contribute to future earnings. Such costs are included in Other operating expenses in the Consolidated Statements of Earnings. Customer-funded research and development expenses are recorded as an offset to research and development expense in Other operating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Remy segment, we record government grants when there is reasonable assurance that the grant will be received and we will comply with the conditions attached to the grants received. Grants related to revenue are recorded as an offset to the related expense in the accompanying Consolidated Statements of Earnings. Grants related to assets are recorded as deferred revenue in Accounts payable and other accrued liabilities and are recognized on a straight-line basis over the useful life of the related asset. We continue to evaluate our compliance with the conditions attached to the related grants.</w:t>
      </w:r>
    </w:p>
    <w:p>
      <w:pPr>
        <w:spacing w:after="0" w:line="10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5, 2009, the U.S. government announced its intention to enter into negotiations with us regarding the awarding of a grant to us of approximately $60.2 million for investments in equipment and manufacturing capability to manufacture electric drive motor technology for use in electric drive vehicles. We finalized the negotiation on this grant on April 8, 2010. The grant will reimburse certain capital expenditures, labor, subcontract and other allowable costs at a rate of fifty percent (50%) of the amount expended during a three-year period. In March 2011, the grant was extended through December 16, 2013. As of December 31, 2012, we have completed the first phase of the grant award. As of December 31, 2012 $24.2 million of the grant remains.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receive various grants and subsidies from foreign jurisdictions.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functional currency for our foreign operations is either the U.S. Dollar or the local currency, with the exception of our Remy subsidiaries in Hungary for which the Euro is the functional currency, since substantially all of their purchases and sales are denominated in Euro.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Financial Statements and are excluded from net earnings. Gains or losses resulting from foreign currency transactions are included in Realized gains and losses, net and are insignificant in 2012, 2011, and 2010. We evaluate our foreign subsidiaries’ functional currency on an ongoing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Remy segment, in the normal course of business, our operations are exposed to continuing fluctuations in foreign currency values, interest rates and commodity prices that can affect the cost of operating, investing and financing. Accordingly, we address a portion of these risks through a controlled program of risk management that includes the use of derivative financial instruments. We have historically used derivative financial instruments for the purpose of hedging currency, interest rate and commodity exposures, which exist as a part of ongoing business operations.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policy, we do not engage in speculative or leveraged transactions, nor do we hold or issue derivative financial instruments for trading purposes. Our objective for holding derivatives is to minimize risks using the most effective and cost-efficient methods available. Management routinely reviews the effectiveness of the use of derivative financial instruments.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recognize all of our derivative instruments as either assets or liabilities at fair value. The accounting for changes in the fair value (i.e., gains or losses) of a derivative instrument depends on whether it has been designated, and is effective, as a hedge and further, on the type of hedging relationship. For those derivative instruments that are designated and qualify as hedging instruments, we designate the hedging instrument, based upon the exposure being hedged, as a fair value hedge, cash flow hedge or a hedge of a net investment in a foreign operation. Gains and losses related to a hedge are either recognized in earnings immediately to offset the gain or loss on the hedged item or are deferred and reported as a component of Accumulated other comprehensive earnings (loss) and subsequently recognized in earnings when the hedged item affects earnings. The change in fair value of the ineffective portion of a financial instrument that has been designated as a hedge, determined using the change in fair value method, is recognized in earnings immediately. The gain or loss related to derivative financial instruments that are not designated as hedges is recognized immediately in earnings.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6" w:name="page67"/>
    <w:bookmarkEnd w:id="6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Remy segment, we provide certain warranties relating to quality and performance of our products. An allowance for the estimated future cost of product warranties and other defective product returns is based on management’s estimate of product failure rates and customer eligibility and is included in Accounts payable and other accrued liabilities in the Consolidated Balance Sheet. If these factors differ from management’s estimates, revisions to the estimated warranty liability may be required. The specific terms and conditions of the warranties vary depending upon the customer and the product sold.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Fidelity National Title Group. </w:t>
      </w:r>
      <w:r>
        <w:rPr>
          <w:rFonts w:ascii="Arial" w:cs="Arial" w:eastAsia="Arial" w:hAnsi="Arial"/>
          <w:sz w:val="16"/>
          <w:szCs w:val="16"/>
          <w:color w:val="auto"/>
        </w:rPr>
        <w:t>Our direct title insurance premiums and escrow, title-related and other fees are recognized as revenue at the time of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70-80% reported within three months following closing, an additional 10-20% reported within the next three months and the remainder within seven to fifteen months. In addition to accruing these earned but unreported agency premiums, we also accrue agent commission expense, which was 76.1%, 77.1% and 78.6% of agent premiums earned in 2012, 2011 and 2010, respectively. We also record provision for claim losses at our average provision rate at the time we record the accrual for the premiums, which was 7.0% for 2012 and 6.8% for 2011 and 2010, and accruals for premium taxes and other expenses relating to our premium accrual. The resulting impact to pretax earnings in any period is less than 10% of the accrued premium amount. The impact of the change in the accrual for agency premiums and related expenses for the years ended December 31, 2012, 2011 and 2010 on our pretax earnings was a (decrease) increase of $(0.2) million, $7.8 million and $10.7 million, respectively. The amount due from our agents relating to this accrual, i.e. the agent premium less their contractual retained commission, was approximately $90.7 million and $91.3 million at December 31, 2012 and 2011, respectively, which represents agency premiums of approximately $438.2 million and $441.2 million at December 31, 2012 and 2011, respectively, and agent commissions of $347.5 million and $349.9 million at December 31, 2012 and 2011, respectively.</w:t>
      </w:r>
    </w:p>
    <w:p>
      <w:pPr>
        <w:spacing w:after="0" w:line="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home warranty insurance policies are recognized over the life of the policy, which is one year. The unrecognized portion is recorded as deferred revenue in Accounts payable and other accrued liabilities in the Consolidated Balance Sheets.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Revenue is recognized when persuasive evidence of an arrangement exists, delivery has occurred or services have been rendered, ownership has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the seller’s price to the buyer is fixed and determinable and collectability is reasonably assured. Sales are recorded upon shipment of product to customers and transfer of title and risk of loss under standard commercial terms (typically, F.O.B. shipping point). We recognize shipping and handling costs as Costs of auto parts revenue with the related amounts billed to customers as sales. Accruals for sales returns, price protection and other allowances are provided at the time of shipment based upon past experience. Adjustments to such accruals are made as new information becomes available. We accrue for rebates, price protection and other customer sales allowances in accordance with specific customer arrangements. Such rebates are recorded as a reduction of Auto parts revenue.</w:t>
      </w:r>
    </w:p>
    <w:p>
      <w:pPr>
        <w:spacing w:after="0" w:line="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Restaurant revenue on the Consolidated Statements of Earnings consists of restaurant sales and, to a lesser extent, franchise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revenue. Restaurant sales include food and beverage sales and are net of applicable state and local sales taxes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warrants, restricted stock, and convertible notes which have been treated as common share equivalents for purposes of calculating diluted earnings per share for periods in which positive earnings have been reported.</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80" w:type="dxa"/>
            <w:vAlign w:val="bottom"/>
            <w:gridSpan w:val="8"/>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per share data)</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 attributable to FNF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from discontinued operations attributable to FNF common shareholders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shares outstanding during the period, basic basis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226.2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during the period, diluted basis</w:t>
            </w: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net earnings per share from continuing operations attributable to FNF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net earnings from discontinued operations attributable to FNF common shareholders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FNF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w w:val="92"/>
              </w:rPr>
              <w:t>Diluted net earnings per share from continuing operations attributable to FNF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earnings from discontinued operations attributable to FNF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2012, 2011, and 2010, options to purchase 3.5 million shares, 7.8 million shares and 12.6 million shares, respectively, of our common stock were excluded from the computation of diluted earnings per share because they were anti-dilutive.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historically conducted business with Fidelity National Information Services ("FIS") and its subsidiaries.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2012, is as follows:</w:t>
      </w:r>
    </w:p>
    <w:p>
      <w:pPr>
        <w:spacing w:after="0" w:line="252" w:lineRule="exact"/>
        <w:rPr>
          <w:sz w:val="20"/>
          <w:szCs w:val="20"/>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Technology (“IT”) and data processing services from FIS. These agreements govern IT support services provided to us by FIS, primarily consisting of infrastructure support and data center management. Subject to certain early termination provisions, the agreement expires on or about June 30, 2013 with an option to renew for one or two additional years.</w:t>
      </w:r>
    </w:p>
    <w:p>
      <w:pPr>
        <w:spacing w:after="0" w:line="4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Administrative corporate support and cost-sharing services to FIS. We have provided certain administrative corporate support services such as corporate aviation and other administrative support services to FIS.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8" w:name="page69"/>
    <w:bookmarkEnd w:id="6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detail of related party items between us and FIS that were included in revenues and expenses for the periods presented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(31.6)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74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 The net amounts due to FIS as a result of these agreements were $5.4 million and $5.6 million as of December 31, 2012 and 2011, respectively.</w:t>
      </w:r>
    </w:p>
    <w:p>
      <w:pPr>
        <w:spacing w:after="0" w:line="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$55.8 million and $42.6 million as of December 31, 2012 and 2011, respectively, and is recorded in Equity securities available for sale. Changes in fair value of the FIS stock are recorded as other comprehensive earnings.</w:t>
      </w:r>
    </w:p>
    <w:p>
      <w:pPr>
        <w:spacing w:after="0" w:line="43"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Also included in fixed maturities available for sale are FIS bonds with a fair value of $52.7 million and $23.6 million as of December 31, 2012 and 2011, respectively. At December 31, 2011, we also held an FIS term loan acquired in May 2011 with a fair value of $13.0 million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Certain reclassifications have been made in the 2011 and 2010 Consolidated Financial Statements to conform to classifications used in 2012. In addition, we have corrected an immaterial prior period error in the Consolidated Statement of Cash Flows. The correction was between cash flows from operating activities and cash flows from investing activities for the years ended December 31, 2011 and 2010, and resulted in a decrease in cash provided by operating activities and an increase in cash provided by investing activities of $14.6 million in 2011 and an increase in cash provided by operating activities and a decrease in cash provided by investing activities of $6.0 million in 2010. There was no impact on our other Consolidated Financial Statements presented.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Remy International, Inc.</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$31.3 million and cash acquired upon consolidation of Remy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9" w:name="page70"/>
    <w:bookmarkEnd w:id="6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was $95.5 million. Goodwill has been recorded based on the amount that the purchase price exceeded the fair value of the net assets acquired. Our 47% equity method investment prior to consolidation of $179.2 million was included in Investments in unconsolidated affiliates on the Consolidated Balance Sheets. A realized gain of $78.8 million was recognized in 2012 for the difference between our basis in our equity method investment of Remy prior to consolidation and the fair value of our investment in Remy at August 14, 2012, the date we acquired control and began to consolidate its operations. The purchase price was as follows (in millions):</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our 47% investment in Remy prior to consolidation</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Cash paid for additional ownership in Remy</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acquired in consolidation of Remy</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37"/>
        </w:trPr>
        <w:tc>
          <w:tcPr>
            <w:tcW w:w="98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193.8</w:t>
            </w:r>
          </w:p>
        </w:tc>
      </w:tr>
      <w:tr>
        <w:trPr>
          <w:trHeight w:val="27"/>
        </w:trPr>
        <w:tc>
          <w:tcPr>
            <w:tcW w:w="9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price has been allocated to the Remy assets acquired and liabilities assumed based on our best estimates of their fair values as of the acquisition date. Goodwill has been recorded based on the amount that the purchase price exceeds the fair value of the net assets acquired. The purchase price allocation was completed in 2012. The purchase price allocation is as follows (in millions):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notes receivables, net of allowance for doubtful accounts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9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368.1</w:t>
            </w:r>
          </w:p>
        </w:tc>
      </w:tr>
      <w:tr>
        <w:trPr>
          <w:trHeight w:val="27"/>
        </w:trPr>
        <w:tc>
          <w:tcPr>
            <w:tcW w:w="9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w:t>
            </w: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1,191.7</w:t>
            </w:r>
          </w:p>
        </w:tc>
      </w:tr>
      <w:tr>
        <w:trPr>
          <w:trHeight w:val="27"/>
        </w:trPr>
        <w:tc>
          <w:tcPr>
            <w:tcW w:w="9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9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695.3</w:t>
            </w:r>
          </w:p>
        </w:tc>
      </w:tr>
      <w:tr>
        <w:trPr>
          <w:trHeight w:val="27"/>
        </w:trPr>
        <w:tc>
          <w:tcPr>
            <w:tcW w:w="9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Less: noncontrolling interest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(302.6)</w:t>
            </w:r>
          </w:p>
        </w:tc>
      </w:tr>
      <w:tr>
        <w:trPr>
          <w:trHeight w:val="27"/>
        </w:trPr>
        <w:tc>
          <w:tcPr>
            <w:tcW w:w="9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summarized the intangible assets acquired (in millions, except for useful life):</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Residual Value</w:t>
            </w: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Fair Value as of</w:t>
            </w: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 Years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 of December</w:t>
            </w: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color w:val="auto"/>
              </w:rPr>
              <w:t>Amortizing intangible assets:</w:t>
            </w:r>
          </w:p>
        </w:tc>
        <w:tc>
          <w:tcPr>
            <w:tcW w:w="1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Consolidation</w:t>
            </w:r>
          </w:p>
        </w:tc>
        <w:tc>
          <w:tcPr>
            <w:tcW w:w="10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of Consolidation</w:t>
            </w:r>
          </w:p>
        </w:tc>
        <w:tc>
          <w:tcPr>
            <w:tcW w:w="22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31, 2012</w:t>
            </w: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190.5</w:t>
            </w: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Total amortizing intangible assets</w:t>
            </w: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264.4</w:t>
            </w: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Non-amortizing intangible assets: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57"/>
        </w:trPr>
        <w:tc>
          <w:tcPr>
            <w:tcW w:w="59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349.9</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70" w:name="page71"/>
    <w:bookmarkEnd w:id="7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O'Charley's Inc. and Merger with ABRH</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2012, there were 322 company-owned restaurants in the O'Charley's group of companies and 218 company-owned restaurants in the ABRH group of companies. Total consideration paid was $122.2 million in cash, net of cash acquired of $35.0 million. Our investment in ABRH, prior to the merger, was $37.0 million and was included in Investments in unconsolidated affiliates on the Consolidated Balance Sheet. Our investment in O'Charley's prior to the tender offer of $13.8 million was included in Equity securities available for sale on the Consolidated Balance Sheet. We have consolidated the operations of ABRH with the O'Charley's group of companies, beginning on May 11, 2012.</w:t>
      </w:r>
    </w:p>
    <w:p>
      <w:pPr>
        <w:spacing w:after="0" w:line="3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total purchase price has been allocated to the Restaurant Group assets acquired and liabilities assumed based on our best estimates of the fair value of the assets acquired and liabilities assumed as of the respective acquisition dates. The purchase price allocation was completed in 2012. In the case of ABRH, goodwill has been recorded based on the amount that the purchase price exceeded the fair value of the net assets acquired. A realized gain of $65.8 million, which is included in Realized gains and losses on the Consolidated Statement of Earnings, was recognized in 2012 for the difference between our basis in our equity method investment of ABRH prior to consolidation and the fair value of our investment in ABRH at the date of consolidation. The fair value of our investment in ABRH was estimated using relative market based comparable information. In regards to O'Charley's, a realized gain of $54.8 million was recognized in 2012. The gain consisted of a $48.1 million bargain purchase gain discussed further below, and a gain of $6.7 million for the difference in the basis of our holdings in O'Charley's common stock prior to consolidation and the fair value of O'Charley's common stock at the date of consolidation. As a result of the final valuation, we recognized and measured the identifiable assets acquired and liabilities assumed from the O'Charley's purchase at fair value. Upon completion of the fair value process, the net assets of O'Charley's received by FNF exceeded the purchase price resulting in a bargain purchase gain of $48.1 million, which is included in Realized gains and losses on the Consolidated Statement of Earnings for 2012. The bargain purchase gain was due to the release of a valuation allowance on O'Charley's net deferred tax assets. O'Charley's previously had recorded a valuation allowance on the deferred tax assets, due to its history of net losses and the low probability of being able to utilize these assets. We also recorded a $10.8 million increase to our Additional paid-in capital during 2012, related to the fair value of the non-controlling interest portion of our ownership in O'Charley's. The purchase price was as follows (in millions):</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our investment in O'Charley's and ABRH as of consolidation</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Net cash paid for majority ownership in O'Charley's and ABRH</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122.2</w:t>
            </w:r>
          </w:p>
        </w:tc>
      </w:tr>
      <w:tr>
        <w:trPr>
          <w:trHeight w:val="27"/>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price has been allocated to the O'Charley's and ABRH assets acquired and liabilities assumed based on our best estimates of their fair values as of the acquisition dates. Goodwill has been recorded based on the amount that the purchase price exceeds the fair value of the net assets acquired. The purchase price allocation was completed in 2012. The purchase price allocation is as follows (in millions):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notes receivables</w:t>
            </w:r>
          </w:p>
        </w:tc>
        <w:tc>
          <w:tcPr>
            <w:tcW w:w="6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Less: noncontrolling interest</w:t>
            </w:r>
          </w:p>
        </w:tc>
        <w:tc>
          <w:tcPr>
            <w:tcW w:w="5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Arial" w:cs="Arial" w:eastAsia="Arial" w:hAnsi="Arial"/>
                <w:sz w:val="18"/>
                <w:szCs w:val="18"/>
                <w:color w:val="auto"/>
              </w:rPr>
              <w:t>67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summarized the intangible assets acquired (in millions, except for useful life):</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Residual Value</w:t>
            </w: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Fair Value as of</w:t>
            </w: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 Years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 of December</w:t>
            </w: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color w:val="auto"/>
              </w:rPr>
              <w:t>Amortizing intangible assets:</w:t>
            </w:r>
          </w:p>
        </w:tc>
        <w:tc>
          <w:tcPr>
            <w:tcW w:w="1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Consolidation</w:t>
            </w:r>
          </w:p>
        </w:tc>
        <w:tc>
          <w:tcPr>
            <w:tcW w:w="10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of Consolidation</w:t>
            </w:r>
          </w:p>
        </w:tc>
        <w:tc>
          <w:tcPr>
            <w:tcW w:w="22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31, 2012</w:t>
            </w: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rights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324"/>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Non-amortizing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99.0</w:t>
            </w: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Liquior license</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57"/>
        </w:trPr>
        <w:tc>
          <w:tcPr>
            <w:tcW w:w="59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113.0</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6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comparative purposes, selected unaudited pro-forma consolidated results of operations of FNF for the years ended December 31, 2012 and 2011 are presented below. Pro-forma results presented assume the consolidation of ABRH, O'Charley's and Remy occurred as of the beginning of each respective period. Amounts reflect our 55% ownership interest in ABRH and O'Charley's and our 51% ownership interest in Remy and were adjusted to exclude transaction and integration costs related to the acquisitions and earnings attributable to our prior investments in ABRH and Remy. We have also excluded the earnings effects attributable to the fair value adjustments of our prior investments and the bargain purchase gain related to the purchase of O'Charley's.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jc w:val="center"/>
              <w:ind w:left="614"/>
              <w:spacing w:after="0"/>
              <w:rPr>
                <w:sz w:val="20"/>
                <w:szCs w:val="20"/>
                <w:color w:val="auto"/>
              </w:rPr>
            </w:pPr>
            <w:r>
              <w:rPr>
                <w:rFonts w:ascii="Arial" w:cs="Arial" w:eastAsia="Arial" w:hAnsi="Arial"/>
                <w:sz w:val="14"/>
                <w:szCs w:val="14"/>
                <w:b w:val="1"/>
                <w:bCs w:val="1"/>
                <w:color w:val="auto"/>
                <w:w w:val="94"/>
              </w:rPr>
              <w:t>(in millions)</w:t>
            </w:r>
          </w:p>
        </w:tc>
        <w:tc>
          <w:tcPr>
            <w:tcW w:w="9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8,206.6</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518.3</w:t>
            </w: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391.6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Insurance, Inc.</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31, 2012, we acquired Digital Insurance, Inc. ("Digital Insurance"). Total consideration paid was $98.2 million in cash, net of cash acquired of $3.1 million. We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Alexander's Corporation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2012, we successfully completed a tender offer for the outstanding common stock of J. Alexander's Corporation for $14.50 per share. Total consideration paid was $70.4 million in cash, net of cash acquired of $6.9 million. Effective October 29, 2012, following a one-month waiting period required under the Tennessee Business Corporation Act, we completed the closing of the short-form merger with J. Alexander's and subsequently own 100% of J. Alexander's, which later became J. Alexander's LLC. We have consolidated the operations of J. Alexander's beginning September 26, 2012. J. Alexander's operates 33 J. Alexander's restaurants in 13 states. Subsequent to year-end on February 25, 2013, we merged Stoney River Legendary Steaks into J. Alexander's.</w:t>
      </w:r>
    </w:p>
    <w:p>
      <w:pPr>
        <w:spacing w:after="0" w:line="3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2012 and 2011,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1,300.4</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3,540.4</w:t>
            </w:r>
          </w:p>
        </w:tc>
      </w:tr>
      <w:tr>
        <w:trPr>
          <w:trHeight w:val="162"/>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 (1):</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 (2)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3,528.4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3,689.1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5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$256.7 million relating to the at-risk insurance business that have been reclassed into Prepaid and other assets on the Consolidated Balance Sheet as they are considered held for sale as of December 31, 2011.</w:t>
      </w:r>
    </w:p>
    <w:p>
      <w:pPr>
        <w:ind w:left="260" w:right="20" w:hanging="252"/>
        <w:spacing w:after="0" w:line="261"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$14.2 million relating to the at-risk insurance business that have been reclassed into Prepaid and other assets on the Consolidated Balance Sheet as they are considered held for sale as of December 31, 2011.</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w:t>
      </w:r>
    </w:p>
    <w:p>
      <w:pPr>
        <w:sectPr>
          <w:pgSz w:w="11900" w:h="16838" w:orient="portrait"/>
          <w:cols w:equalWidth="0" w:num="1">
            <w:col w:w="11420"/>
          </w:cols>
          <w:pgMar w:left="240" w:top="121"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3" w:name="page74"/>
    <w:bookmarkEnd w:id="7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7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4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4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3 investments consist of structured notes that were purchased in the third quarter of 2009. The structured notes had a par value of $37.5 million and fair value of $40.8 million at December 31, 2012 and December 31, 2011. The structured notes are held for general investment purposes and represent one percent of our total 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 ensure that they are reasonable and believe they represent an exit price as of December 31, 2012.</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investments that are classified as Level 3 for the years ended December 31, 2012 and 2011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Proceeds received upon call/sales</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10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change included in other comprehensive earnings</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10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Proceeds received upon call/sales</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change included in other comprehensive earnings</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0"/>
        </w:trPr>
        <w:tc>
          <w:tcPr>
            <w:tcW w:w="10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short-term investments, accounts receivable and notes receivable approximate fair value due to their short-term nature. The fair value of our notes payable is included in Note J.</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4" w:name="page75"/>
    <w:bookmarkEnd w:id="7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2012 and 2011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3,494.3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since the date of purchase. At December 31, 2012 all of our mortgage-backed and asset-backed securities are rated AAA or better by Moody's Investor Service. The mortgage-backed and asset-backed securities are made up of $111.4 million of agency mortgage-backed securities, $9.9 million of collateralized mortgage obligations, $22.0 million of commercial mortgage-backed securities, and $10.2 million in asset-backed securities.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2012, 2011, and 2010 was $33.0 million, $(9.9) million, and $(52.5) million,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1,689.6</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2,999.6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3,139.8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6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$1,143.1 million and $1,185.4 million in amortized cost and fair value, respectively, of fixed maturity securities with make-whole call provisions as of December 31, 2012.</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$160.0 million and $165.6 million were on deposit with various governmental authorities at December 31, 2012 and 2011, respectively, as required by law.</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Equity securities are carried at fair value. The balance of equity securities includes an investment in FIS stock, which we purchased on October 1, 2009 pursuant to an investment agreement between us and FIS dated March 31, 2009 in connection with a merger between FIS and Metavante Technologies, Inc. The fair value of this investment is $55.8 million and $42.6 million as of December 31, 2012 and 2011, respectively. The change in unrealized gains (losses) on equity securities for the years ended December 31, 2012, 2011 and 2010 was a net increase (decrease) of $12.2 million, $(1.6) million, and $(3.8) million, respectively. There were no significant investments in banks, trust and insurance companies at December 31, 2012 or 2011.</w:t>
      </w:r>
    </w:p>
    <w:p>
      <w:pPr>
        <w:spacing w:after="0" w:line="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2012 and 2011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7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7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substantial portion of our unrealized losses relate to corporate debt securities. These unrealized losses were primarily caused by widening credit spreads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2012.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2012 and 2011, we incurred impairment charges relating to investments that were determined to be other-than-temporarily impaired, which resulted in impairment charges of $2.7 million and $17.1 million, respectively. Impairment charges in 2012 and in 2011 related to fixed maturity securities primarily related to our conclusion that the credit risk of these holdings was high and the ability of the issuer to pay the full amount of the principal outstanding was unlikely. During 2010, we incurred no impairment charges relating to investments that were determined to be other-than-temporarily impaired.</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2012 we held $6.5 million of fixed maturity securities for which other-than-temporary impairments had been previously recognized and in 2011, we held $8.0 million investments for which an other-than-temporary impairment had been previously recognized; all of the impairments related to credit losses.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ending December 31, 2012, 2011, and 2010,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maturity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Preferred stock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consolidation of O'Charley's and ABRH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Bargain purchase gain on O'Charley's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on consolidation of Remy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Loss on early extinguishment of 5.25% bonds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maturity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Preferred stock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investments</w:t>
      </w:r>
    </w:p>
    <w:p>
      <w:pPr>
        <w:spacing w:after="0" w:line="63" w:lineRule="exact"/>
        <w:rPr>
          <w:sz w:val="20"/>
          <w:szCs w:val="20"/>
          <w:color w:val="auto"/>
        </w:rPr>
      </w:pPr>
    </w:p>
    <w:p>
      <w:pPr>
        <w:jc w:val="center"/>
        <w:ind w:right="6000"/>
        <w:spacing w:after="0"/>
        <w:rPr>
          <w:sz w:val="20"/>
          <w:szCs w:val="20"/>
          <w:color w:val="auto"/>
        </w:rPr>
      </w:pPr>
      <w:r>
        <w:rPr>
          <w:rFonts w:ascii="Arial" w:cs="Arial" w:eastAsia="Arial" w:hAnsi="Arial"/>
          <w:sz w:val="15"/>
          <w:szCs w:val="15"/>
          <w:color w:val="auto"/>
        </w:rPr>
        <w:t>Other assets</w:t>
      </w:r>
    </w:p>
    <w:p>
      <w:pPr>
        <w:spacing w:after="0" w:line="125"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maturity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 available for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investments</w:t>
      </w:r>
    </w:p>
    <w:p>
      <w:pPr>
        <w:spacing w:after="0" w:line="63" w:lineRule="exact"/>
        <w:rPr>
          <w:sz w:val="20"/>
          <w:szCs w:val="20"/>
          <w:color w:val="auto"/>
        </w:rPr>
      </w:pPr>
    </w:p>
    <w:p>
      <w:pPr>
        <w:jc w:val="center"/>
        <w:ind w:right="6000"/>
        <w:spacing w:after="0"/>
        <w:rPr>
          <w:sz w:val="20"/>
          <w:szCs w:val="20"/>
          <w:color w:val="auto"/>
        </w:rPr>
      </w:pPr>
      <w:r>
        <w:rPr>
          <w:rFonts w:ascii="Arial" w:cs="Arial" w:eastAsia="Arial" w:hAnsi="Arial"/>
          <w:sz w:val="15"/>
          <w:szCs w:val="15"/>
          <w:color w:val="auto"/>
        </w:rPr>
        <w:t>Other assets</w:t>
      </w:r>
    </w:p>
    <w:p>
      <w:pPr>
        <w:spacing w:after="0" w:line="125"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(5.3)</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3"/>
                <w:szCs w:val="23"/>
                <w:color w:val="auto"/>
              </w:rPr>
            </w:pPr>
          </w:p>
        </w:tc>
        <w:tc>
          <w:tcPr>
            <w:tcW w:w="7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7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-1748790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-1405890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-1062990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-719455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(17.8)</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7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-1062990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-719455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7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41"/>
              <w:spacing w:after="0"/>
              <w:rPr>
                <w:sz w:val="20"/>
                <w:szCs w:val="20"/>
                <w:color w:val="auto"/>
              </w:rPr>
            </w:pPr>
            <w:r>
              <w:rPr>
                <w:rFonts w:ascii="Arial" w:cs="Arial" w:eastAsia="Arial" w:hAnsi="Arial"/>
                <w:sz w:val="18"/>
                <w:szCs w:val="18"/>
                <w:color w:val="auto"/>
              </w:rPr>
              <w:t>90.3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
              <w:spacing w:after="0"/>
              <w:rPr>
                <w:sz w:val="20"/>
                <w:szCs w:val="20"/>
                <w:color w:val="auto"/>
              </w:rPr>
            </w:pPr>
            <w:r>
              <w:rPr>
                <w:rFonts w:ascii="Arial" w:cs="Arial" w:eastAsia="Arial" w:hAnsi="Arial"/>
                <w:sz w:val="18"/>
                <w:szCs w:val="18"/>
                <w:color w:val="auto"/>
              </w:rPr>
              <w:t>(1.7)</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1,348.8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3"/>
                <w:szCs w:val="23"/>
                <w:color w:val="auto"/>
              </w:rPr>
            </w:pPr>
          </w:p>
        </w:tc>
        <w:tc>
          <w:tcPr>
            <w:tcW w:w="78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-719455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8" w:name="page79"/>
    <w:bookmarkEnd w:id="7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128.0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our other long-term investments are fixed-maturity structured notes purchased in the third quarter of 2009. The structured notes are carried at fair value (see Note C) and changes in the fair value of these structured notes are recorded as Realized gains and losses in the Consolidated Statements of Earnings. The carrying value of the structured notes was $40.8 million as of December 31, 2012 and 2011, respectively, and we recorded no gain or loss related to the structured notes in the year ended December 31, 2012 and a net (loss) gain of $(4.4) million and $11.4 million related to the structured notes in the years ended December 31, 2011 and 2010, respectively.</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2012 and 2011 consisted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40" w:type="dxa"/>
            <w:vAlign w:val="bottom"/>
          </w:tcPr>
          <w:p>
            <w:pPr>
              <w:spacing w:after="0"/>
              <w:rPr>
                <w:sz w:val="14"/>
                <w:szCs w:val="1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40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9"/>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Remy</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various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14, 2012, we increased our ownership interest in Remy to 51% and began to consolidate their results of operations. In addition to our equity method investment in Remy, we held $29.7 million in par value of a Remy term loan as of December 31, 2011. The fair value of the term loan was $29.3 million as of December 31, 2011 and was included in our fixed maturity securities available for sale.</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years ended December 31, 2012, 2011, and 2010, we recorded an aggregate of $9.9 million, $9.7 million, and $(1.2) million, respectively, in equity in earnings (losses) of unconsolidated affiliates. We account for our equity in Ceridian on a three-month lag. We accounted for our equity in Remy on a one-month lag until August 14, 2012, the date on which we gained control of Remy. Accordingly, our net earnings for the year ended December 31, 2012, includes our equity in Ceridian’s earnings for the period from October 1, 2011 through September 30, 2012 and our net earnings for the year ended December 31, 2011, includes our equity in Ceridian’s earnings for the period from October 1, 2010 through September 30, 2011. Our net earnings for the year ended December 31, 2012, includes our equity in Remy's earnings for the period from December 1, 2011 through August 14, 2012 and our net earnings for the year ended December 31, 2011, includes our equity in Remy's earnings for the period from December 1, 2010 through November 30, 2011. In addition, we record our share of the other comprehensive earnings (loss) of unconsolidated affiliates. As of December 31, 2012, included within the Consolidated Statements of Equity, we had recorded accumulated other comprehensive losses of $42.0 million related to our investment in Ceridian, and less than $0.1 million related to our other investments in unconsolidated affiliates.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for the periods included in our Consolidated Financial Statements for Ceridian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2012</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September 30, 2011</w:t>
            </w:r>
          </w:p>
        </w:tc>
      </w:tr>
      <w:tr>
        <w:trPr>
          <w:trHeight w:val="196"/>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4"/>
          </w:tcPr>
          <w:p>
            <w:pPr>
              <w:jc w:val="right"/>
              <w:ind w:right="129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4,630.1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4,577.6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4,259.6</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9,921.1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9,991.2</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3,445.0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3,451.4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4,566.0</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8,802.5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8,909.4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1,081.8</w:t>
            </w:r>
          </w:p>
        </w:tc>
      </w:tr>
      <w:tr>
        <w:trPr>
          <w:trHeight w:val="25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9,921.1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9,991.2</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91"/>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24"/>
                <w:szCs w:val="24"/>
                <w:color w:val="auto"/>
              </w:rPr>
            </w:pPr>
          </w:p>
        </w:tc>
        <w:tc>
          <w:tcPr>
            <w:tcW w:w="15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October 1, 2011,</w:t>
            </w:r>
          </w:p>
        </w:tc>
        <w:tc>
          <w:tcPr>
            <w:tcW w:w="180" w:type="dxa"/>
            <w:vAlign w:val="bottom"/>
          </w:tcPr>
          <w:p>
            <w:pPr>
              <w:spacing w:after="0"/>
              <w:rPr>
                <w:sz w:val="12"/>
                <w:szCs w:val="12"/>
                <w:color w:val="auto"/>
              </w:rPr>
            </w:pPr>
          </w:p>
        </w:tc>
        <w:tc>
          <w:tcPr>
            <w:tcW w:w="15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October 1, 2010,</w:t>
            </w: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through</w:t>
            </w:r>
          </w:p>
        </w:tc>
        <w:tc>
          <w:tcPr>
            <w:tcW w:w="180" w:type="dxa"/>
            <w:vAlign w:val="bottom"/>
          </w:tcPr>
          <w:p>
            <w:pPr>
              <w:spacing w:after="0"/>
              <w:rPr>
                <w:sz w:val="12"/>
                <w:szCs w:val="12"/>
                <w:color w:val="auto"/>
              </w:rPr>
            </w:pPr>
          </w:p>
        </w:tc>
        <w:tc>
          <w:tcPr>
            <w:tcW w:w="15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through</w:t>
            </w: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2012</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September 30, 2011</w:t>
            </w:r>
          </w:p>
        </w:tc>
      </w:tr>
      <w:tr>
        <w:trPr>
          <w:trHeight w:val="196"/>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4"/>
          </w:tcPr>
          <w:p>
            <w:pPr>
              <w:jc w:val="right"/>
              <w:ind w:right="129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Remy Derivative Financial Instruments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risks and derivative instruments were added as part of the consolidation of Remy on August 14,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our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eighteen months to hedge against currency rate fluctuations, some of which are designated as hedges. As of December 31, 2012, Remy had the following outstanding foreign currency contracts to hedge forecasted purchases and revenues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Currency denomination</w:t>
            </w: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220" w:type="dxa"/>
            <w:vAlign w:val="bottom"/>
          </w:tcPr>
          <w:p>
            <w:pPr>
              <w:spacing w:after="0"/>
              <w:rPr>
                <w:sz w:val="23"/>
                <w:szCs w:val="23"/>
                <w:color w:val="auto"/>
              </w:rPr>
            </w:pPr>
          </w:p>
        </w:tc>
        <w:tc>
          <w:tcPr>
            <w:tcW w:w="206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December 31, 2012</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66.7</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Accumulated unrealized net gains of $3.4 million were recorded in Accumulated other comprehensive earnings (loss) as of December 31, 2012 related to these instruments. As of December 31, 2012, unrealized gains related to these instruments of $3.6 million are expected to be reclassified to the Consolidated Statement of Earnings within the next 12 months. Any ineffectiveness during the year ended December 31, 2012 was immaterial.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2010, Remy entered into an interest rate swap agreement in respect of 50% of the outstanding principal balance of its Term B Loan under which a variable LIBOR rate with a floor of 1.750% was swapped to a fixed rate of 3.345%. The Term B Loan has a $150.0 million notional value and the interest rate swap expires December 31, 2013. This interest rate swap is an undesignated hedge and changes in the fair value are recorded as Interest expense in the accompanying Consolidated Statement of Earnings. The interest rate swaps reduce Remy's overall interest rate risk.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fifteen months in the future. Additionally, Remy purchases certain commodities during the normal course of business which result in physical delivery and are excluded from hedge accounting.</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Remy had thirty-six commodity price hedge contracts outstanding at December 31, 2012, with combined notional quantities of 6,566 metric tons of copper. These contracts mature within the next eighteen months. These contracts were designated as cash flow hedging instruments. Accumulated unrealized net losses of $0.4 million were recorded in Accumulated other comprehensive earnings as of December 31, 2012 related to these contracts. As of December 31, 2012, net unrealized losses related to these contracts of $0.4 million are expected to be reclassified to the accompanying Consolidated Statement of Earnings within the next 12 months. Hedging ineffectiveness during the year ended December 31, 2012 was immaterial.</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Remy has entered into factoring agreements with various domestic and European financial institutions to sell their accounts receivable under nonrecourse agreements. These are treated as a sale. The transactions are accounted for as a reduction in accounts receivable as the agreements transfer effective control over and risk related to the receivables to the buyers. Remy does not service any domestic accounts after the factoring has occurred. Remy does not have any servicing assets or liabilities. Remy utilizes factoring arrangements as an integral part of financing. The cost of factoring such accounts receivable is reflected in the accompanying Consolidated Statement of Earnings as Interest expense. The cost of factoring such accounts receivable for the year ended December 31, 2012 was $2.2 million. Gross amounts factored under these facilities as of December 31, 2012 were $183.5 million.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derivative positions and any related material collateral under master netting agreements are presented on a net basis.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Consolidated Statement of Earnings. Derivative gains and losses included in Accumulated other comprehensive earnings for effective hedges are reclassified into the accompanying Consolidated Statement of Earnings upon recognition of the hedged transaction.</w:t>
      </w:r>
    </w:p>
    <w:p>
      <w:pPr>
        <w:spacing w:after="0" w:line="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derivative instrument designated initially, but no longer effective as a hedge, or initially not effective as a hedge, is recorded at fair value and the related gains and losses are recognized in the accompanying Consolidated Statement of Earnings. Remy's undesignated hedges are primarily foreign currency hedges as the entity with the derivative transaction does not bear the foreign currency risk, and Remy's interest rate swaps whose fair value at inception of the instrument due to the rollover of existing interest rate swaps resulted in ineffectiveness. All asset and liability derivatives are included in Prepaid expenses and other assets and Accounts payable and other accrued liabilities, respectively,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fair values of Remy's derivative instruments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180" w:type="dxa"/>
            <w:vAlign w:val="bottom"/>
            <w:gridSpan w:val="4"/>
          </w:tcPr>
          <w:p>
            <w:pPr>
              <w:ind w:left="1640"/>
              <w:spacing w:after="0"/>
              <w:rPr>
                <w:sz w:val="20"/>
                <w:szCs w:val="20"/>
                <w:color w:val="auto"/>
              </w:rPr>
            </w:pPr>
            <w:r>
              <w:rPr>
                <w:rFonts w:ascii="Arial" w:cs="Arial" w:eastAsia="Arial" w:hAnsi="Arial"/>
                <w:sz w:val="18"/>
                <w:szCs w:val="18"/>
                <w:b w:val="1"/>
                <w:bCs w:val="1"/>
                <w:color w:val="auto"/>
              </w:rPr>
              <w:t>December 31, 2012</w:t>
            </w:r>
          </w:p>
        </w:tc>
        <w:tc>
          <w:tcPr>
            <w:tcW w:w="5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Asset Derivatives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18"/>
                <w:szCs w:val="18"/>
                <w:b w:val="1"/>
                <w:bCs w:val="1"/>
                <w:color w:val="auto"/>
              </w:rPr>
              <w:t>Liability Derivatives</w:t>
            </w:r>
          </w:p>
        </w:tc>
        <w:tc>
          <w:tcPr>
            <w:tcW w:w="50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80" w:type="dxa"/>
            <w:vAlign w:val="bottom"/>
          </w:tcPr>
          <w:p>
            <w:pPr>
              <w:jc w:val="right"/>
              <w:ind w:right="167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880" w:type="dxa"/>
            <w:vAlign w:val="bottom"/>
            <w:tcBorders>
              <w:top w:val="single" w:sz="8" w:color="auto"/>
              <w:bottom w:val="single" w:sz="8" w:color="auto"/>
            </w:tcBorders>
          </w:tcPr>
          <w:p>
            <w:pPr>
              <w:jc w:val="right"/>
              <w:ind w:right="16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4"/>
                <w:szCs w:val="24"/>
                <w:color w:val="auto"/>
              </w:rPr>
            </w:pPr>
          </w:p>
        </w:tc>
        <w:tc>
          <w:tcPr>
            <w:tcW w:w="1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311"/>
        </w:trPr>
        <w:tc>
          <w:tcPr>
            <w:tcW w:w="67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88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(OCI) into earnings, are included in Cost of auto parts revenue for commodity and foreign currency contracts, and Interest expense for interest rate swap contracts on the accompanying Consolidated Statement of Earnings. The following table discloses the effect of Remy's derivative instruments for the year ended December 31, 2012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Amount of gain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reclassified from OCI</w:t>
            </w:r>
          </w:p>
        </w:tc>
        <w:tc>
          <w:tcPr>
            <w:tcW w:w="1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restart"/>
          </w:tcPr>
          <w:p>
            <w:pPr>
              <w:jc w:val="right"/>
              <w:ind w:right="51"/>
              <w:spacing w:after="0"/>
              <w:rPr>
                <w:sz w:val="20"/>
                <w:szCs w:val="20"/>
                <w:color w:val="auto"/>
              </w:rPr>
            </w:pPr>
            <w:r>
              <w:rPr>
                <w:rFonts w:ascii="Arial" w:cs="Arial" w:eastAsia="Arial" w:hAnsi="Arial"/>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recognized in OCI</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into income (effective</w:t>
            </w:r>
          </w:p>
        </w:tc>
        <w:tc>
          <w:tcPr>
            <w:tcW w:w="180" w:type="dxa"/>
            <w:vAlign w:val="bottom"/>
          </w:tcPr>
          <w:p>
            <w:pPr>
              <w:spacing w:after="0"/>
              <w:rPr>
                <w:sz w:val="12"/>
                <w:szCs w:val="12"/>
                <w:color w:val="auto"/>
              </w:rPr>
            </w:pPr>
          </w:p>
        </w:tc>
        <w:tc>
          <w:tcPr>
            <w:tcW w:w="168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portion</w:t>
            </w:r>
          </w:p>
        </w:tc>
        <w:tc>
          <w:tcPr>
            <w:tcW w:w="180" w:type="dxa"/>
            <w:vAlign w:val="bottom"/>
          </w:tcPr>
          <w:p>
            <w:pPr>
              <w:spacing w:after="0"/>
              <w:rPr>
                <w:sz w:val="16"/>
                <w:szCs w:val="16"/>
                <w:color w:val="auto"/>
              </w:rPr>
            </w:pPr>
          </w:p>
        </w:tc>
        <w:tc>
          <w:tcPr>
            <w:tcW w:w="1680" w:type="dxa"/>
            <w:vAlign w:val="bottom"/>
            <w:gridSpan w:val="2"/>
          </w:tcPr>
          <w:p>
            <w:pPr>
              <w:jc w:val="center"/>
              <w:ind w:right="14"/>
              <w:spacing w:after="0"/>
              <w:rPr>
                <w:sz w:val="20"/>
                <w:szCs w:val="20"/>
                <w:color w:val="auto"/>
              </w:rPr>
            </w:pPr>
            <w:r>
              <w:rPr>
                <w:rFonts w:ascii="Arial" w:cs="Arial" w:eastAsia="Arial" w:hAnsi="Arial"/>
                <w:sz w:val="14"/>
                <w:szCs w:val="14"/>
                <w:b w:val="1"/>
                <w:bCs w:val="1"/>
                <w:color w:val="auto"/>
                <w:w w:val="87"/>
              </w:rPr>
              <w:t>effectiveness testing)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9"/>
              </w:rPr>
              <w:t>recognized in income</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Derivatives designated as cash flow hedging instruments: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60" w:type="dxa"/>
            <w:vAlign w:val="bottom"/>
            <w:gridSpan w:val="2"/>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4"/>
          </w:tcPr>
          <w:p>
            <w:pPr>
              <w:ind w:left="1500"/>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8"/>
                <w:szCs w:val="18"/>
                <w:color w:val="auto"/>
              </w:rPr>
              <w:t>Land</w:t>
            </w:r>
          </w:p>
        </w:tc>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4"/>
              <w:spacing w:after="0"/>
              <w:rPr>
                <w:sz w:val="20"/>
                <w:szCs w:val="20"/>
                <w:color w:val="auto"/>
              </w:rPr>
            </w:pPr>
            <w:r>
              <w:rPr>
                <w:rFonts w:ascii="Arial" w:cs="Arial" w:eastAsia="Arial" w:hAnsi="Arial"/>
                <w:sz w:val="18"/>
                <w:szCs w:val="18"/>
                <w:color w:val="auto"/>
                <w:w w:val="88"/>
              </w:rPr>
              <w:t>107.8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ind w:right="4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8"/>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ind w:right="44"/>
              <w:spacing w:after="0"/>
              <w:rPr>
                <w:sz w:val="20"/>
                <w:szCs w:val="20"/>
                <w:color w:val="auto"/>
              </w:rPr>
            </w:pPr>
            <w:r>
              <w:rPr>
                <w:rFonts w:ascii="Arial" w:cs="Arial" w:eastAsia="Arial" w:hAnsi="Arial"/>
                <w:sz w:val="18"/>
                <w:szCs w:val="18"/>
                <w:color w:val="auto"/>
                <w:w w:val="88"/>
              </w:rPr>
              <w:t>375.2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8"/>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8"/>
              </w:rPr>
              <w:t>632.1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$80.7 million, $38.4 million, and $40.4 million for the years ended December 31, 2012, 2011, and 2010,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320" w:type="dxa"/>
            <w:vAlign w:val="bottom"/>
            <w:gridSpan w:val="10"/>
          </w:tcPr>
          <w:p>
            <w:pPr>
              <w:jc w:val="center"/>
              <w:ind w:left="165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8340" w:type="dxa"/>
            <w:vAlign w:val="bottom"/>
            <w:gridSpan w:val="13"/>
          </w:tcPr>
          <w:p>
            <w:pPr>
              <w:jc w:val="center"/>
              <w:ind w:left="67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b w:val="1"/>
                <w:bCs w:val="1"/>
                <w:color w:val="auto"/>
              </w:rPr>
              <w:t>Note G.</w:t>
            </w:r>
          </w:p>
        </w:tc>
        <w:tc>
          <w:tcPr>
            <w:tcW w:w="4000" w:type="dxa"/>
            <w:vAlign w:val="bottom"/>
          </w:tcPr>
          <w:p>
            <w:pPr>
              <w:ind w:left="140"/>
              <w:spacing w:after="0"/>
              <w:rPr>
                <w:sz w:val="20"/>
                <w:szCs w:val="20"/>
                <w:color w:val="auto"/>
              </w:rPr>
            </w:pPr>
            <w:r>
              <w:rPr>
                <w:rFonts w:ascii="Arial" w:cs="Arial" w:eastAsia="Arial" w:hAnsi="Arial"/>
                <w:sz w:val="18"/>
                <w:szCs w:val="18"/>
                <w:b w:val="1"/>
                <w:bCs w:val="1"/>
                <w:color w:val="auto"/>
              </w:rPr>
              <w:t>Goodwill</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Goodwill consists of the following:</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Fidelity</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Restaurant</w:t>
            </w:r>
          </w:p>
        </w:tc>
        <w:tc>
          <w:tcPr>
            <w:tcW w:w="140" w:type="dxa"/>
            <w:vAlign w:val="bottom"/>
          </w:tcPr>
          <w:p>
            <w:pPr>
              <w:spacing w:after="0"/>
              <w:rPr>
                <w:sz w:val="24"/>
                <w:szCs w:val="2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Specialty</w:t>
            </w:r>
          </w:p>
        </w:tc>
        <w:tc>
          <w:tcPr>
            <w:tcW w:w="12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National</w:t>
            </w:r>
          </w:p>
        </w:tc>
        <w:tc>
          <w:tcPr>
            <w:tcW w:w="20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Remy</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Title Group</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1,470.7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Sale of assets related to discontinued operations (1)</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1,452.2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 (2)</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w w:val="97"/>
              </w:rPr>
              <w:t>Sale of assets</w:t>
            </w:r>
          </w:p>
        </w:tc>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1,908.5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2011, we completed the sale of our flood insurance businesses. See Note A under "Discontinued Operations".</w:t>
      </w:r>
    </w:p>
    <w:p>
      <w:pPr>
        <w:spacing w:after="0" w:line="9" w:lineRule="exact"/>
        <w:rPr>
          <w:rFonts w:ascii="Arial" w:cs="Arial" w:eastAsia="Arial" w:hAnsi="Arial"/>
          <w:sz w:val="18"/>
          <w:szCs w:val="18"/>
          <w:color w:val="auto"/>
        </w:rPr>
      </w:pPr>
    </w:p>
    <w:p>
      <w:pPr>
        <w:ind w:firstLine="8"/>
        <w:spacing w:after="0" w:line="261"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2012, we acquired a controlling interest in Remy and the Restaurant Group. We also acquired Digital Insurance in our Corporate and Other Segment. See Note B "Acquisitions".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Trademarks and tradenames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244.2</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650.5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130.7</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amortizable intangible assets, which consist primarily of customer relationships, was $34.4 million, $16.5 million, and $19.1 million for the years ended December 31, 2012, 2011, and 2010, respectively. Other intangible assets primarily represent non-amortizable intangible assets such as trademarks and licenses. Estimated amortization expense for the next five years for assets owned at December 31, 2012, is $73.4 million in 2013, $63.1 million in 2014, $54.0 million in 2015, $46.0 million in 2016 and $33.0 million in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78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00" w:type="dxa"/>
            <w:vAlign w:val="bottom"/>
          </w:tcPr>
          <w:p>
            <w:pPr>
              <w:spacing w:after="0"/>
              <w:rPr>
                <w:sz w:val="24"/>
                <w:szCs w:val="24"/>
                <w:color w:val="auto"/>
              </w:rPr>
            </w:pPr>
          </w:p>
        </w:tc>
        <w:tc>
          <w:tcPr>
            <w:tcW w:w="7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7800" w:type="dxa"/>
            <w:vAlign w:val="bottom"/>
            <w:gridSpan w:val="2"/>
          </w:tcPr>
          <w:p>
            <w:pPr>
              <w:jc w:val="right"/>
              <w:ind w:right="4080"/>
              <w:spacing w:after="0"/>
              <w:rPr>
                <w:sz w:val="20"/>
                <w:szCs w:val="20"/>
                <w:color w:val="auto"/>
              </w:rPr>
            </w:pPr>
            <w:r>
              <w:rPr>
                <w:rFonts w:ascii="Arial" w:cs="Arial" w:eastAsia="Arial" w:hAnsi="Arial"/>
                <w:sz w:val="18"/>
                <w:szCs w:val="18"/>
                <w:b w:val="1"/>
                <w:bCs w:val="1"/>
                <w:color w:val="auto"/>
                <w:w w:val="90"/>
              </w:rPr>
              <w:t>Accounts Payable and Other Accrued Liabilities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00" w:type="dxa"/>
            <w:vAlign w:val="bottom"/>
            <w:gridSpan w:val="3"/>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Accrued benefits</w:t>
            </w: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Other accrued liabilities (1)</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323" w:lineRule="auto"/>
        <w:tabs>
          <w:tab w:leader="none" w:pos="2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accrued liabilities at December 31, 2011, includes $145.6 million in liabilities related to the at-risk insurance business that have been reclassed into Accounts payable and other accrued liabilities on the Consolidated Balance Sheet as they were considered held for sale as of December 31, 2011.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7800" w:type="dxa"/>
            <w:vAlign w:val="bottom"/>
          </w:tcPr>
          <w:p>
            <w:pPr>
              <w:ind w:left="6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12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124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12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279.5</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236.4</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Revolving Credit Facility, unsecured, unused portion of $800.0 at December 31, 2012, due April 2016 with interest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monthly at LIBOR + 1.45%</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6"/>
              </w:rPr>
              <w:t>Remy Term B Loan, interest payable annually at LIBOR (floor of 1.75%) + 4.50% (6.25% at December 31, 2012), due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1240" w:type="dxa"/>
            <w:vAlign w:val="bottom"/>
          </w:tcPr>
          <w:p>
            <w:pPr>
              <w:ind w:left="40"/>
              <w:spacing w:after="0"/>
              <w:rPr>
                <w:sz w:val="20"/>
                <w:szCs w:val="20"/>
                <w:color w:val="auto"/>
              </w:rPr>
            </w:pPr>
            <w:r>
              <w:rPr>
                <w:rFonts w:ascii="Arial" w:cs="Arial" w:eastAsia="Arial" w:hAnsi="Arial"/>
                <w:sz w:val="18"/>
                <w:szCs w:val="18"/>
                <w:color w:val="auto"/>
                <w:w w:val="92"/>
              </w:rPr>
              <w:t>December 2016</w:t>
            </w:r>
          </w:p>
        </w:tc>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Restaurant Group Term Loan, interest payable monthly at LIBOR + 3.50% (3.71% at December 31, 2012),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5"/>
              </w:rPr>
              <w:t>Restaurant Group Revolving Credit Facility, unused portion of $59.6 at December 31, 2012 due May 2017 with interest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payable monthly at base rate 3.25% + base rate margin 2.50% (5.75% at December 31, 2012)</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12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915.8</w:t>
            </w:r>
          </w:p>
        </w:tc>
      </w:tr>
      <w:tr>
        <w:trPr>
          <w:trHeight w:val="27"/>
        </w:trPr>
        <w:tc>
          <w:tcPr>
            <w:tcW w:w="12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December 31, 2012, the estimated fair value of our long-term debt was approximately $1,503.8 million or $159.9 million higher than its carrying value. The fair value of our long-term debt which consisted primarily of our unsecured notes payable at December 31, 2011 was approximately $927.8 million or $12.0 million higher than its estimated carrying value. The fair value of our unsecured notes payable was $1,139.2 million as of December 31, 2012. The fair values of our unsecured notes payable are based on established market prices for the securities on December 31, 2012 and 2011 and are considered Level 2 financial liabilities. The fair value of our Remy Term Loan was $259.4 million, based on established market prices for the securities on December 31, 2012 and is considered a Level 2 financial liability. The fair value of our Restaurant Group Term Loan was $72.2 million, based on established market prices for the securities on December 31, 2012 and is considered a Level 2 financial liability.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$1.9 million, which is netted against the $400.0 million aggregate principal amount of the 5.50% notes. The discount is amortized to September 2022 when the 5.50% notes mature. The 5.50% notes will pay interest semi-annually on the 1st of March and September, beginning March 1, 2013. We received net proceeds of $395.5 million, after expenses, which were used to repay the $236.5 million aggregate principal amount outstanding of our 5.25% unsecured notes maturing in March 2013, the $50.0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28, 2012, we used $242.3 million of the net proceeds of the issuance of the 5.50% notes to fund the repayment of the $236.5 million aggregate principal amount outstanding of our 5.25% unsecured notes, including $0.6 million of unpaid interest and a $5.2 million make-whole call penalty, as the 5.25% unsecured notes had a stated maturity of March 2013.</w:t>
      </w:r>
    </w:p>
    <w:p>
      <w:pPr>
        <w:spacing w:after="0" w:line="7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$80.0 million with a maturity date of May 31, 2017. Additionally, the ABRH Credit Facility provides for a maximum term loan ("Restaurant Group Term Loan") of $85.0 million with quarterly installment repayments through December 25, 2016 and a maturity date of May 31, 2017 for the outstanding unpaid principal balance and all accrued and unpaid interest. On May 31, 2012, ABRH borrowed the entire $85.0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 in turn pay to its members) to $5.0 million in the aggregate (outside of certain other permitted dividend payments) in fiscal year 2012 (with varying amounts for subsequent years).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$2.0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December 31, 2012, the balance of the term loan was $72.2 million and there was no outstanding balance on the revolving loan. ABRH had $20.4 million of outstanding letters of credit as of December 31, 2012. As of December 31, 2012, ABRH had $59.6 million of remaining borrowing capacity under our revolving credit facility.</w:t>
      </w:r>
    </w:p>
    <w:p>
      <w:pPr>
        <w:spacing w:after="0" w:line="3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16, 2012, we entered into an agreement to amend and extend our credit agreement dated September 12, 2006, as amended and restated as of March 5, 2010 (the “ Revolving Credit Facility”) with Bank of America, N.A. as administrative agent and swing line lender (the “Administrative Agent”), and the other financial institutions party thereto, and an agreement to change the aggregate size of the credit facility under the Revolving Credit Facility. These agreements reduced the total size of the credit facility from $925.0 million to $800.0 million, with an option to increase the size of the credit facility to $900.0 million, and established an extended maturity date of April 16, 2016. Pricing for the new agreement is based on an applicable margin between 132.5 basis points to 160.0 basis points over LIBOR, depending on the senior debt ratings of FNF. The Revolving Credit Facility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Revolving Credit Facility prohibits us from paying dividends to our stockholders if an event of default has occurred and is continuing or would result therefrom. The Revolving Credit Facility requires us to maintain certain financial ratios and levels of capitalization. The Revolving Credit Facility includes customary events of default for facilities of this type (with customary grace periods, as applicable). These events of default include a cross-default provision that, subject to limited exceptions, permits the lenders to declare the Revolving Credit Facility in default if: (i) (a) we fail to make any payment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Revolving Credit Facility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Revolving Credit Facility shall automatically become immediately due and payable, and the lenders' commitments will automatically terminate. As of December 31, 2012, there was no outstanding balance under the Revolving Credit Facility.</w:t>
      </w:r>
    </w:p>
    <w:p>
      <w:pPr>
        <w:spacing w:after="0" w:line="13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we completed an offering of $300.0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$21.5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2011, we used $75.0 million of the proceeds from the Notes to purchase 4,609,700 shares of our common stock at $16.27 per share in privately negotiated transactions concurrently with the issuance. We used the remaining net proceeds along with other cash on hand for repayment of $250.0 million outstanding debt on our revolving credit agreement.</w:t>
      </w:r>
    </w:p>
    <w:p>
      <w:pPr>
        <w:spacing w:after="0" w:line="4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December 2010, Remy entered into a $300.0 million Term B Loan (“Term B”) facility. The Term B is secured by a first priority lien on the stock of Remy's subsidiaries and substantially all Remy domestic assets other than accounts receivable and inventory pledged to the Asset-Based Revolving Credit Facility ("Remy Credit Facility"), as described below. The Term B bears an interest rate of LIBOR (subject to a floor of 1.75%) plus 4.5% per annum. The Term B matures on December 17, 2016. Principal payments in the amount of $0.8 million are due at the end of each calendar quarter with termination and final payment no later than December 17, 2016. The Term B facility is subject to an excess cash calculation which may require the payment of additional principal on an annual basis. The Term B also includes events of default customary for a facility of this type, including a cross-default provision under which the lenders may declare the loan in default if we (i) fail to make a payment when due under any debt having a principal amount greater than $5.0 million or</w:t>
      </w:r>
    </w:p>
    <w:p>
      <w:pPr>
        <w:spacing w:after="0" w:line="3" w:lineRule="exact"/>
        <w:rPr>
          <w:sz w:val="20"/>
          <w:szCs w:val="20"/>
          <w:color w:val="auto"/>
        </w:rPr>
      </w:pPr>
    </w:p>
    <w:p>
      <w:pPr>
        <w:ind w:firstLine="8"/>
        <w:spacing w:after="0" w:line="261"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 any other covenant in any such debt as a result of which the holders of such debt are permitted to accelerate its maturity. Remy is in compliance with all covenants as of December 31, 2012.</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2010, Remy entered into a $95.0 million, five year Asset-Based Revolving Credit Facility, (the "Remy Credit Facility"). The Remy Credit Facility is secured by substantially all of Remy's domestic accounts receivable and inventory. It bears interest, varying with the level of available borrowing, at a defined Base Rate plus 1.00%-1.50% per annum or, at our election, at an applicable LIBOR Rate plus 2.00%-2.50% per annum and is paid monthly. The Remy Credit Facility contains various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 At December 31, 2012, the Remy Credit Facility balance was zero. Based upon the collateral supporting the Remy Credit Facility, the amount borrowed, and the outstanding Remy letters of credit of $2.9 million, there was additional availability for borrowing of $69.0 million as of December 31, 2012. The Remy Credit Facility agreement matures on December 17, 2015.</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Remy also has revolving credit facilities with four Korean banks with a total facility amount of approximately $16.1 million, of which $6.1 million is borrowed at average interest rates of 4.54% at December 31, 2012. In Hungary, there is a revolving credit facility and a note payable with two separate banks for a credit facility of $5.5 million, of which $3.0 million is borrowed at average interest rates of 2.61% at December 31, 2012. In Belgium, Remy has revolving loans with two banks for a credit facility of $3.7 million with no outstanding borrowings at December 31, 2012.</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$0.3 million, which is netted against the $300.0 million aggregate principal amount of notes. The discount is amortized to May 2017 when the 6.60% Notes mature. We received net proceeds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$100.0 million for all such debt, arising from (i) failure to make a principal payment when due or (ii) the occurrence of an event which results in such debt being due and payable prior to its scheduled maturity.</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maturities of notes payable at December 31, 2012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2013</w:t>
            </w:r>
          </w:p>
        </w:tc>
        <w:tc>
          <w:tcPr>
            <w:tcW w:w="72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2015</w:t>
            </w:r>
          </w:p>
        </w:tc>
        <w:tc>
          <w:tcPr>
            <w:tcW w:w="6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2017</w:t>
            </w:r>
          </w:p>
        </w:tc>
        <w:tc>
          <w:tcPr>
            <w:tcW w:w="6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vMerge w:val="restart"/>
          </w:tcPr>
          <w:p>
            <w:pPr>
              <w:jc w:val="right"/>
              <w:ind w:right="4170"/>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8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646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440" w:type="dxa"/>
            <w:vAlign w:val="bottom"/>
            <w:gridSpan w:val="3"/>
          </w:tcPr>
          <w:p>
            <w:pPr>
              <w:ind w:left="340"/>
              <w:spacing w:after="0"/>
              <w:rPr>
                <w:sz w:val="20"/>
                <w:szCs w:val="20"/>
                <w:color w:val="auto"/>
              </w:rPr>
            </w:pPr>
            <w:r>
              <w:rPr>
                <w:rFonts w:ascii="Arial" w:cs="Arial" w:eastAsia="Arial" w:hAnsi="Arial"/>
                <w:sz w:val="18"/>
                <w:szCs w:val="18"/>
                <w:color w:val="auto"/>
              </w:rPr>
              <w:t>Income tax expense (benefit) on continuing operations consists of the following:</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Deferred</w:t>
            </w:r>
          </w:p>
        </w:tc>
        <w:tc>
          <w:tcPr>
            <w:tcW w:w="6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9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gridSpan w:val="13"/>
          </w:tcPr>
          <w:p>
            <w:pPr>
              <w:ind w:left="340"/>
              <w:spacing w:after="0"/>
              <w:rPr>
                <w:sz w:val="20"/>
                <w:szCs w:val="20"/>
                <w:color w:val="auto"/>
              </w:rPr>
            </w:pPr>
            <w:r>
              <w:rPr>
                <w:rFonts w:ascii="Arial" w:cs="Arial" w:eastAsia="Arial" w:hAnsi="Arial"/>
                <w:sz w:val="18"/>
                <w:szCs w:val="18"/>
                <w:color w:val="auto"/>
                <w:w w:val="93"/>
              </w:rPr>
              <w:t>Total income tax expense (benefit) on continuing operations for the years ended December 31 was allocated as follows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bottom w:val="single" w:sz="8" w:color="CCEEFF"/>
            </w:tcBorders>
          </w:tcPr>
          <w:p>
            <w:pPr>
              <w:spacing w:after="0"/>
              <w:rPr>
                <w:sz w:val="24"/>
                <w:szCs w:val="24"/>
                <w:color w:val="auto"/>
              </w:rPr>
            </w:pPr>
          </w:p>
        </w:tc>
        <w:tc>
          <w:tcPr>
            <w:tcW w:w="6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Tax expense (benefit) attributable to discontinued operations</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280"/>
              <w:spacing w:after="0"/>
              <w:rPr>
                <w:sz w:val="20"/>
                <w:szCs w:val="20"/>
                <w:color w:val="auto"/>
              </w:rPr>
            </w:pPr>
            <w:r>
              <w:rPr>
                <w:rFonts w:ascii="Arial" w:cs="Arial" w:eastAsia="Arial" w:hAnsi="Arial"/>
                <w:sz w:val="18"/>
                <w:szCs w:val="18"/>
                <w:color w:val="auto"/>
              </w:rPr>
              <w:t>Unrealized gains (loss) on investments and other financial instruments</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440" w:type="dxa"/>
            <w:vAlign w:val="bottom"/>
            <w:gridSpan w:val="3"/>
          </w:tcPr>
          <w:p>
            <w:pPr>
              <w:ind w:left="280"/>
              <w:spacing w:after="0"/>
              <w:rPr>
                <w:sz w:val="20"/>
                <w:szCs w:val="20"/>
                <w:color w:val="auto"/>
              </w:rPr>
            </w:pPr>
            <w:r>
              <w:rPr>
                <w:rFonts w:ascii="Arial" w:cs="Arial" w:eastAsia="Arial" w:hAnsi="Arial"/>
                <w:sz w:val="18"/>
                <w:szCs w:val="18"/>
                <w:color w:val="auto"/>
                <w:w w:val="95"/>
              </w:rPr>
              <w:t>Reclassification adjustment for change in unrealized gains and losses included in net earnings</w:t>
            </w: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Minimum pension liability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Total income tax expense (benefit) allocated to other comprehensive earnings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Additional paid-in capital, stock-based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Total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256.7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80" w:type="dxa"/>
            <w:vAlign w:val="bottom"/>
            <w:tcBorders>
              <w:bottom w:val="single" w:sz="8" w:color="CCEEFF"/>
            </w:tcBorders>
          </w:tcPr>
          <w:p>
            <w:pPr>
              <w:spacing w:after="0"/>
              <w:rPr>
                <w:sz w:val="22"/>
                <w:szCs w:val="22"/>
                <w:color w:val="auto"/>
              </w:rPr>
            </w:pPr>
          </w:p>
        </w:tc>
        <w:tc>
          <w:tcPr>
            <w:tcW w:w="6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00" w:type="dxa"/>
            <w:vAlign w:val="bottom"/>
          </w:tcPr>
          <w:p>
            <w:pPr>
              <w:spacing w:after="0"/>
              <w:rPr>
                <w:sz w:val="21"/>
                <w:szCs w:val="21"/>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Tax exempt interest income</w:t>
            </w:r>
          </w:p>
        </w:tc>
        <w:tc>
          <w:tcPr>
            <w:tcW w:w="2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Release of 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Nontaxable investment gains</w:t>
            </w:r>
          </w:p>
        </w:tc>
        <w:tc>
          <w:tcPr>
            <w:tcW w:w="2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2012 and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Pension plan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gross deferred tax asset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deferred tax asset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Title plant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deferred tax liability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net deferred tax liability was $122.6 million and $95.0 million at December 31, 2012, and 2011, respectively. The significant changes in the deferred taxes are as follows: The deferred tax liability relating to insurance reserves decreased $70.4 million due primarily to a reduction in the claim reserves established for statutory and tax purposes. The deferred tax asset relating to net operating loss carryforward increased by $64.3 million primarily due to the consolidation of Remy International and the acquisition of Digital Insurance offset by the utilization of prior year net operating losses of $20.0 million. The deferred tax asset relating to tax credits increased by $66.4 million primarily due to the consolidation of Remy and the acquisition of O'Charley's. The deferred tax liability relating to amortization of goodwill and intangible assets increased $186.7 million primarily due to the related increases from the purchases of Remy and Digital Insurance. The deferred tax liability for investment securities increased by $27.0 million due primarily to increased unrealized investment gains.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2012 we had a valuation allowance of $27.0 million, we had no valuation allowance in the year ended 2011.</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2012, we have net operating losses on a pretax basis of $233.1 million available to carryforward and offset future federal taxable income through 2027. The amount of capital losses available to carryforward has been reduced to zero as we expect to utilize all prior year capital losses generated in the 2012 tax return. We also have $66.4 million tax credits carryforward which will begin to expire in 2026.</w:t>
      </w:r>
    </w:p>
    <w:p>
      <w:pPr>
        <w:spacing w:after="0" w:line="6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Tax benefits of $31.0 million, $6.3 million, and $3.0 million associated with the exercise of employee stock options and the vesting of restricted stock grants were allocated to equity for the years ended December 31, 2012, 2011, and 2010, respectively.</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Income taxes have not been provided on the difference between the tax basis and the financial statement carrying amount for its investment in Remy because the reported amount of the investment can be recovered tax-free.</w:t>
      </w:r>
    </w:p>
    <w:p>
      <w:pPr>
        <w:spacing w:after="0" w:line="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2012 and 2011, we had approximately $10.0 million (including interest of $1.9 million) and $1.6 million (including interest of $0.6 million), respectively, of total gross unrecognized tax benefits that, if recognized, would favorably affect our income tax rate. These amounts are reported on a gross basis and do not reflect a federal tax benefit on state income taxes. The change in the balance from 2011 is due to the consolidation with Remy. As Remy is a less than 80% owned subsidiary, it is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consolidated with FNF for federal income tax filing purposes. We record interest and penalties related to income taxes as a component of income tax expense.</w:t>
      </w:r>
    </w:p>
    <w:p>
      <w:pPr>
        <w:spacing w:after="0" w:line="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Internal Revenue Service (“IRS”) has selected us to participate in the Compliance Assurance Program that is a real-time audit. During 2012, the IRS completed its examination of our consolidated tax returns for the tax years ended 2010 and 2011, which resulted in no additional tax. We are currently under audit by the Internal Revenue Service for the 2012 and 2013 tax years. We file income tax returns in various foreign and US state jurisdictions.</w:t>
      </w:r>
    </w:p>
    <w:p>
      <w:pPr>
        <w:spacing w:after="0" w:line="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Claim loss provision related to:</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title claim loss provision (1)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1,748.0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1,912.8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reserve for specialty insurance (2)</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 of claim loss reserves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1,912.8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2,270.1</w:t>
            </w: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the provision for title claim losses in the 2012 period is a $10.8 million impairment recorded on an asset previously recouped as part of a claim settlement.</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2011, we sold our at-risk insurance businesses, resulting in a decrease to the reserve for claim losses of $59.2 million. See Note A under "Discontinued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in claim development on policy years 2005 - 2008, we believe there is an increased level of uncertainty attributable to these policy years. If actual claims loss development is worse than currently expected and is not offset by other positive factors, it is reasonably possible that we may record additional reserve strengthening in future periods.</w:t>
      </w:r>
    </w:p>
    <w:p>
      <w:pPr>
        <w:spacing w:after="0" w:line="3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depart from customary litigation incidental to our insurance business.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and other matters.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$7.5 billion at December 31, 2012. As a result of holding these customers’ assets in escrow, we have ongoing programs for realizing economic benefits during the year through favorable borrowing and vendor arrangements with various banks. There were no investments or loans outstanding as of December 31, 2012 and 2011 related to these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153.4</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170.3</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353.9</w:t>
            </w:r>
          </w:p>
        </w:tc>
      </w:tr>
      <w:tr>
        <w:trPr>
          <w:trHeight w:val="27"/>
        </w:trPr>
        <w:tc>
          <w:tcPr>
            <w:tcW w:w="10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1,062.7</w:t>
            </w: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 expense incurred under operating leases during the years ended December 31, 2012, 2011 and 2010 was $159.3 million, $123.4 million, and $135.4 million, respectively. Rent expense in 2012, 2011, and 2010 includes abandoned lease charges related to office closures of $2.1 million, $1.4 million, and $11.7 million, respectively.</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29, 2004 we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lessor financed the acquisition of the facilities through funding provided by third-party financial institutions. On June 27, 2011, we renewed and amended the synthetic lease for the facilities. The amended lease provides for a five year term ending June 27, 2016 and had an outstanding balance as of December 31, 2012 of $71.3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spacing w:after="0" w:line="5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 Purchase Obligations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Restaurant Group has unconditional purchase obligations with various vendors. These purchase obligations are primarily food obligations with fixed commitments in regards to the time period of the contract with annual price adjustments that can fluctuate and a fixed beverage contract with an annual price adjustment. In situations where the price is based on market prices, we used the existing market prices at December 31, 2012 to determine the amount of the obligation.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obligations of the Restaurant Group as of December 31, 2012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commitments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Fidelity National Title Group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2012, the combined statutory unearned premium reserve required and reported for our title insurers was $1,777.7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2012, $1,997.1 million of our net assets are restricted from dividend payments without prior approval from the Departments of Insurance. During 2013, our title insurers can pay or make distributions to us of approximately $255.4 million, without prior approval.</w:t>
      </w:r>
    </w:p>
    <w:p>
      <w:pPr>
        <w:spacing w:after="0" w:line="5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$1,381.1 million and $894.7 million as of December 31, 2012 and 2011, respectively. The combined statutory net earnings (losses) of our title insurance subsidiaries were $272.9 million, $151.1 million, and $(46.6) million for the years ended December 31, 2012, 2011, and 2010, respectively.</w:t>
      </w:r>
    </w:p>
    <w:p>
      <w:pPr>
        <w:spacing w:after="0" w:line="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In 2012, this resulted in a difference of $222.1 million between our state prescribed accounting practice and NAIC SAP. Also, our title insurance underwriters received a permitted practice for the year ended December 31, 2012, to account for bulk reserves with IBNR instead of known claims reserves as required by NAIC SAP, in accordance with an exposure draft outstanding to change relevant NAIC SAP as of the date of these financial statements. As a result of the 2012 permitted practice, there was a difference of $(225.8) million between our state prescribed accounting practice and NAIC SAP. Statutory surplus at December 31, 2012 and 2011, respectively, was (higher) lower by approximately $(3.7) million and $255.1 million than if we had reported such amounts in accordance with NAIC SAP.</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2012.</w:t>
      </w:r>
    </w:p>
    <w:p>
      <w:pPr>
        <w:spacing w:after="0" w:line="3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w:t>
      </w:r>
    </w:p>
    <w:p>
      <w:pPr>
        <w:sectPr>
          <w:pgSz w:w="11900" w:h="16894" w:orient="portrait"/>
          <w:cols w:equalWidth="0" w:num="1">
            <w:col w:w="11420"/>
          </w:cols>
          <w:pgMar w:left="240" w:top="121" w:right="239" w:bottom="0" w:gutter="0" w:footer="0" w:header="0"/>
        </w:sectPr>
      </w:pPr>
    </w:p>
    <w:bookmarkStart w:id="92" w:name="page93"/>
    <w:bookmarkEnd w:id="92"/>
    <w:p>
      <w:pPr>
        <w:jc w:val="both"/>
        <w:spacing w:after="0" w:line="264" w:lineRule="auto"/>
        <w:rPr>
          <w:sz w:val="20"/>
          <w:szCs w:val="20"/>
          <w:color w:val="auto"/>
        </w:rPr>
      </w:pPr>
      <w:r>
        <w:rPr>
          <w:rFonts w:ascii="Arial" w:cs="Arial" w:eastAsia="Arial" w:hAnsi="Arial"/>
          <w:sz w:val="18"/>
          <w:szCs w:val="18"/>
          <w:color w:val="auto"/>
        </w:rPr>
        <w:t>for Fidelity National Title Company of California, $3.0 million for Chicago Title Company, and $0.4 million for Ticor Title Company of California, Commonwealth Land Title Company, and Lawyers Title Company. These underwritten title companies are in compliance with all of their respective minimum net worth requirements at December 31, 2012.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restrictions on our retained earnings regarding our ability to pay dividends to shareholders.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21, 2009, the Board of Directors approved a three-year stock repurchase program under which we can repurchase up to 15 million shares of our common stock through July 31, 2012. On January 27, 2011, our Board of Directors approved an additional 5 million shares that may be repurchased under the program. We may make repurchases from time to time in the open market, in block purchases or in privately negotiated transactions, depending on market conditions and other factors. In the year ended December 31, 2012, we repurchased a total of 1,150,000 shares for $21.7 million, or an average of $18.87 per share. This program expired July 31, 2012, and we repurchased a total of 16,528,512 shares for $243.4 million, or an average of $14.73 per share under this program.</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2012, we repurchased a total of 680,000 shares for $15.9 million, or an average of $23.38 per share under this program. Subsequent to year-end we repurchased a total of 80,000 shares for $2.0 million, or an average of $25.00 per share through market close on February 25, 2013. Since the original commencement of the plan adopted July 21, 2012, we have repurchased a total of 760,000 shares for $17.9 million, or an average of $23.55 per share, and there are 14,240,000 shares available to be repurchased under this program.</w:t>
      </w:r>
    </w:p>
    <w:p>
      <w:pPr>
        <w:spacing w:after="0" w:line="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2012,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$13.8 million, $12.6 million, and $11.9 million to the ESPPs in the years ended December 31, 2012, 2011, and 2010, respectively, in accordance with the employer’s matching contribution.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three-year period ended December 31, 2012, we have offered our employees the opportunity to participate in 401(k) profit sharing plans (the “401(k) Plans”), qualified voluntary contributory savings plans which are available to substantially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3" w:name="page94"/>
    <w:bookmarkEnd w:id="9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all of our employees. Eligible employees may contribute up to 40% of their pretax annual compensation, up to the amount allowed pursuant to the Internal Revenue Code. There was no employer match for the years ended December 31, 2011 and 2010. Beginning in 2012, we initiated an employer match on the 401(k) plan whereby we matched $0.25 on each $1.00 contributed up to the first 6% of eligible earnings contributed to the Plan. The employer match for the year ended December 31, 2012 was $11.0 million and this was credited to the FNF Stock Fund in the FNF 401(k) Plan. </w:t>
      </w:r>
      <w:r>
        <w:rPr>
          <w:rFonts w:ascii="Arial" w:cs="Arial" w:eastAsia="Arial" w:hAnsi="Arial"/>
          <w:sz w:val="16"/>
          <w:szCs w:val="16"/>
          <w:b w:val="1"/>
          <w:bCs w:val="1"/>
          <w:i w:val="1"/>
          <w:iCs w:val="1"/>
          <w:color w:val="auto"/>
        </w:rPr>
        <w:t>Stock Option Plans</w:t>
      </w:r>
    </w:p>
    <w:p>
      <w:pPr>
        <w:spacing w:after="0" w:line="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2005, we established the FNT 2005 Omnibus Incentive Plan (the “Omnibus Plan”) authorizing the issuance of up to 8.0 million shares of common stock, subject to the terms of the Omnibus Plan. On October 23, 2006, the stockholders of FNF approved an amendment to increase the number of shares available for issuance under the Omnibus Plan by 15.5 million shares. The increase was in part to provide capacity for options and restricted stock to be issued to replace Old FNF options and restricted stock. On May 29, 2008, the stockholders of FNF approved an amendment to increase the number of shares for issuance under the Omnibus Plan by 11.0 million shares. The primary purpose of the increase was to assure that we had adequate means to provide equity incentive compensation to our employees on a going-forward basis. On May 25, 2011, the stockholders of FNF approved an amendment to increase the number of shares for issuance under the Omnibus Plan by 5.9 million shares.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2012, there were 2,924,738 shares of restricted stock and 8,967,074 stock options outstanding under this plan. Awards granted are determined and approved by the Compensation Committee of the Board of Directors. Options vest over a 3 to 4 year period, and the exercise price for options granted equals the market price of the underlying stock on the grant date. Stock option grants of 769,693 shares, 25,000 shares, and 150,000 shares were made to various employees and directors in 2012, 2011, and 2010, respectively, and vest according to certain time based and operating performance criteria. Stock option transactions under the Omnibus Plan for 2010, 2011, and 2012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23,238,646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14,119,807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(628,117)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21,826,954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16,241,130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(150,999)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20,632,021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18,704,618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769,693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(76,166)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8,967,074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8,147,381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4" w:name="page95"/>
    <w:bookmarkEnd w:id="9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transactions under the Omnibus Plan in 2010, 2011, and 2012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2009</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1,968,540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2010</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2,666,901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Pr>
          <w:p>
            <w:pPr>
              <w:jc w:val="right"/>
              <w:spacing w:after="0"/>
              <w:rPr>
                <w:sz w:val="20"/>
                <w:szCs w:val="20"/>
                <w:color w:val="auto"/>
              </w:rPr>
            </w:pPr>
            <w:r>
              <w:rPr>
                <w:rFonts w:ascii="Arial" w:cs="Arial" w:eastAsia="Arial" w:hAnsi="Arial"/>
                <w:sz w:val="18"/>
                <w:szCs w:val="18"/>
                <w:color w:val="auto"/>
              </w:rPr>
              <w:t>(46,433)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(1,253,058)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2011</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3,012,656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(1,402,300)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2,924,738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5"/>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Intrinsic</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$7.09</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1,729,339</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1,729,339</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$7.10 — $13.64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2,297,914</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2,297,914</w:t>
            </w:r>
          </w:p>
        </w:tc>
        <w:tc>
          <w:tcPr>
            <w:tcW w:w="1120" w:type="dxa"/>
            <w:vAlign w:val="bottom"/>
            <w:gridSpan w:val="2"/>
          </w:tcPr>
          <w:p>
            <w:pPr>
              <w:jc w:val="right"/>
              <w:ind w:right="5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$13.65 — $14.06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845,249</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811,916</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$14.07 — $17.67</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379,353</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362,686</w:t>
            </w:r>
          </w:p>
        </w:tc>
        <w:tc>
          <w:tcPr>
            <w:tcW w:w="1120" w:type="dxa"/>
            <w:vAlign w:val="bottom"/>
            <w:gridSpan w:val="2"/>
          </w:tcPr>
          <w:p>
            <w:pPr>
              <w:jc w:val="right"/>
              <w:ind w:right="57"/>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$17.68 — $20.92</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105,526</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105,526</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$20.93 — $22.22</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1,421,000</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1,421,000</w:t>
            </w:r>
          </w:p>
        </w:tc>
        <w:tc>
          <w:tcPr>
            <w:tcW w:w="1120" w:type="dxa"/>
            <w:vAlign w:val="bottom"/>
            <w:gridSpan w:val="2"/>
          </w:tcPr>
          <w:p>
            <w:pPr>
              <w:jc w:val="right"/>
              <w:ind w:right="57"/>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$22.23 — $23.44</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2,188,693</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1,419,000</w:t>
            </w:r>
          </w:p>
        </w:tc>
        <w:tc>
          <w:tcPr>
            <w:tcW w:w="11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8,967,074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8,147,381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64.1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stock-based compensation plans in accordance with the FASB standard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reflects stock-based compensation expense amounts of $27.5 million, $26.6 million, and $25.1 million, for the years ended December 31, 2012, 2011, and 2010, respectively, which are included in personnel costs in the reported financial results of each period.</w:t>
      </w:r>
    </w:p>
    <w:p>
      <w:pPr>
        <w:spacing w:after="0" w:line="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risk free interest rates used in the calculation of compensation cost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2012, 2011, and 2010, we used risk free interest rates of 0.6%, 1.0%, and 2.0%, respectively; volatility factors for the expected market price of the common stock of 50%, 53%, and 57%, respectively; expected dividend yields of 2.8%, 3.1%, and 5.0%, respectively; and weighted average expected lives of 4.6 years, 4.7 years, and 4.4 years, respectively. The weighted average fair value of each option granted in the years ended December 31, 2012, 2011, and 2010, were $7.58, $5.56, and $4.57, respectively.</w:t>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5" w:name="page96"/>
    <w:bookmarkEnd w:id="9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2012, the total unrecognized compensation cost related to non-vested stock option grants and restricted stock grants is $55.7 million, which is expected to be recognized in pre-tax income over a weighted average period of 1.71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the FASB standard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pension liability included in Accounts payable and other accrued liabilities as of December 31, 2012, and 2011 was $23.0 million and $36.0 million, respectively. The discount rate used to determine the benefit obligation as of the years ending December 31, 2012 and 2011 was 3.24% and 3.98%, respectively. As of the years ending December 31, 2012 and 2011 the projected benefit obligation was $184.9 million and $178.3 million, respectively, and the fair value of plan assets was $161.9 million and $142.3 million, respectively. The net periodic expense included in the results of operations relating to these plans was $9.9 million, $9.3 million, and $7.4 million for the years ending December 31, 2012, 2011, and 2010, respectively.</w:t>
      </w:r>
    </w:p>
    <w:p>
      <w:pPr>
        <w:spacing w:after="0" w:line="3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Remy sponsors multiple defined benefit pension plans that cover a significant portion of their U.S. employees and certain U.K. employees. The plans for U.S. employees were frozen in 2006. The net pension liability for Remy included in Accounts payable and other accrued liabilities as of December 31, 2012 was $32.2 million. The discount rate used to determine the benefit obligation as of the year ending December 31, 2012 as 3.85% for the U.S. plan and 4.10% for the U.K. plan. As of the year ending December 31, 2012 the projected benefit obligation was $79.5 million and the fair value of plan assets was $47.3 million. The net periodic expense included in the results of operations relating to these plans was $33.7 million for the year ending December 31,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and Lawyers, as well as United Capital 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$24.4 million and $26.4 million at December 31, 2012 and 2011, respectively. The net costs (benefit) included in the results of operations relating to these plans were $0.9 million, $(0.1) million, and $(1.3) million for the years ending December 31, 2012, 2011, and 2010,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6" w:name="page97"/>
    <w:bookmarkEnd w:id="9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w:t>
            </w:r>
          </w:p>
        </w:tc>
      </w:tr>
      <w:tr>
        <w:trPr>
          <w:trHeight w:val="250"/>
        </w:trPr>
        <w:tc>
          <w:tcPr>
            <w:tcW w:w="7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during the year:</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41.5</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 in connection with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Fair value of assets acquired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1,115.9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16.7</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Total purchase price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Fidelity National Title Group</w:t>
      </w:r>
    </w:p>
    <w:p>
      <w:pPr>
        <w:spacing w:after="0" w:line="9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10220" w:type="dxa"/>
            <w:vAlign w:val="bottom"/>
            <w:gridSpan w:val="6"/>
          </w:tcPr>
          <w:p>
            <w:pPr>
              <w:ind w:left="340"/>
              <w:spacing w:after="0"/>
              <w:rPr>
                <w:sz w:val="20"/>
                <w:szCs w:val="20"/>
                <w:color w:val="auto"/>
              </w:rPr>
            </w:pPr>
            <w:r>
              <w:rPr>
                <w:rFonts w:ascii="Arial" w:cs="Arial" w:eastAsia="Arial" w:hAnsi="Arial"/>
                <w:sz w:val="18"/>
                <w:szCs w:val="18"/>
                <w:color w:val="auto"/>
                <w:w w:val="92"/>
              </w:rPr>
              <w:t>Remy generates revenue in multiple geographic locations. Revenues are attributed to geographic locations based on the point of sale.</w:t>
            </w:r>
          </w:p>
        </w:tc>
        <w:tc>
          <w:tcPr>
            <w:tcW w:w="1200" w:type="dxa"/>
            <w:vAlign w:val="bottom"/>
          </w:tcPr>
          <w:p>
            <w:pPr>
              <w:spacing w:after="0"/>
              <w:rPr>
                <w:sz w:val="24"/>
                <w:szCs w:val="24"/>
                <w:color w:val="auto"/>
              </w:rPr>
            </w:pPr>
          </w:p>
        </w:tc>
      </w:tr>
      <w:tr>
        <w:trPr>
          <w:trHeight w:val="432"/>
        </w:trPr>
        <w:tc>
          <w:tcPr>
            <w:tcW w:w="7600" w:type="dxa"/>
            <w:vAlign w:val="bottom"/>
          </w:tcPr>
          <w:p>
            <w:pPr>
              <w:ind w:left="340"/>
              <w:spacing w:after="0"/>
              <w:rPr>
                <w:sz w:val="20"/>
                <w:szCs w:val="20"/>
                <w:color w:val="auto"/>
              </w:rPr>
            </w:pPr>
            <w:r>
              <w:rPr>
                <w:rFonts w:ascii="Arial" w:cs="Arial" w:eastAsia="Arial" w:hAnsi="Arial"/>
                <w:sz w:val="18"/>
                <w:szCs w:val="18"/>
                <w:color w:val="auto"/>
              </w:rPr>
              <w:t>Information about our Auto parts revenue in our Remy segment by region was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2"/>
        </w:trPr>
        <w:tc>
          <w:tcPr>
            <w:tcW w:w="76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Brazil</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Canada</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7" w:name="page98"/>
    <w:bookmarkEnd w:id="97"/>
    <w:p>
      <w:pPr>
        <w:spacing w:after="0" w:line="6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Financial instruments at Remy, which potentially subject us to concentrations of credit risk, consist primarily of accounts receivable and cash investments. We require placement of cash in financial institutions evaluated as highly creditworthy. The Remy customer base includes global light and commercial vehicle manufacturers and a large number of retailers, distributors and installers of automotive aftermarket parts. Remy's credit evaluation process and the geographical dispersion of sales transactions help to mitigate credit risk concentration. Remy conducts a significant amount of business with General Motors Corporation (“GM”), another large original equipment manufacturer and three large automotive parts retailers. Auto parts revenue from these customers in the aggregate represented 50.1% for the year ended December 31, 2012. GM represents Remy's largest customer and accounted for approximately 20.7% of Auto parts revenue for the year ended December 31, 2012.</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Summarized financial information concerning our reportable segments is shown in the following tables. As a result of the close on the sale of the flood insurance business in October 2011 and the close on the sale of our at-risk insurance business in May 2012, we reorganized our reporting segments to reflect the disposition of these businesses and the realignment of the remaining at-risk businesses. As a result of combining O'Charley's with our investment in ABRH, which increased our ownership of ABRH to 55%, we have consolidated the operations of ABRH, including the O'Charley's group of companies, and added the Restaurant group reporting segment. Restaurant group results include the results of operations of O'Charley's beginning April 9, 2012 and ABRH beginning May 11, 2012. As a result of our increase in ownership of Remy to 51% in August 2012, we have consolidated the operations of Remy and added the Remy reporting segment. Remy results include the results of operations of Remy beginning August 14, 2012. Prior period segment information has been restated to conform to the current segment presentation.</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Fidelity National</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Remy</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6,870.9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Interest and investment income (loss), including realized gains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7,201.7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(loss) from continuing operations, before income taxes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(loss) from continuing operations, before equity in earnings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504.2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1,908.5</w:t>
            </w:r>
          </w:p>
        </w:tc>
        <w:tc>
          <w:tcPr>
            <w:tcW w:w="0" w:type="dxa"/>
            <w:vAlign w:val="bottom"/>
          </w:tcPr>
          <w:p>
            <w:pPr>
              <w:spacing w:after="0"/>
              <w:rPr>
                <w:sz w:val="1"/>
                <w:szCs w:val="1"/>
                <w:color w:val="auto"/>
              </w:rPr>
            </w:pPr>
          </w:p>
        </w:tc>
      </w:tr>
      <w:tr>
        <w:trPr>
          <w:trHeight w:val="459"/>
        </w:trPr>
        <w:tc>
          <w:tcPr>
            <w:tcW w:w="5160" w:type="dxa"/>
            <w:vAlign w:val="bottom"/>
          </w:tcPr>
          <w:p>
            <w:pPr>
              <w:ind w:left="340"/>
              <w:spacing w:after="0"/>
              <w:rPr>
                <w:sz w:val="20"/>
                <w:szCs w:val="20"/>
                <w:color w:val="auto"/>
              </w:rPr>
            </w:pPr>
            <w:r>
              <w:rPr>
                <w:rFonts w:ascii="Arial" w:cs="Arial" w:eastAsia="Arial" w:hAnsi="Arial"/>
                <w:sz w:val="18"/>
                <w:szCs w:val="18"/>
                <w:color w:val="auto"/>
              </w:rPr>
              <w:t>As of and for the year ended December 31, 2011: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Fidelity National</w:t>
            </w:r>
          </w:p>
        </w:tc>
        <w:tc>
          <w:tcPr>
            <w:tcW w:w="240" w:type="dxa"/>
            <w:vAlign w:val="bottom"/>
          </w:tcPr>
          <w:p>
            <w:pPr>
              <w:spacing w:after="0"/>
              <w:rPr>
                <w:sz w:val="24"/>
                <w:szCs w:val="2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Remy</w:t>
            </w: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4"/>
                <w:szCs w:val="2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4"/>
              </w:rPr>
              <w:t>Interest and investment income, including realized gains and losses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(loss) from continuing operations, before income taxes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(loss) from continuing operations, before equity in earnings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30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290.1</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1,432.6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1,452.2</w:t>
            </w: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9" w:name="page100"/>
    <w:bookmarkEnd w:id="9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Fidelity National</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Remy</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1,344.6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4"/>
              </w:rPr>
              <w:t>Interest and investment income, including realized gains and losses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from continuing operations, before income taxes and equity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 earnings (loss) 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3"/>
              </w:rPr>
              <w:t>Earnings from continuing operations, before equity in earnings (loss)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of unconsolidated affiliates</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6"/>
              </w:rPr>
              <w:t>The activities of the reportable segments include the following: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Remy</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Bakers Square, and Stoney River Legendary Steaks concepts. This segment also includes the recently acquired J. Alexander's.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2012, the Financial Accounting Standards Board ("FASB") updated Accounting Standards Codification ("ASC") Topic 350, to allow an entity to utilize qualitative factors to determine if events and circumstances exist which will lead to a determination that the fair value of an indefinite-lived intangible asset is greater than its carrying amount, prior to performing a full fair-value assessment. This update is effective for interim and annual periods beginning after September 15, 2012, with early adoption permitted. We elected to adopt this update in the third quarter of 2012 and the update did not have a material impact on our financial condition or results of operations.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100" w:name="page101"/>
    <w:bookmarkEnd w:id="10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December 2011, the FASB issued ASU No. 2011-11 which updated ASC Topic 210, Disclosures about Offsetting Assets and Liabilities, which requires an entity to disclose information about offsetting and related arrangements to enable users of its financial statements to understand the effect of those arrangements on its financial position. ASU No. 2011-11 is effective for annual reporting periods beginning on or after January 1, 2013 and interim periods within those annual periods. The adoption of ASU No. 2011-11 is expected to increase our disclosures regarding our Remy segment, but is not expected to have an impact on our consolidated financial position, results of operations or cash flows.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2012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under this framework, our management concluded that our internal control over financial reporting was effective as of December 31, 2012. The effectiveness of our internal control over financial reporting as of December 31, 2012 has been audited by KPMG LLP, an independent registered public accounting firm, as stated in their report which is included herein.</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Management’s assessment of the effectiveness of our internal control over financial reporting as of December 31, 2012 excluded Remy International Inc. ("Remy"), acquired during the third quarter of 2012. The total assets of $1.3 billion and total revenue post-acquisition of $497.0 million of Remy represent 12.8% of our consolidated total assets and 6.9% of our consolidated total revenue as of and for the year ended December 31, 2012. Registrants are permitted to exclude acquisitions from their assessment of internal control over financial reporting during the first year if, among other circumstances and factors, there is not adequate time between the consummation date of the acquisition and the assessment date for assessing internal controls.</w:t>
      </w:r>
    </w:p>
    <w:p>
      <w:pPr>
        <w:spacing w:after="0" w:line="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jc w:val="both"/>
        <w:ind w:firstLine="369"/>
        <w:spacing w:after="0" w:line="308" w:lineRule="auto"/>
        <w:rPr>
          <w:sz w:val="20"/>
          <w:szCs w:val="20"/>
          <w:color w:val="auto"/>
        </w:rPr>
      </w:pPr>
      <w:r>
        <w:rPr>
          <w:rFonts w:ascii="Arial" w:cs="Arial" w:eastAsia="Arial" w:hAnsi="Arial"/>
          <w:sz w:val="17"/>
          <w:szCs w:val="17"/>
          <w:color w:val="auto"/>
        </w:rPr>
        <w:t>Within 120 days after the close of our fiscal year, we intend to file with the Securities and Exchange Commission a definitive proxy statement pursuant to Regulation 14A of the Securities Exchange Act of 1934 as amended, which will include the matters required by these items.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80" w:type="dxa"/>
            <w:vAlign w:val="bottom"/>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 on Effectiveness of Internal Control over Financial Reporting</w:t>
              </w:r>
            </w:hyperlink>
          </w:p>
        </w:tc>
        <w:tc>
          <w:tcPr>
            <w:tcW w:w="2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8680" w:type="dxa"/>
            <w:vAlign w:val="bottom"/>
            <w:gridSpan w:val="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Report of Independent Registered Public Accounting Firm on Financial Statements</w:t>
              </w:r>
            </w:hyperlink>
          </w:p>
        </w:tc>
        <w:tc>
          <w:tcPr>
            <w:tcW w:w="2400" w:type="dxa"/>
            <w:vAlign w:val="bottom"/>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640" w:type="dxa"/>
            <w:vAlign w:val="bottom"/>
            <w:gridSpan w:val="2"/>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Consolidated Balance Sheets as of December 31, 2012 and 2011</w:t>
              </w:r>
            </w:hyperlink>
          </w:p>
        </w:tc>
        <w:tc>
          <w:tcPr>
            <w:tcW w:w="1340" w:type="dxa"/>
            <w:vAlign w:val="bottom"/>
          </w:tcPr>
          <w:p>
            <w:pPr>
              <w:spacing w:after="0"/>
              <w:rPr>
                <w:sz w:val="21"/>
                <w:szCs w:val="21"/>
                <w:color w:val="auto"/>
              </w:rPr>
            </w:pPr>
          </w:p>
        </w:tc>
        <w:tc>
          <w:tcPr>
            <w:tcW w:w="5100" w:type="dxa"/>
            <w:vAlign w:val="bottom"/>
            <w:gridSpan w:val="6"/>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700" w:type="dxa"/>
            <w:vAlign w:val="bottom"/>
            <w:gridSpan w:val="5"/>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Earnings for the years ended December 31, 2012, 2011 and 2010</w:t>
              </w:r>
            </w:hyperlink>
          </w:p>
        </w:tc>
        <w:tc>
          <w:tcPr>
            <w:tcW w:w="4380" w:type="dxa"/>
            <w:vAlign w:val="bottom"/>
            <w:gridSpan w:val="4"/>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1080" w:type="dxa"/>
            <w:vAlign w:val="bottom"/>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Comprehensive Earnings for the years ended December 31, 2012, 2011 and 2010</w:t>
              </w:r>
            </w:hyperlink>
          </w:p>
        </w:tc>
        <w:tc>
          <w:tcPr>
            <w:tcW w:w="280" w:type="dxa"/>
            <w:vAlign w:val="bottom"/>
            <w:gridSpan w:val="2"/>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540" w:type="dxa"/>
            <w:vAlign w:val="bottom"/>
            <w:gridSpan w:val="4"/>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Consolidated Statements of Equity for the years ended December 31, 2012, 2011 and 2010</w:t>
              </w:r>
            </w:hyperlink>
          </w:p>
        </w:tc>
        <w:tc>
          <w:tcPr>
            <w:tcW w:w="1320" w:type="dxa"/>
            <w:vAlign w:val="bottom"/>
            <w:gridSpan w:val="3"/>
          </w:tcPr>
          <w:p>
            <w:pPr>
              <w:spacing w:after="0"/>
              <w:rPr>
                <w:sz w:val="21"/>
                <w:szCs w:val="21"/>
                <w:color w:val="auto"/>
              </w:rPr>
            </w:pPr>
          </w:p>
        </w:tc>
        <w:tc>
          <w:tcPr>
            <w:tcW w:w="322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FF"/>
                <w:w w:val="88"/>
              </w:rPr>
            </w:pPr>
            <w:hyperlink w:anchor="page59">
              <w:r>
                <w:rPr>
                  <w:rFonts w:ascii="Arial" w:cs="Arial" w:eastAsia="Arial" w:hAnsi="Arial"/>
                  <w:sz w:val="18"/>
                  <w:szCs w:val="18"/>
                  <w:color w:val="0000FF"/>
                  <w:w w:val="88"/>
                </w:rPr>
                <w:t>Consolidated Statements of Cash Flows for the years ended December 31, 2012, 2011 and 2010</w:t>
              </w:r>
            </w:hyperlink>
          </w:p>
        </w:tc>
        <w:tc>
          <w:tcPr>
            <w:tcW w:w="4180" w:type="dxa"/>
            <w:vAlign w:val="bottom"/>
            <w:gridSpan w:val="3"/>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Notes to Consolidated Financial Statements</w:t>
              </w:r>
            </w:hyperlink>
          </w:p>
        </w:tc>
        <w:tc>
          <w:tcPr>
            <w:tcW w:w="4180" w:type="dxa"/>
            <w:vAlign w:val="bottom"/>
            <w:gridSpan w:val="3"/>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45"/>
        </w:trPr>
        <w:tc>
          <w:tcPr>
            <w:tcW w:w="11080" w:type="dxa"/>
            <w:vAlign w:val="bottom"/>
            <w:gridSpan w:val="9"/>
          </w:tcPr>
          <w:p>
            <w:pPr>
              <w:ind w:left="300"/>
              <w:spacing w:after="0"/>
              <w:rPr>
                <w:sz w:val="20"/>
                <w:szCs w:val="20"/>
                <w:color w:val="auto"/>
              </w:rPr>
            </w:pPr>
            <w:r>
              <w:rPr>
                <w:rFonts w:ascii="Arial" w:cs="Arial" w:eastAsia="Arial" w:hAnsi="Arial"/>
                <w:sz w:val="18"/>
                <w:szCs w:val="18"/>
                <w:color w:val="auto"/>
                <w:w w:val="95"/>
              </w:rPr>
              <w:t xml:space="preserve">(a) (2) </w:t>
            </w:r>
            <w:r>
              <w:rPr>
                <w:rFonts w:ascii="Arial" w:cs="Arial" w:eastAsia="Arial" w:hAnsi="Arial"/>
                <w:sz w:val="18"/>
                <w:szCs w:val="18"/>
                <w:i w:val="1"/>
                <w:iCs w:val="1"/>
                <w:color w:val="auto"/>
                <w:w w:val="95"/>
              </w:rPr>
              <w:t>Financial Statement Schedules.</w:t>
            </w:r>
            <w:r>
              <w:rPr>
                <w:rFonts w:ascii="Arial" w:cs="Arial" w:eastAsia="Arial" w:hAnsi="Arial"/>
                <w:sz w:val="18"/>
                <w:szCs w:val="18"/>
                <w:color w:val="auto"/>
                <w:w w:val="95"/>
              </w:rPr>
              <w:t xml:space="preserve">  The following is a list of financial statement schedules filed as part of this annual report on Form 10-K: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103</w:t>
              </w:r>
            </w:hyperlink>
          </w:p>
        </w:tc>
      </w:tr>
      <w:tr>
        <w:trPr>
          <w:trHeight w:val="250"/>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107</w:t>
              </w:r>
            </w:hyperlink>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51" w:lineRule="exact"/>
        <w:rPr>
          <w:sz w:val="20"/>
          <w:szCs w:val="20"/>
          <w:color w:val="auto"/>
        </w:rPr>
      </w:pPr>
    </w:p>
    <w:p>
      <w:pPr>
        <w:ind w:left="5620" w:right="3920" w:hanging="5612"/>
        <w:spacing w:after="0" w:line="810"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(3) The following exhibits are incorporated by reference or are set forth on pages to this Form 10-K: 97</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September 18, 2006 (incorporated by reference to Annex A to the Registrant’s Schedule 14C filed on September 19, 2006 (the “Information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Form of Amended and Restated Certificate of Incorporation of the Registrant (incorporated by reference to Exhibit 3.1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S-3 filed June 3,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Bylaws of the Registrant, as adopted on September 26, 2005 (incorporated by reference to Exhibit 3.2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Quarterly Report on Form 10-Q for the quarter ended September 30, 2005)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Indenture between the Registrant and The Bank of New York Trust Company, N.A., dated December 8, 2005, relating to the 5.25% notes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referred to below (incorporated by reference to Exhibit 4.1 to the Registrant’s Annual Report on Form 10-K for the year ended December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2005)</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of May 5, 2010, relating to the 6.60% notes referred to below (incorporated by reference to Exhibit 4.1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May 5, 2010)</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5.25% note due March 15, 2013 (incorporated by reference to Exhibit 4.7 to the Registrant’s Registration Statement on Form S-4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on October 28, 2005)</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4.25% Convertible Note due August 2018 (incorporated by reference to Exhibit 4.5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the Registrant’s Common Stock Certificate (incorporated by reference to Exhibit 4.5 to the Registrant’s Annual Report on Form 10-K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 the year ended December 31, 2006 (the “2006 Annual Report”)</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and Restatement Agreement dated as of April 16, 2012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certain agents and other lenders party thereto, dated as of September 12, 2006 (incorporated by reference to Exhibit 10.1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on April 19, 2012)</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Amendment and Restatement Agreement dated as of March 5, 2010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certain agents and other lenders party thereto (incorporated by reference to Exhibit 10.1 to the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Annex A to the Registrant’s Schedule 14A filed on April 11, 2011)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Fidelity National Title Group, Inc. Employee Stock Purchase Plan, effective as of September 26, 2005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10.50 to the Registrant’s Quarterly Report on Form 10-Q for the quarter ended September 30, 2005)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2005 Omnibus Incentive Plan (incorporated by reference to Exhibit 10.5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2005 Omnibus Incentive Plan for October 2012 awards.(1)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2005 Omnibus Incentive Plan for October 2011 awards (incorporated by reference to Exhibit 10.6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2011)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2005 Omnibus Incentive Plan for November 2010 awards (incorporated by reference to Exhibit 10.7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2005 Omnibus Incentive Plan for November 2009 awards (incorporated by reference to Exhibit 10.6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2009) (1)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125"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Omnibus Incentive Plan</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George P. Scanlon, effective as of November 1,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 to the Registrant's Quarterly Report on Form 10-Q for the period ended September 30,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July 1, 2012 to Amended and Restated Employment Agreement between the Registrant and Brent B. Bickett, effective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of July 2, 2008. (incorporated by reference to Registrant’s Current Report on Form 8-K filed on July 3,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William P. Foley, II,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effective as of July 2, 2008 (incorporated by reference to Exhibit 10.17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William P. Foley, II, effective as of July 2, 2008(1)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10.14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Amended and Restated Employment Agreement between the Registrant and Michael L. Gravelle, effective as of January 30,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11, 2011)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Peter T. Sadowski, effective as of February 4,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Annex B to the Registrant's Schedule 14A filed on April 11, 2011)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Annex B to the Registrant's Schedule 14A filed on April 11, 2011)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ind w:left="4780"/>
              <w:spacing w:after="0"/>
              <w:rPr>
                <w:sz w:val="20"/>
                <w:szCs w:val="20"/>
                <w:color w:val="auto"/>
              </w:rPr>
            </w:pPr>
            <w:r>
              <w:rPr>
                <w:rFonts w:ascii="Arial" w:cs="Arial" w:eastAsia="Arial" w:hAnsi="Arial"/>
                <w:sz w:val="18"/>
                <w:szCs w:val="18"/>
                <w:color w:val="auto"/>
                <w:w w:val="89"/>
              </w:rPr>
              <w:t>99</w:t>
            </w:r>
          </w:p>
        </w:tc>
        <w:tc>
          <w:tcPr>
            <w:tcW w:w="7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100</w:t>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8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63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George P. Scanlon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3"/>
              </w:rPr>
              <w:t>Chief Executive Officer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George P. Scanlon</w:t>
            </w:r>
          </w:p>
        </w:tc>
        <w:tc>
          <w:tcPr>
            <w:tcW w:w="5180" w:type="dxa"/>
            <w:vAlign w:val="bottom"/>
            <w:gridSpan w:val="3"/>
          </w:tcPr>
          <w:p>
            <w:pPr>
              <w:jc w:val="center"/>
              <w:ind w:left="231"/>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80" w:type="dxa"/>
            <w:vAlign w:val="bottom"/>
            <w:gridSpan w:val="3"/>
          </w:tcPr>
          <w:p>
            <w:pPr>
              <w:jc w:val="center"/>
              <w:ind w:left="231"/>
              <w:spacing w:after="0"/>
              <w:rPr>
                <w:sz w:val="20"/>
                <w:szCs w:val="20"/>
                <w:color w:val="auto"/>
              </w:rPr>
            </w:pPr>
            <w:r>
              <w:rPr>
                <w:rFonts w:ascii="Arial" w:cs="Arial" w:eastAsia="Arial" w:hAnsi="Arial"/>
                <w:sz w:val="18"/>
                <w:szCs w:val="18"/>
                <w:color w:val="auto"/>
                <w:w w:val="93"/>
              </w:rPr>
              <w:t>(Principal Financial and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 and Executive Chairman of the Board</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General William Lyon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General William Lyon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Frank P. Willey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26, 2013</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1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date of February 26, 2013, we reported on the Consolidated Balance Sheets of Fidelity National Financial, Inc. and subsidiaries as of December 31, 2012 and 2011, and the related Consolidated Statements of Earnings, Comprehensive Earnings, Equity and Cash Flows for each of the years in the three-year period ended December 31, 2012, as contained in the Annual Report on Form 10-K for the year 2012.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800" w:type="dxa"/>
            <w:vAlign w:val="bottom"/>
          </w:tcPr>
          <w:p>
            <w:pPr>
              <w:jc w:val="center"/>
              <w:ind w:left="2550"/>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tcPr>
          <w:p>
            <w:pPr>
              <w:jc w:val="center"/>
              <w:ind w:left="2530"/>
              <w:spacing w:after="0"/>
              <w:rPr>
                <w:sz w:val="20"/>
                <w:szCs w:val="20"/>
                <w:color w:val="auto"/>
              </w:rPr>
            </w:pPr>
            <w:r>
              <w:rPr>
                <w:rFonts w:ascii="Arial" w:cs="Arial" w:eastAsia="Arial" w:hAnsi="Arial"/>
                <w:sz w:val="18"/>
                <w:szCs w:val="18"/>
                <w:b w:val="1"/>
                <w:bCs w:val="1"/>
                <w:color w:val="auto"/>
                <w:w w:val="98"/>
              </w:rPr>
              <w:t>BALANCE SHEETS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5"/>
              </w:rPr>
              <w:t>(In millions,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1"/>
              </w:rPr>
              <w:t>except share data)</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1"/>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and amounts due from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6,011.8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4,702.2</w:t>
            </w:r>
          </w:p>
        </w:tc>
        <w:tc>
          <w:tcPr>
            <w:tcW w:w="0" w:type="dxa"/>
            <w:vAlign w:val="bottom"/>
          </w:tcPr>
          <w:p>
            <w:pPr>
              <w:spacing w:after="0"/>
              <w:rPr>
                <w:sz w:val="1"/>
                <w:szCs w:val="1"/>
                <w:color w:val="auto"/>
              </w:rPr>
            </w:pPr>
          </w:p>
        </w:tc>
      </w:tr>
      <w:tr>
        <w:trPr>
          <w:trHeight w:val="20"/>
        </w:trPr>
        <w:tc>
          <w:tcPr>
            <w:tcW w:w="8800" w:type="dxa"/>
            <w:vAlign w:val="bottom"/>
            <w:vMerge w:val="restart"/>
          </w:tcPr>
          <w:p>
            <w:pPr>
              <w:jc w:val="center"/>
              <w:ind w:left="253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payable and other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915.7</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4"/>
              </w:rPr>
              <w:t>Common stock, Class A, $0.0001 par value; authorized 600,000,000 shares at December 31, 2012 and 2011; issued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268,541,117, shares and 254,868,484 shares at December 31, 2012 and 2011, respectively</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3,798.6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Accumulated other comprehensive earnings (loss)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Less treasury stock, 39,995,513 shares and 34,190,969 shares at December 31, 2012 and 2011, respectively, at cost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equity of Fidelity National Financial, Inc. common shareholders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3,655.9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6,011.8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4,702.2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0"/>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0"/>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9"/>
              </w:rPr>
              <w:t>STATEMENTS OF OPERATIONS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before earnings attributable to noncontrolling interest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370.1</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basic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226.2</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diluted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rPr>
              <w:t>FIDELITY NATIONAL FINANCIAL, INC.</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1"/>
              </w:rPr>
              <w:t>(Parent Company)</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8"/>
              </w:rPr>
              <w:t>STATEMENTS OF CASH FLOWS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2"/>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379.1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375.6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on sales of investments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change in income taxes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(decrease) increase in accounts payable and other accrued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proceeds of investments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to notes receivable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additions to investments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(purchases) proceeds from short-term investing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proceeds from sales of property, equipment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Proceeds from the sale of Sedgwick CMS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Debt service payments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Make-whole call penalty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Purchases of treasury stock</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(payments) and dividends from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2011 presentation to conform to the classifications used in 2012.</w:t>
      </w:r>
    </w:p>
    <w:p>
      <w:pPr>
        <w:spacing w:after="0" w:line="4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9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279.5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236.4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Revolving Credit Facility, unsecured, unused portion of $800.0 at December 31, 2012, due April 2016 with interest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+ 1.45%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r>
      <w:tr>
        <w:trPr>
          <w:trHeight w:val="237"/>
        </w:trPr>
        <w:tc>
          <w:tcPr>
            <w:tcW w:w="9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915.7</w:t>
            </w:r>
          </w:p>
        </w:tc>
      </w:tr>
      <w:tr>
        <w:trPr>
          <w:trHeight w:val="27"/>
        </w:trPr>
        <w:tc>
          <w:tcPr>
            <w:tcW w:w="9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5"/>
        </w:trPr>
        <w:tc>
          <w:tcPr>
            <w:tcW w:w="8240" w:type="dxa"/>
            <w:vAlign w:val="bottom"/>
          </w:tcPr>
          <w:p>
            <w:pPr>
              <w:ind w:left="40"/>
              <w:spacing w:after="0"/>
              <w:rPr>
                <w:sz w:val="20"/>
                <w:szCs w:val="20"/>
                <w:color w:val="auto"/>
              </w:rPr>
            </w:pPr>
            <w:r>
              <w:rPr>
                <w:rFonts w:ascii="Arial" w:cs="Arial" w:eastAsia="Arial" w:hAnsi="Arial"/>
                <w:sz w:val="18"/>
                <w:szCs w:val="18"/>
                <w:color w:val="auto"/>
              </w:rPr>
              <w:t>Cash paid (received) during the year:</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Income tax payments (refunds)</w:t>
            </w:r>
          </w:p>
        </w:tc>
        <w:tc>
          <w:tcPr>
            <w:tcW w:w="2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108.6</w:t>
            </w:r>
          </w:p>
        </w:tc>
        <w:tc>
          <w:tcPr>
            <w:tcW w:w="3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33.8</w:t>
            </w:r>
          </w:p>
        </w:tc>
      </w:tr>
    </w:tbl>
    <w:p>
      <w:pPr>
        <w:spacing w:after="0" w:line="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$0.2 billion, $0.2 billion, and $0.3 billion during the years ended December 31, 2012, 2011, and 2010,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Column C</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Column B</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Additions</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Column E</w:t>
            </w:r>
          </w:p>
        </w:tc>
      </w:tr>
      <w:tr>
        <w:trPr>
          <w:trHeight w:val="264"/>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Charge to</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Balance at</w:t>
            </w:r>
          </w:p>
        </w:tc>
      </w:tr>
      <w:tr>
        <w:trPr>
          <w:trHeight w:val="216"/>
        </w:trPr>
        <w:tc>
          <w:tcPr>
            <w:tcW w:w="4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36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Costs and</w:t>
            </w:r>
          </w:p>
        </w:tc>
        <w:tc>
          <w:tcPr>
            <w:tcW w:w="720" w:type="dxa"/>
            <w:vAlign w:val="bottom"/>
          </w:tcPr>
          <w:p>
            <w:pPr>
              <w:spacing w:after="0"/>
              <w:rPr>
                <w:sz w:val="18"/>
                <w:szCs w:val="18"/>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8"/>
                <w:szCs w:val="18"/>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Deduction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Expenses</w:t>
            </w:r>
          </w:p>
        </w:tc>
        <w:tc>
          <w:tcPr>
            <w:tcW w:w="1820" w:type="dxa"/>
            <w:vAlign w:val="bottom"/>
            <w:gridSpan w:val="3"/>
          </w:tcPr>
          <w:p>
            <w:pPr>
              <w:jc w:val="center"/>
              <w:ind w:left="18"/>
              <w:spacing w:after="0"/>
              <w:rPr>
                <w:sz w:val="20"/>
                <w:szCs w:val="20"/>
                <w:color w:val="auto"/>
              </w:rPr>
            </w:pPr>
            <w:r>
              <w:rPr>
                <w:rFonts w:ascii="Arial" w:cs="Arial" w:eastAsia="Arial" w:hAnsi="Arial"/>
                <w:sz w:val="14"/>
                <w:szCs w:val="14"/>
                <w:b w:val="1"/>
                <w:bCs w:val="1"/>
                <w:color w:val="auto"/>
                <w:w w:val="93"/>
              </w:rPr>
              <w:t>(Described)</w:t>
            </w:r>
          </w:p>
        </w:tc>
        <w:tc>
          <w:tcPr>
            <w:tcW w:w="240" w:type="dxa"/>
            <w:vAlign w:val="bottom"/>
          </w:tcPr>
          <w:p>
            <w:pPr>
              <w:spacing w:after="0"/>
              <w:rPr>
                <w:sz w:val="24"/>
                <w:szCs w:val="24"/>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(Described)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268.5</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433.3</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1,748.0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2,270.1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222.3</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(59.2) (3)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1,912.8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(0.4) (3)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366.5</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635.6</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2,270.1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28.8</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uncollectible accounts written-off, change in reserve due to reevaluation of specific items and change in reserve due to purchases and sales of certain assets.</w:t>
      </w:r>
    </w:p>
    <w:p>
      <w:pPr>
        <w:ind w:left="660" w:right="2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a decrease to the reserve for claim losses as a result of discontinued operations related to our agreement to sell our at-risk insurance business. See Note A under "Discontinued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800" w:type="dxa"/>
            <w:vAlign w:val="bottom"/>
            <w:gridSpan w:val="2"/>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1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58"/>
        </w:trPr>
        <w:tc>
          <w:tcPr>
            <w:tcW w:w="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960" w:hanging="598"/>
        <w:spacing w:after="0" w:line="264"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spacing w:after="0" w:line="19" w:lineRule="exact"/>
        <w:rPr>
          <w:sz w:val="20"/>
          <w:szCs w:val="20"/>
          <w:color w:val="auto"/>
        </w:rPr>
      </w:pPr>
    </w:p>
    <w:p>
      <w:pPr>
        <w:jc w:val="both"/>
        <w:ind w:left="960" w:right="20" w:hanging="598"/>
        <w:spacing w:after="0" w:line="277" w:lineRule="auto"/>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Amended and Restated Certificate of Incorporation of the Registrant (incorporated by reference to Exhibit 3.1 to the Registrant's Registration Statement on Form S-3 filed June 3, 2011)</w:t>
      </w:r>
    </w:p>
    <w:p>
      <w:pPr>
        <w:spacing w:after="0" w:line="8" w:lineRule="exact"/>
        <w:rPr>
          <w:sz w:val="20"/>
          <w:szCs w:val="20"/>
          <w:color w:val="auto"/>
        </w:rPr>
      </w:pPr>
    </w:p>
    <w:p>
      <w:pPr>
        <w:jc w:val="both"/>
        <w:ind w:left="960" w:right="20" w:hanging="598"/>
        <w:spacing w:after="0" w:line="277" w:lineRule="auto"/>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as adopted on September 26, 2005 (incorporated by reference to Exhibit 3.2 to the Registrant’s Quarterly Report on Form 10-Q for the quarter ended September 30, 2005)</w:t>
      </w:r>
    </w:p>
    <w:p>
      <w:pPr>
        <w:spacing w:after="0" w:line="8" w:lineRule="exact"/>
        <w:rPr>
          <w:sz w:val="20"/>
          <w:szCs w:val="20"/>
          <w:color w:val="auto"/>
        </w:rPr>
      </w:pPr>
    </w:p>
    <w:p>
      <w:pPr>
        <w:jc w:val="both"/>
        <w:ind w:left="960" w:hanging="598"/>
        <w:spacing w:after="0" w:line="264"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between the Registrant and The Bank of New York Trust Company, N.A., dated December 8, 2005, relating to the 5.25% notes referred to below (incorporated by reference to Exhibit 4.1 to the Registrant’s Annual Report on Form 10-K for the year ended December 31, 2005)</w:t>
      </w:r>
    </w:p>
    <w:p>
      <w:pPr>
        <w:spacing w:after="0" w:line="19" w:lineRule="exact"/>
        <w:rPr>
          <w:sz w:val="20"/>
          <w:szCs w:val="20"/>
          <w:color w:val="auto"/>
        </w:rPr>
      </w:pPr>
    </w:p>
    <w:p>
      <w:pPr>
        <w:jc w:val="both"/>
        <w:ind w:left="960" w:right="20" w:hanging="598"/>
        <w:spacing w:after="0" w:line="277" w:lineRule="auto"/>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between the Registrant and the Bank of New York Trust Company, N.A., dated as of January 6, 2006 (incorporated by reference to Exhibit 4.1 to the Registrant’s Current Report on Form 8-K filed on January 24, 2006)</w:t>
      </w:r>
    </w:p>
    <w:p>
      <w:pPr>
        <w:spacing w:after="0" w:line="8" w:lineRule="exact"/>
        <w:rPr>
          <w:sz w:val="20"/>
          <w:szCs w:val="20"/>
          <w:color w:val="auto"/>
        </w:rPr>
      </w:pPr>
    </w:p>
    <w:p>
      <w:pPr>
        <w:jc w:val="both"/>
        <w:ind w:left="960" w:right="20" w:hanging="598"/>
        <w:spacing w:after="0" w:line="264" w:lineRule="auto"/>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Supplemental Indenture, dated May 5, 2010, between the Registrant and The Bank of New York Mellon Trust Company, N.A., dated as of May 5, 2010, relating to the 6.60% notes referred to below (incorporated by reference to Exhibit 4.1 to the Registrant's Current Report on Form 8-K filed on May 5, 2010)</w:t>
      </w:r>
    </w:p>
    <w:p>
      <w:pPr>
        <w:spacing w:after="0" w:line="235" w:lineRule="exact"/>
        <w:rPr>
          <w:sz w:val="20"/>
          <w:szCs w:val="20"/>
          <w:color w:val="auto"/>
        </w:rPr>
      </w:pPr>
    </w:p>
    <w:p>
      <w:pPr>
        <w:jc w:val="both"/>
        <w:ind w:left="960" w:hanging="598"/>
        <w:spacing w:after="0" w:line="277" w:lineRule="auto"/>
        <w:tabs>
          <w:tab w:leader="none" w:pos="9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Subordinated Indenture between the Registrant and the Bank of New York Trust Company, N.A. (incorporated by reference to Exhibit 4.2 (A) to the Registrant’s Registration Statement on Form S-3 filed on November 14, 2007)</w:t>
      </w:r>
    </w:p>
    <w:p>
      <w:pPr>
        <w:spacing w:after="0" w:line="8" w:lineRule="exact"/>
        <w:rPr>
          <w:sz w:val="20"/>
          <w:szCs w:val="20"/>
          <w:color w:val="auto"/>
        </w:rPr>
      </w:pPr>
    </w:p>
    <w:p>
      <w:pPr>
        <w:jc w:val="both"/>
        <w:ind w:left="960" w:hanging="598"/>
        <w:spacing w:after="0" w:line="277" w:lineRule="auto"/>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6.60% Note due 2017 (incorporated by reference to Exhibit 4.3 to the Registrant's Current Report on Form 8-K filed on May 5, 2010)</w:t>
      </w:r>
    </w:p>
    <w:p>
      <w:pPr>
        <w:spacing w:after="0" w:line="279" w:lineRule="exact"/>
        <w:rPr>
          <w:sz w:val="20"/>
          <w:szCs w:val="20"/>
          <w:color w:val="auto"/>
        </w:rPr>
      </w:pPr>
    </w:p>
    <w:p>
      <w:pPr>
        <w:jc w:val="both"/>
        <w:ind w:left="960" w:right="20" w:hanging="598"/>
        <w:spacing w:after="0" w:line="277" w:lineRule="auto"/>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4.25% Convertible Note due August 2018 (incorporated by reference to Exhibit 4.5 to the Registrant's Current Report on Form 8-K filed on August 2, 2011)</w:t>
      </w:r>
    </w:p>
    <w:p>
      <w:pPr>
        <w:spacing w:after="0" w:line="8" w:lineRule="exact"/>
        <w:rPr>
          <w:sz w:val="20"/>
          <w:szCs w:val="20"/>
          <w:color w:val="auto"/>
        </w:rPr>
      </w:pPr>
    </w:p>
    <w:p>
      <w:pPr>
        <w:jc w:val="both"/>
        <w:ind w:left="960" w:right="20" w:hanging="598"/>
        <w:spacing w:after="0" w:line="277" w:lineRule="auto"/>
        <w:tabs>
          <w:tab w:leader="none" w:pos="9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Form of the Registrant’s Common Stock Certificate (incorporated by reference to Exhibit 4.5 to the Registrant’s Annual Report on Form 10-K for the year ended December 31, 2006 (the “2006 Annual Report”)</w:t>
      </w:r>
    </w:p>
    <w:p>
      <w:pPr>
        <w:spacing w:after="0" w:line="8" w:lineRule="exact"/>
        <w:rPr>
          <w:sz w:val="20"/>
          <w:szCs w:val="20"/>
          <w:color w:val="auto"/>
        </w:rPr>
      </w:pPr>
    </w:p>
    <w:p>
      <w:pPr>
        <w:jc w:val="both"/>
        <w:ind w:left="960" w:right="20" w:hanging="643"/>
        <w:spacing w:after="0" w:line="264"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and Restatement Agreement dated as of April 16, 2012 to the Credit Agreement among the Registrant, Bank of America, N.A., and certain agents and other lenders party thereto, dated as of September 12, 2006 (incorporated by reference to Exhibit 10.1 to the Registrant’s Current Report on Form 8-K filed on April 19, 2012)</w:t>
      </w:r>
    </w:p>
    <w:p>
      <w:pPr>
        <w:spacing w:after="0" w:line="235" w:lineRule="exact"/>
        <w:rPr>
          <w:sz w:val="20"/>
          <w:szCs w:val="20"/>
          <w:color w:val="auto"/>
        </w:rPr>
      </w:pPr>
    </w:p>
    <w:p>
      <w:pPr>
        <w:jc w:val="both"/>
        <w:ind w:left="960" w:right="20" w:hanging="643"/>
        <w:spacing w:after="0" w:line="264"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and Restatement Agreement dated as of March 5, 2010 to the Credit Agreement among the Registrant, Bank of America, N.A., and certain agents and other lenders party thereto (incorporated by reference to Exhibit 10.1 to the Registrant’s Current Report on Form 8-K filed on March 10, 2010)</w:t>
      </w:r>
    </w:p>
    <w:p>
      <w:pPr>
        <w:spacing w:after="0" w:line="19" w:lineRule="exact"/>
        <w:rPr>
          <w:sz w:val="20"/>
          <w:szCs w:val="20"/>
          <w:color w:val="auto"/>
        </w:rPr>
      </w:pPr>
    </w:p>
    <w:p>
      <w:pPr>
        <w:jc w:val="both"/>
        <w:ind w:left="960" w:right="20" w:hanging="643"/>
        <w:spacing w:after="0" w:line="277"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Fidelity National Financial, Inc. 2005 Omnibus Incentive Plan, effective as of September 26, 2005 (incorporated by reference to Annex A to the Registrant’s Schedule 14A filed on April 11, 2011) (1)</w:t>
      </w:r>
    </w:p>
    <w:p>
      <w:pPr>
        <w:spacing w:after="0" w:line="8" w:lineRule="exact"/>
        <w:rPr>
          <w:sz w:val="20"/>
          <w:szCs w:val="20"/>
          <w:color w:val="auto"/>
        </w:rPr>
      </w:pPr>
    </w:p>
    <w:p>
      <w:pPr>
        <w:jc w:val="both"/>
        <w:ind w:left="960" w:right="20" w:hanging="643"/>
        <w:spacing w:after="0" w:line="277" w:lineRule="auto"/>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Fidelity National Title Group, Inc. Employee Stock Purchase Plan, effective as of September 26, 2005 (incorporated by reference to Exhibit 10.50 to the Registrant’s Quarterly Report on Form 10-Q for the quarter ended September 30, 2005) (1)</w:t>
      </w:r>
    </w:p>
    <w:p>
      <w:pPr>
        <w:spacing w:after="0" w:line="8" w:lineRule="exact"/>
        <w:rPr>
          <w:sz w:val="20"/>
          <w:szCs w:val="20"/>
          <w:color w:val="auto"/>
        </w:rPr>
      </w:pPr>
    </w:p>
    <w:p>
      <w:pPr>
        <w:jc w:val="both"/>
        <w:ind w:left="960" w:right="20" w:hanging="643"/>
        <w:spacing w:after="0" w:line="264" w:lineRule="auto"/>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Notice of Restricted Stock Grant and Restricted Stock Award Agreement under Amended and Restated Fidelity National Financial, Inc. 2005 Omnibus Incentive Plan (incorporated by reference to Exhibit 10.5 to the Registrant’s Annual Report on Form 10-K for the year ended December 31, 2008) (1)</w:t>
      </w:r>
    </w:p>
    <w:p>
      <w:pPr>
        <w:spacing w:after="0" w:line="1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2005 Omnibus Incentive Plan for October 2012 awards.(1)</w:t>
      </w:r>
    </w:p>
    <w:p>
      <w:pPr>
        <w:spacing w:after="0" w:line="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October 2011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2011) (1)</w:t>
      </w:r>
    </w:p>
    <w:p>
      <w:pPr>
        <w:spacing w:after="0" w:line="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2010 awards (incorporated by reference to Exhibit 10.7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2010) (1)</w:t>
      </w:r>
    </w:p>
    <w:p>
      <w:pPr>
        <w:spacing w:after="0" w:line="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2009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2009) (1)</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00"/>
          </w:cols>
          <w:pgMar w:left="240" w:top="125" w:right="25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Omnibus Incentive Plan</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George P. Scanlon, effective as of November 1,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 to the Registrant's Quarterly Report on Form 10-Q for the period ended September 30,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effective July 1, 2012 to Amended and Restated Employment Agreement between the Registrant and Brent B. Bickett, effective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of July 2, 2008. (incorporated by reference to Registrant’s Current Report on Form 8-K filed on July 3,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William P. Foley, II,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effective as of July 2, 2008 (incorporated by reference to Exhibit 10.17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William P. Foley, II, effective as of July 2, 2008(1)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10.14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Amended and Restated Employment Agreement between the Registrant and Michael L. Gravelle, effective as of January 30,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11, 2011)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Peter T. Sadowski, effective as of February 4,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Annex B to the Registrant's Schedule 14A filed on April 11, 2011)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Annex B to the Registrant's Schedule 14A filed on April 11, 2011)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770"/>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2"/>
          </w:tcPr>
          <w:p>
            <w:pPr>
              <w:ind w:left="4740"/>
              <w:spacing w:after="0"/>
              <w:rPr>
                <w:sz w:val="20"/>
                <w:szCs w:val="20"/>
                <w:color w:val="auto"/>
              </w:rPr>
            </w:pPr>
            <w:r>
              <w:rPr>
                <w:rFonts w:ascii="Arial" w:cs="Arial" w:eastAsia="Arial" w:hAnsi="Arial"/>
                <w:sz w:val="18"/>
                <w:szCs w:val="18"/>
                <w:color w:val="auto"/>
              </w:rPr>
              <w:t>109</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110</w:t>
      </w:r>
    </w:p>
    <w:p>
      <w:pPr>
        <w:sectPr>
          <w:pgSz w:w="11900" w:h="16838" w:orient="portrait"/>
          <w:cols w:equalWidth="0" w:num="1">
            <w:col w:w="11380"/>
          </w:cols>
          <w:pgMar w:left="240" w:top="125" w:right="27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Common Stock (the “Restricted Stock”) of Fidelity National Financial, Inc. (the “Company”), par value $0.0001 per share (the “Shares”), pursuant to the Fidelity National Financial, Inc. (f/k/a Fidelity National Title Group, Inc.) Amended and Restated 2005 Omnibus Incentive Plan (the “Plan”):</w:t>
      </w:r>
    </w:p>
    <w:p>
      <w:pPr>
        <w:sectPr>
          <w:pgSz w:w="11900" w:h="16838" w:orient="portrait"/>
          <w:cols w:equalWidth="0" w:num="1">
            <w:col w:w="11420"/>
          </w:cols>
          <w:pgMar w:left="240" w:top="5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1660" w:space="720"/>
            <w:col w:w="904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Restricted Stock Granted: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00" w:lineRule="exact"/>
        <w:rPr>
          <w:sz w:val="20"/>
          <w:szCs w:val="20"/>
          <w:color w:val="auto"/>
        </w:rPr>
      </w:pPr>
    </w:p>
    <w:p>
      <w:pPr>
        <w:sectPr>
          <w:pgSz w:w="11900" w:h="16838" w:orient="portrait"/>
          <w:cols w:equalWidth="0" w:num="2">
            <w:col w:w="3420" w:space="360"/>
            <w:col w:w="7640"/>
          </w:cols>
          <w:pgMar w:left="240" w:top="5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Grant: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8, 2012</w:t>
      </w:r>
    </w:p>
    <w:p>
      <w:pPr>
        <w:spacing w:after="0" w:line="200" w:lineRule="exact"/>
        <w:rPr>
          <w:sz w:val="20"/>
          <w:szCs w:val="20"/>
          <w:color w:val="auto"/>
        </w:rPr>
      </w:pPr>
    </w:p>
    <w:p>
      <w:pPr>
        <w:sectPr>
          <w:pgSz w:w="11900" w:h="16838" w:orient="portrait"/>
          <w:cols w:equalWidth="0" w:num="2">
            <w:col w:w="1920" w:space="720"/>
            <w:col w:w="878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and Period of Restriction: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See Exhibit A</w:t>
      </w:r>
    </w:p>
    <w:p>
      <w:pPr>
        <w:spacing w:after="0" w:line="200" w:lineRule="exact"/>
        <w:rPr>
          <w:sz w:val="20"/>
          <w:szCs w:val="20"/>
          <w:color w:val="auto"/>
        </w:rPr>
      </w:pPr>
    </w:p>
    <w:p>
      <w:pPr>
        <w:sectPr>
          <w:pgSz w:w="11900" w:h="16838" w:orient="portrait"/>
          <w:cols w:equalWidth="0" w:num="2">
            <w:col w:w="2440" w:space="720"/>
            <w:col w:w="8260"/>
          </w:cols>
          <w:pgMar w:left="240" w:top="580" w:right="239" w:bottom="1440" w:gutter="0" w:footer="0" w:header="0"/>
          <w:type w:val="continuous"/>
        </w:sectPr>
      </w:pPr>
    </w:p>
    <w:p>
      <w:pPr>
        <w:spacing w:after="0" w:line="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your electronic acceptance/signature,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pacing w:after="0" w:line="200" w:lineRule="exact"/>
        <w:rPr>
          <w:sz w:val="20"/>
          <w:szCs w:val="20"/>
          <w:color w:val="auto"/>
        </w:rPr>
      </w:pPr>
    </w:p>
    <w:p>
      <w:pPr>
        <w:spacing w:after="0" w:line="355"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Grantee: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Fidelity National Financial, Inc.</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By:</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16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firstLine="8"/>
        <w:spacing w:after="0" w:line="313" w:lineRule="auto"/>
        <w:tabs>
          <w:tab w:leader="none" w:pos="90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76" w:lineRule="exact"/>
        <w:rPr>
          <w:rFonts w:ascii="Arial" w:cs="Arial" w:eastAsia="Arial" w:hAnsi="Arial"/>
          <w:sz w:val="18"/>
          <w:szCs w:val="18"/>
          <w:b w:val="1"/>
          <w:bCs w:val="1"/>
          <w:color w:val="auto"/>
        </w:rPr>
      </w:pPr>
    </w:p>
    <w:p>
      <w:pPr>
        <w:jc w:val="both"/>
        <w:ind w:firstLine="8"/>
        <w:spacing w:after="0" w:line="308" w:lineRule="auto"/>
        <w:tabs>
          <w:tab w:leader="none" w:pos="91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left="920" w:hanging="912"/>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w:t>
      </w:r>
    </w:p>
    <w:p>
      <w:pPr>
        <w:spacing w:after="0" w:line="53" w:lineRule="exact"/>
        <w:rPr>
          <w:rFonts w:ascii="Arial" w:cs="Arial" w:eastAsia="Arial" w:hAnsi="Arial"/>
          <w:sz w:val="18"/>
          <w:szCs w:val="18"/>
          <w:b w:val="1"/>
          <w:bCs w:val="1"/>
          <w:color w:val="auto"/>
        </w:rPr>
      </w:pPr>
    </w:p>
    <w:p>
      <w:pPr>
        <w:jc w:val="both"/>
        <w:ind w:firstLine="656"/>
        <w:spacing w:after="0" w:line="306" w:lineRule="auto"/>
        <w:tabs>
          <w:tab w:leader="none" w:pos="14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Grantee's employment is terminated for any reason other than death, Disability (as defined below), termination by the Company and its Subsidiaries without Cause (as defined below) or termination by the Grantee with Good Reason (as defined below), the Grantee shall, for no consideration, forfeit to the Company the Shares of Restricted Stock to the extent such Shares are subject to a Period of Restriction at the time of such termination.</w:t>
      </w:r>
    </w:p>
    <w:p>
      <w:pPr>
        <w:spacing w:after="0" w:line="186" w:lineRule="exact"/>
        <w:rPr>
          <w:rFonts w:ascii="Arial" w:cs="Arial" w:eastAsia="Arial" w:hAnsi="Arial"/>
          <w:sz w:val="18"/>
          <w:szCs w:val="18"/>
          <w:color w:val="auto"/>
        </w:rPr>
      </w:pPr>
    </w:p>
    <w:p>
      <w:pPr>
        <w:jc w:val="both"/>
        <w:ind w:firstLine="656"/>
        <w:spacing w:after="0" w:line="304" w:lineRule="auto"/>
        <w:tabs>
          <w:tab w:leader="none" w:pos="15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 the Grantee's employment is terminated due to the Grantee's death or Disability, and (B) the Performance Restriction (as defined in Exhibit A) has been satisfied as of the date of the Grantee's termination of employment, then a portion of the Shares which on the date of termination of employment remain subject to a Time-Based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x B) - C, where</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Performance Restriction has not been satisfied as of the date of the Grantee's termination of employment due to the Grantee's death or Disability, then all of the Shares shall be forfeited to the Company, for no consideration.</w:t>
      </w:r>
    </w:p>
    <w:p>
      <w:pPr>
        <w:spacing w:after="0" w:line="73" w:lineRule="exact"/>
        <w:rPr>
          <w:sz w:val="20"/>
          <w:szCs w:val="20"/>
          <w:color w:val="auto"/>
        </w:rPr>
      </w:pPr>
    </w:p>
    <w:p>
      <w:pPr>
        <w:ind w:left="1580" w:hanging="924"/>
        <w:spacing w:after="0"/>
        <w:tabs>
          <w:tab w:leader="none" w:pos="1580" w:val="left"/>
        </w:tabs>
        <w:numPr>
          <w:ilvl w:val="1"/>
          <w:numId w:val="45"/>
        </w:numPr>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f the Grantee's employment is terminated by the Company and its Subsidiaries without Cause, or by the Grantee with Good Reason,</w:t>
      </w:r>
    </w:p>
    <w:p>
      <w:pPr>
        <w:spacing w:after="0" w:line="65" w:lineRule="exact"/>
        <w:rPr>
          <w:rFonts w:ascii="Arial" w:cs="Arial" w:eastAsia="Arial" w:hAnsi="Arial"/>
          <w:sz w:val="16"/>
          <w:szCs w:val="16"/>
          <w:color w:val="auto"/>
        </w:rPr>
      </w:pPr>
    </w:p>
    <w:p>
      <w:pPr>
        <w:jc w:val="both"/>
        <w:ind w:firstLine="8"/>
        <w:spacing w:after="0" w:line="306" w:lineRule="auto"/>
        <w:tabs>
          <w:tab w:leader="none" w:pos="3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Time-Based Restrictions shall be deemed to have been satisfied as of the date of termination of employment, and (B) all Shares shall continue to be subject to the Performance Restriction. Upon a lapse of a Period of Restriction (including a lapse upon a Change of Control), all Shares shall vest and become free of forfeiture and transfer restrictions contained in this Agreement (except as otherwise provided in Section 2(b) of this Agreement) on the date of employment termination</w:t>
      </w:r>
    </w:p>
    <w:p>
      <w:pPr>
        <w:spacing w:after="0" w:line="186" w:lineRule="exact"/>
        <w:rPr>
          <w:rFonts w:ascii="Arial" w:cs="Arial" w:eastAsia="Arial" w:hAnsi="Arial"/>
          <w:sz w:val="18"/>
          <w:szCs w:val="18"/>
          <w:color w:val="auto"/>
        </w:rPr>
      </w:pPr>
    </w:p>
    <w:p>
      <w:pPr>
        <w:jc w:val="both"/>
        <w:ind w:firstLine="656"/>
        <w:spacing w:after="0" w:line="325" w:lineRule="auto"/>
        <w:tabs>
          <w:tab w:leader="none" w:pos="1556"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term “Cause” shall have the meaning ascribed to such term in the Grantee's employment agreement with the Company or any Subsidiary. If the Grantee's employment agreement does not define the term “Cause,” or if the Grantee has not entered into an employment agreement with the Company or any Subsidiary, the term “Cause” shall mean (A) the willful engaging by the Grantee in misconduct that is demonstrably injurious to the Company or any Subsidiary (monetarily or otherwise), (B) the Grantee's conviction of, or pleading guilty or nolo contendere to, a felony, or (C) the Grantee's violation of any confidentiality, non-solicitation, or non-competition covenant to which the Grantee is subject.</w:t>
      </w:r>
    </w:p>
    <w:p>
      <w:pPr>
        <w:spacing w:after="0" w:line="175" w:lineRule="exact"/>
        <w:rPr>
          <w:rFonts w:ascii="Arial" w:cs="Arial" w:eastAsia="Arial" w:hAnsi="Arial"/>
          <w:sz w:val="17"/>
          <w:szCs w:val="17"/>
          <w:color w:val="auto"/>
        </w:rPr>
      </w:pPr>
    </w:p>
    <w:p>
      <w:pPr>
        <w:jc w:val="both"/>
        <w:ind w:firstLine="656"/>
        <w:spacing w:after="0" w:line="311" w:lineRule="auto"/>
        <w:tabs>
          <w:tab w:leader="none" w:pos="150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agreement with the Company or any Subsidiary. If the Grantee's employment agreement does not define the term “Disability,” or if the Grantee has not entered into an employment agreement with the Company or any Subsidiary, the term “Disability” shall mean the</w:t>
      </w:r>
    </w:p>
    <w:p>
      <w:pPr>
        <w:sectPr>
          <w:pgSz w:w="11900" w:h="16838" w:orient="portrait"/>
          <w:cols w:equalWidth="0" w:num="1">
            <w:col w:w="11420"/>
          </w:cols>
          <w:pgMar w:left="240" w:top="580" w:right="239" w:bottom="1440" w:gutter="0" w:footer="0" w:header="0"/>
        </w:sectPr>
      </w:pPr>
    </w:p>
    <w:bookmarkStart w:id="118" w:name="page119"/>
    <w:bookmarkEnd w:id="118"/>
    <w:p>
      <w:pPr>
        <w:ind w:right="20"/>
        <w:spacing w:after="0" w:line="324" w:lineRule="auto"/>
        <w:rPr>
          <w:sz w:val="20"/>
          <w:szCs w:val="20"/>
          <w:color w:val="auto"/>
        </w:rPr>
      </w:pPr>
      <w:r>
        <w:rPr>
          <w:rFonts w:ascii="Arial" w:cs="Arial" w:eastAsia="Arial" w:hAnsi="Arial"/>
          <w:sz w:val="18"/>
          <w:szCs w:val="18"/>
          <w:color w:val="auto"/>
        </w:rPr>
        <w:t>Grantee's entitlement to long-term disability benefits pursuant to the long-term disability plan maintained by the Company or in which the Company's employees participate.</w:t>
      </w:r>
    </w:p>
    <w:p>
      <w:pPr>
        <w:spacing w:after="0" w:line="170" w:lineRule="exact"/>
        <w:rPr>
          <w:sz w:val="20"/>
          <w:szCs w:val="20"/>
          <w:color w:val="auto"/>
        </w:rPr>
      </w:pPr>
    </w:p>
    <w:p>
      <w:pPr>
        <w:ind w:firstLine="656"/>
        <w:spacing w:after="0" w:line="324" w:lineRule="auto"/>
        <w:tabs>
          <w:tab w:leader="none" w:pos="15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“Good Reason” termination shall apply only if the Grantee has an employment agreement with the Company or any Subsidiary and shall have the meaning ascribed to that term in such employment agreement.</w:t>
      </w:r>
    </w:p>
    <w:p>
      <w:pPr>
        <w:spacing w:after="0" w:line="170" w:lineRule="exact"/>
        <w:rPr>
          <w:rFonts w:ascii="Arial" w:cs="Arial" w:eastAsia="Arial" w:hAnsi="Arial"/>
          <w:sz w:val="18"/>
          <w:szCs w:val="18"/>
          <w:color w:val="auto"/>
        </w:rPr>
      </w:pPr>
    </w:p>
    <w:p>
      <w:pPr>
        <w:ind w:left="1620" w:hanging="964"/>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Performance Restriction is not satisfied, then all Shares shall be forfeited to the Company, for no consideration.</w:t>
      </w:r>
    </w:p>
    <w:p>
      <w:pPr>
        <w:spacing w:after="0" w:line="261" w:lineRule="exact"/>
        <w:rPr>
          <w:rFonts w:ascii="Arial" w:cs="Arial" w:eastAsia="Arial" w:hAnsi="Arial"/>
          <w:sz w:val="18"/>
          <w:szCs w:val="18"/>
          <w:color w:val="auto"/>
        </w:rPr>
      </w:pPr>
    </w:p>
    <w:p>
      <w:pPr>
        <w:jc w:val="both"/>
        <w:ind w:firstLine="8"/>
        <w:spacing w:after="0" w:line="302" w:lineRule="auto"/>
        <w:tabs>
          <w:tab w:leader="none" w:pos="91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 If and when the Grantee is an Officer (as defined in Rule 16a-1(f) of the Exchange Act) or holds the title of President - Eastern Operations, President - Western Operations, President - Agency Operations, or Chief Legal Officer, during the six (6) month period which begins the first day following the date a Period of Restriction lapses, (50%) of the Shares to which the Period of Restrictions has lapsed on such date may not be sold, assigned, pledged, exchanged, hypothecated or otherwise transferred, encumbered or disposed of; provided however that this sentence shall not prohibit the Grantee from exchanging or otherwise disposing of Shares in connection with a Change of Control or other transaction in which Shares held by other Company shareholders are required to be exchanged or otherwise disposed.</w:t>
      </w:r>
    </w:p>
    <w:p>
      <w:pPr>
        <w:spacing w:after="0" w:line="185" w:lineRule="exact"/>
        <w:rPr>
          <w:rFonts w:ascii="Arial" w:cs="Arial" w:eastAsia="Arial" w:hAnsi="Arial"/>
          <w:sz w:val="18"/>
          <w:szCs w:val="18"/>
          <w:b w:val="1"/>
          <w:bCs w:val="1"/>
          <w:color w:val="auto"/>
        </w:rPr>
      </w:pPr>
    </w:p>
    <w:p>
      <w:pPr>
        <w:jc w:val="both"/>
        <w:ind w:firstLine="8"/>
        <w:spacing w:after="0" w:line="324" w:lineRule="auto"/>
        <w:tabs>
          <w:tab w:leader="none" w:pos="89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Lapse of Restrictions</w:t>
      </w:r>
      <w:r>
        <w:rPr>
          <w:rFonts w:ascii="Arial" w:cs="Arial" w:eastAsia="Arial" w:hAnsi="Arial"/>
          <w:sz w:val="17"/>
          <w:szCs w:val="17"/>
          <w:color w:val="auto"/>
        </w:rPr>
        <w:t>. The Period of Restriction shall lapse as to the Restricted Stock in accordance with the Notice of Restricted Stock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the Plan and Section 6(a) hereof, upon lapse of the Period of Restriction, the Grantee shall own the Shares that are subject to this Agreement free of all restrictions other than the six (6) month holding period following the Period of Restriction as provided in Section 2(b) of this Agreement otherwise imposed by this Agreement.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been forfeited shall lapse.</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rFonts w:ascii="Arial" w:cs="Arial" w:eastAsia="Arial" w:hAnsi="Arial"/>
          <w:sz w:val="16"/>
          <w:szCs w:val="16"/>
          <w:color w:val="auto"/>
        </w:rPr>
      </w:pPr>
    </w:p>
    <w:p>
      <w:pPr>
        <w:ind w:left="920" w:hanging="91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265" w:lineRule="exact"/>
        <w:rPr>
          <w:rFonts w:ascii="Arial" w:cs="Arial" w:eastAsia="Arial" w:hAnsi="Arial"/>
          <w:sz w:val="18"/>
          <w:szCs w:val="18"/>
          <w:color w:val="auto"/>
        </w:rPr>
      </w:pPr>
    </w:p>
    <w:p>
      <w:pPr>
        <w:ind w:firstLine="8"/>
        <w:spacing w:after="0" w:line="324" w:lineRule="auto"/>
        <w:tabs>
          <w:tab w:leader="none" w:pos="8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ectPr>
          <w:pgSz w:w="11900" w:h="16838" w:orient="portrait"/>
          <w:cols w:equalWidth="0" w:num="1">
            <w:col w:w="11420"/>
          </w:cols>
          <w:pgMar w:left="240" w:top="611" w:right="239" w:bottom="1440" w:gutter="0" w:footer="0" w:header="0"/>
        </w:sectPr>
      </w:pPr>
    </w:p>
    <w:bookmarkStart w:id="119" w:name="page120"/>
    <w:bookmarkEnd w:id="119"/>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44" w:lineRule="auto"/>
        <w:tabs>
          <w:tab w:leader="none" w:pos="90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59" w:lineRule="exact"/>
        <w:rPr>
          <w:rFonts w:ascii="Arial" w:cs="Arial" w:eastAsia="Arial" w:hAnsi="Arial"/>
          <w:sz w:val="16"/>
          <w:szCs w:val="16"/>
          <w:b w:val="1"/>
          <w:bCs w:val="1"/>
          <w:color w:val="auto"/>
        </w:rPr>
      </w:pPr>
    </w:p>
    <w:p>
      <w:pPr>
        <w:jc w:val="both"/>
        <w:ind w:firstLine="8"/>
        <w:spacing w:after="0" w:line="313" w:lineRule="auto"/>
        <w:tabs>
          <w:tab w:leader="none" w:pos="91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76" w:lineRule="exact"/>
        <w:rPr>
          <w:rFonts w:ascii="Arial" w:cs="Arial" w:eastAsia="Arial" w:hAnsi="Arial"/>
          <w:sz w:val="18"/>
          <w:szCs w:val="18"/>
          <w:b w:val="1"/>
          <w:bCs w:val="1"/>
          <w:color w:val="auto"/>
        </w:rPr>
      </w:pPr>
    </w:p>
    <w:p>
      <w:pPr>
        <w:jc w:val="both"/>
        <w:ind w:firstLine="8"/>
        <w:spacing w:after="0" w:line="338" w:lineRule="auto"/>
        <w:tabs>
          <w:tab w:leader="none" w:pos="90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b w:val="1"/>
          <w:bCs w:val="1"/>
          <w:color w:val="auto"/>
        </w:rPr>
      </w:pPr>
    </w:p>
    <w:p>
      <w:pPr>
        <w:jc w:val="both"/>
        <w:ind w:firstLine="8"/>
        <w:spacing w:after="0" w:line="313" w:lineRule="auto"/>
        <w:tabs>
          <w:tab w:leader="none" w:pos="91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18"/>
          <w:szCs w:val="18"/>
          <w:b w:val="1"/>
          <w:bCs w:val="1"/>
          <w:color w:val="auto"/>
        </w:rPr>
      </w:pPr>
    </w:p>
    <w:p>
      <w:pPr>
        <w:jc w:val="both"/>
        <w:ind w:firstLine="8"/>
        <w:spacing w:after="0" w:line="351" w:lineRule="auto"/>
        <w:tabs>
          <w:tab w:leader="none" w:pos="89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53" w:lineRule="exact"/>
        <w:rPr>
          <w:rFonts w:ascii="Arial" w:cs="Arial" w:eastAsia="Arial" w:hAnsi="Arial"/>
          <w:sz w:val="16"/>
          <w:szCs w:val="16"/>
          <w:b w:val="1"/>
          <w:bCs w:val="1"/>
          <w:color w:val="auto"/>
        </w:rPr>
      </w:pPr>
    </w:p>
    <w:p>
      <w:pPr>
        <w:ind w:firstLine="8"/>
        <w:spacing w:after="0" w:line="329" w:lineRule="auto"/>
        <w:tabs>
          <w:tab w:leader="none" w:pos="87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b w:val="1"/>
          <w:bCs w:val="1"/>
          <w:color w:val="auto"/>
        </w:rPr>
      </w:pPr>
    </w:p>
    <w:p>
      <w:pPr>
        <w:jc w:val="both"/>
        <w:ind w:firstLine="8"/>
        <w:spacing w:after="0" w:line="313" w:lineRule="auto"/>
        <w:tabs>
          <w:tab w:leader="none" w:pos="91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b w:val="1"/>
          <w:bCs w:val="1"/>
          <w:color w:val="auto"/>
        </w:rPr>
      </w:pPr>
    </w:p>
    <w:p>
      <w:pPr>
        <w:ind w:left="920" w:hanging="912"/>
        <w:spacing w:after="0"/>
        <w:tabs>
          <w:tab w:leader="none" w:pos="9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b w:val="1"/>
          <w:bCs w:val="1"/>
          <w:color w:val="auto"/>
        </w:rPr>
      </w:pPr>
    </w:p>
    <w:p>
      <w:pPr>
        <w:jc w:val="both"/>
        <w:ind w:firstLine="8"/>
        <w:spacing w:after="0" w:line="313" w:lineRule="auto"/>
        <w:tabs>
          <w:tab w:leader="none" w:pos="87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580"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8% or greater Title Operating Margin (as defined below) in at least two calendar quarters of any of the next five calendar quarters starting October 1, 2012 (the “Performance Restriction”). The five calendar quarters starting October 1, 2012 and ending December 31, 2013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Time-Based Restrictions</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Anniversary 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of Restricted Stock</w:t>
      </w:r>
    </w:p>
    <w:p>
      <w:pPr>
        <w:spacing w:after="0" w:line="90" w:lineRule="exact"/>
        <w:rPr>
          <w:sz w:val="20"/>
          <w:szCs w:val="20"/>
          <w:color w:val="auto"/>
        </w:rPr>
      </w:pPr>
    </w:p>
    <w:p>
      <w:pPr>
        <w:sectPr>
          <w:pgSz w:w="11900" w:h="16838" w:orient="portrait"/>
          <w:cols w:equalWidth="0" w:num="2">
            <w:col w:w="7040" w:space="720"/>
            <w:col w:w="366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First (1</w:t>
      </w:r>
      <w:r>
        <w:rPr>
          <w:rFonts w:ascii="Arial" w:cs="Arial" w:eastAsia="Arial" w:hAnsi="Arial"/>
          <w:sz w:val="11"/>
          <w:szCs w:val="11"/>
          <w:color w:val="auto"/>
        </w:rPr>
        <w:t>st</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33.33%</w:t>
      </w:r>
    </w:p>
    <w:p>
      <w:pPr>
        <w:spacing w:after="0" w:line="97"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Second (2</w:t>
      </w:r>
      <w:r>
        <w:rPr>
          <w:rFonts w:ascii="Arial" w:cs="Arial" w:eastAsia="Arial" w:hAnsi="Arial"/>
          <w:sz w:val="11"/>
          <w:szCs w:val="11"/>
          <w:color w:val="auto"/>
        </w:rPr>
        <w:t>nd</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33.33%</w:t>
      </w:r>
    </w:p>
    <w:p>
      <w:pPr>
        <w:spacing w:after="0" w:line="97"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Third (3</w:t>
      </w:r>
      <w:r>
        <w:rPr>
          <w:rFonts w:ascii="Arial" w:cs="Arial" w:eastAsia="Arial" w:hAnsi="Arial"/>
          <w:sz w:val="11"/>
          <w:szCs w:val="11"/>
          <w:color w:val="auto"/>
        </w:rPr>
        <w:t>rd</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33.34%</w:t>
      </w:r>
    </w:p>
    <w:p>
      <w:pPr>
        <w:spacing w:after="0" w:line="211"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Vesting</w:t>
      </w:r>
    </w:p>
    <w:p>
      <w:pPr>
        <w:sectPr>
          <w:pgSz w:w="11900" w:h="16838" w:orient="portrait"/>
          <w:cols w:equalWidth="0" w:num="1">
            <w:col w:w="11420"/>
          </w:cols>
          <w:pgMar w:left="240" w:top="580" w:right="239" w:bottom="1440" w:gutter="0" w:footer="0" w:header="0"/>
          <w:type w:val="continuous"/>
        </w:sect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the percentage of the Restricted Stock indicated next to each Anniversary Date shall vest on such indicated anniversary date (such three year vesting schedule referred to as the “Time-Based Restrictions”). If the Performance Restriction is not achieved prior to the expiration of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0"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“Optionee”) have been granted the following option to purchase Class A Common Stock of Fidelity National Financial, Inc. (the “Company”), par value $0.0001 per share (“Share”), pursuant to the Fidelity National Financial, Inc. Amended and Restated 2005 Omnibus Incentive Plan (the “Plan”):</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Optionee: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Number of Shares Subject to Option:</w:t>
      </w:r>
    </w:p>
    <w:p>
      <w:pPr>
        <w:sectPr>
          <w:pgSz w:w="11900" w:h="16838" w:orient="portrait"/>
          <w:cols w:equalWidth="0" w:num="1">
            <w:col w:w="11420"/>
          </w:cols>
          <w:pgMar w:left="240" w:top="58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4720"/>
        <w:spacing w:after="0"/>
        <w:rPr>
          <w:sz w:val="20"/>
          <w:szCs w:val="20"/>
          <w:color w:val="auto"/>
        </w:rPr>
      </w:pPr>
      <w:r>
        <w:rPr>
          <w:rFonts w:ascii="Arial" w:cs="Arial" w:eastAsia="Arial" w:hAnsi="Arial"/>
          <w:sz w:val="17"/>
          <w:szCs w:val="17"/>
          <w:color w:val="auto"/>
        </w:rPr>
        <w:t>Nonqualified</w:t>
      </w:r>
    </w:p>
    <w:p>
      <w:pPr>
        <w:spacing w:after="0" w:line="71" w:lineRule="exact"/>
        <w:rPr>
          <w:sz w:val="20"/>
          <w:szCs w:val="20"/>
          <w:color w:val="auto"/>
        </w:rPr>
      </w:pPr>
    </w:p>
    <w:p>
      <w:pPr>
        <w:sectPr>
          <w:pgSz w:w="11900" w:h="16838" w:orient="portrait"/>
          <w:cols w:equalWidth="0" w:num="2">
            <w:col w:w="5020" w:space="720"/>
            <w:col w:w="5680"/>
          </w:cols>
          <w:pgMar w:left="240" w:top="580" w:right="239" w:bottom="1440" w:gutter="0" w:footer="0" w:header="0"/>
          <w:type w:val="continuous"/>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clsoing price on November 8</w:t>
      </w:r>
      <w:r>
        <w:rPr>
          <w:rFonts w:ascii="Arial" w:cs="Arial" w:eastAsia="Arial" w:hAnsi="Arial"/>
          <w:sz w:val="16"/>
          <w:szCs w:val="16"/>
          <w:color w:val="auto"/>
        </w:rPr>
        <w:t>)</w:t>
      </w:r>
    </w:p>
    <w:p>
      <w:pPr>
        <w:spacing w:after="0" w:line="90" w:lineRule="exact"/>
        <w:rPr>
          <w:sz w:val="20"/>
          <w:szCs w:val="20"/>
          <w:color w:val="auto"/>
        </w:rPr>
      </w:pPr>
    </w:p>
    <w:p>
      <w:pPr>
        <w:sectPr>
          <w:pgSz w:w="11900" w:h="16838" w:orient="portrait"/>
          <w:cols w:equalWidth="0" w:num="2">
            <w:col w:w="5020" w:space="720"/>
            <w:col w:w="568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Effective Date of Grant:</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6"/>
          <w:szCs w:val="16"/>
          <w:color w:val="auto"/>
        </w:rPr>
        <w:t>November 8, 2012</w:t>
      </w:r>
    </w:p>
    <w:p>
      <w:pPr>
        <w:spacing w:after="0" w:line="86" w:lineRule="exact"/>
        <w:rPr>
          <w:sz w:val="20"/>
          <w:szCs w:val="20"/>
          <w:color w:val="auto"/>
        </w:rPr>
      </w:pPr>
    </w:p>
    <w:p>
      <w:pPr>
        <w:sectPr>
          <w:pgSz w:w="11900" w:h="16838" w:orient="portrait"/>
          <w:cols w:equalWidth="0" w:num="2">
            <w:col w:w="5020" w:space="720"/>
            <w:col w:w="568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Subject to the terms of the Plan and the Stock Option Agreement attached hereto, the right to exercise this Option shall vest with respect to one-third of the total number of Shares subject to this Option on each anniversary of the Effective Date of Grant.</w:t>
      </w:r>
    </w:p>
    <w:p>
      <w:pPr>
        <w:spacing w:after="0" w:line="200" w:lineRule="exact"/>
        <w:rPr>
          <w:sz w:val="20"/>
          <w:szCs w:val="20"/>
          <w:color w:val="auto"/>
        </w:rPr>
      </w:pPr>
    </w:p>
    <w:p>
      <w:pPr>
        <w:sectPr>
          <w:pgSz w:w="11900" w:h="16838" w:orient="portrait"/>
          <w:cols w:equalWidth="0" w:num="2">
            <w:col w:w="5020" w:space="720"/>
            <w:col w:w="5680"/>
          </w:cols>
          <w:pgMar w:left="240" w:top="580" w:right="23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7th Anniversary of Effective Date of Grant The Option is subject to earlier expiration, as provided in Section 3(b) of the attached Stock Option Agreement</w:t>
      </w:r>
    </w:p>
    <w:p>
      <w:pPr>
        <w:spacing w:after="0" w:line="200" w:lineRule="exact"/>
        <w:rPr>
          <w:sz w:val="20"/>
          <w:szCs w:val="20"/>
          <w:color w:val="auto"/>
        </w:rPr>
      </w:pPr>
    </w:p>
    <w:p>
      <w:pPr>
        <w:sectPr>
          <w:pgSz w:w="11900" w:h="16838" w:orient="portrait"/>
          <w:cols w:equalWidth="0" w:num="2">
            <w:col w:w="5020" w:space="720"/>
            <w:col w:w="5680"/>
          </w:cols>
          <w:pgMar w:left="240" w:top="580" w:right="239" w:bottom="1440" w:gutter="0" w:footer="0" w:header="0"/>
          <w:type w:val="continuous"/>
        </w:sectPr>
      </w:pP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your electronic acceptance/signature, you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ectPr>
          <w:pgSz w:w="11900" w:h="16838" w:orient="portrait"/>
          <w:cols w:equalWidth="0" w:num="1">
            <w:col w:w="11420"/>
          </w:cols>
          <w:pgMar w:left="240" w:top="580" w:right="2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GRANT OF OPTION.</w:t>
      </w:r>
    </w:p>
    <w:p>
      <w:pPr>
        <w:spacing w:after="0" w:line="252" w:lineRule="exact"/>
        <w:rPr>
          <w:sz w:val="20"/>
          <w:szCs w:val="20"/>
          <w:color w:val="auto"/>
        </w:rPr>
      </w:pPr>
    </w:p>
    <w:p>
      <w:pPr>
        <w:jc w:val="both"/>
        <w:ind w:left="660" w:firstLine="645"/>
        <w:spacing w:after="0" w:line="313" w:lineRule="auto"/>
        <w:tabs>
          <w:tab w:leader="none" w:pos="2156"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conditions set forth in the Notice of Stock Option Grant, which is incorporated by reference,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Agreement (the “Agreement”), the Company grants to the Optionee on the Effective Date of Grant the Option to purchase at the Exercise Price the number of Shares set forth in the Notice of Stock Option Grant.</w:t>
      </w:r>
    </w:p>
    <w:p>
      <w:pPr>
        <w:spacing w:after="0" w:line="176" w:lineRule="exact"/>
        <w:rPr>
          <w:rFonts w:ascii="Arial" w:cs="Arial" w:eastAsia="Arial" w:hAnsi="Arial"/>
          <w:sz w:val="18"/>
          <w:szCs w:val="18"/>
          <w:color w:val="auto"/>
        </w:rPr>
      </w:pPr>
    </w:p>
    <w:p>
      <w:pPr>
        <w:jc w:val="both"/>
        <w:ind w:left="660" w:firstLine="645"/>
        <w:spacing w:after="0" w:line="330" w:lineRule="auto"/>
        <w:tabs>
          <w:tab w:leader="none" w:pos="2166"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Plan and Defined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to the Plan. All terms, provisions, and conditions applicable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set forth in 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RIGHT TO EXERCISE</w:t>
      </w:r>
      <w:r>
        <w:rPr>
          <w:rFonts w:ascii="Arial" w:cs="Arial" w:eastAsia="Arial" w:hAnsi="Arial"/>
          <w:sz w:val="18"/>
          <w:szCs w:val="18"/>
          <w:color w:val="auto"/>
        </w:rPr>
        <w:t>.</w:t>
      </w:r>
    </w:p>
    <w:p>
      <w:pPr>
        <w:spacing w:after="0" w:line="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exercise, or (d) by a combination of such methods.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TERM AND EXPIRATION.</w:t>
      </w:r>
    </w:p>
    <w:p>
      <w:pPr>
        <w:spacing w:after="0" w:line="252" w:lineRule="exact"/>
        <w:rPr>
          <w:sz w:val="20"/>
          <w:szCs w:val="20"/>
          <w:color w:val="auto"/>
        </w:rPr>
      </w:pPr>
    </w:p>
    <w:p>
      <w:pPr>
        <w:ind w:left="660" w:firstLine="645"/>
        <w:spacing w:after="0" w:line="329" w:lineRule="auto"/>
        <w:tabs>
          <w:tab w:leader="none" w:pos="215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Subject to earlier termination pursuant to the terms hereof, the Option shall expire on the expiration date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Notice of Stock Option Grant.</w:t>
      </w:r>
    </w:p>
    <w:p>
      <w:pPr>
        <w:spacing w:after="0" w:line="161" w:lineRule="exact"/>
        <w:rPr>
          <w:rFonts w:ascii="Arial" w:cs="Arial" w:eastAsia="Arial" w:hAnsi="Arial"/>
          <w:sz w:val="18"/>
          <w:szCs w:val="18"/>
          <w:color w:val="auto"/>
        </w:rPr>
      </w:pPr>
    </w:p>
    <w:p>
      <w:pPr>
        <w:jc w:val="both"/>
        <w:ind w:left="660" w:firstLine="645"/>
        <w:spacing w:after="0" w:line="313" w:lineRule="auto"/>
        <w:tabs>
          <w:tab w:leader="none" w:pos="216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or Service. </w:t>
      </w:r>
      <w:r>
        <w:rPr>
          <w:rFonts w:ascii="Arial" w:cs="Arial" w:eastAsia="Arial" w:hAnsi="Arial"/>
          <w:sz w:val="18"/>
          <w:szCs w:val="18"/>
          <w:color w:val="auto"/>
        </w:rPr>
        <w:t>Subject to the terms and conditions of Optionee's employment agreement, if any, if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Optionee's employment or service as a Director or Consultant, as the case may be, is terminated, the Option shall expire on the earliest of the following occasions:</w:t>
      </w:r>
    </w:p>
    <w:p>
      <w:pPr>
        <w:spacing w:after="0" w:line="180" w:lineRule="exact"/>
        <w:rPr>
          <w:rFonts w:ascii="Arial" w:cs="Arial" w:eastAsia="Arial" w:hAnsi="Arial"/>
          <w:sz w:val="18"/>
          <w:szCs w:val="18"/>
          <w:color w:val="auto"/>
        </w:rPr>
      </w:pPr>
    </w:p>
    <w:p>
      <w:pPr>
        <w:ind w:left="2780" w:hanging="827"/>
        <w:spacing w:after="0"/>
        <w:tabs>
          <w:tab w:leader="none" w:pos="2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expiration date set forth in the Notice of Stock Option Grant;</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date three months following the termination of the Optionee's employment or service for any reason other than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Cause, death, or Disability;</w:t>
      </w:r>
    </w:p>
    <w:p>
      <w:pPr>
        <w:spacing w:after="0" w:line="265" w:lineRule="exact"/>
        <w:rPr>
          <w:rFonts w:ascii="Arial" w:cs="Arial" w:eastAsia="Arial" w:hAnsi="Arial"/>
          <w:sz w:val="16"/>
          <w:szCs w:val="16"/>
          <w:color w:val="auto"/>
        </w:rPr>
      </w:pPr>
    </w:p>
    <w:p>
      <w:pPr>
        <w:ind w:left="2880" w:hanging="927"/>
        <w:spacing w:after="0"/>
        <w:tabs>
          <w:tab w:leader="none" w:pos="28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date one year following the termination of the Optionee's employment or service due to death or Disability; or</w:t>
      </w:r>
    </w:p>
    <w:p>
      <w:pPr>
        <w:spacing w:after="0" w:line="277" w:lineRule="exact"/>
        <w:rPr>
          <w:rFonts w:ascii="Arial" w:cs="Arial" w:eastAsia="Arial" w:hAnsi="Arial"/>
          <w:sz w:val="17"/>
          <w:szCs w:val="17"/>
          <w:color w:val="auto"/>
        </w:rPr>
      </w:pPr>
    </w:p>
    <w:p>
      <w:pPr>
        <w:ind w:left="2860" w:hanging="907"/>
        <w:spacing w:after="0"/>
        <w:tabs>
          <w:tab w:leader="none" w:pos="2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date of termination of the Optionee's employment or service for Cause.</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201" w:lineRule="exact"/>
        <w:rPr>
          <w:sz w:val="20"/>
          <w:szCs w:val="20"/>
          <w:color w:val="auto"/>
        </w:rPr>
      </w:pPr>
    </w:p>
    <w:p>
      <w:pPr>
        <w:ind w:left="660" w:firstLine="645"/>
        <w:spacing w:after="0" w:line="329" w:lineRule="auto"/>
        <w:tabs>
          <w:tab w:leader="none" w:pos="2156"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“Cause” shall have the meaning ascribed to such term in the Optionee's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the Company or any Subsidiary. If the Optionee's employment agreement does not define</w:t>
      </w:r>
    </w:p>
    <w:p>
      <w:pPr>
        <w:sectPr>
          <w:pgSz w:w="11900" w:h="16838" w:orient="portrait"/>
          <w:cols w:equalWidth="0" w:num="1">
            <w:col w:w="11420"/>
          </w:cols>
          <w:pgMar w:left="240" w:top="580" w:right="239" w:bottom="1440" w:gutter="0" w:footer="0" w:header="0"/>
        </w:sectPr>
      </w:pPr>
    </w:p>
    <w:bookmarkStart w:id="123" w:name="page124"/>
    <w:bookmarkEnd w:id="123"/>
    <w:p>
      <w:pPr>
        <w:jc w:val="both"/>
        <w:ind w:left="320"/>
        <w:spacing w:after="0" w:line="329" w:lineRule="auto"/>
        <w:rPr>
          <w:sz w:val="20"/>
          <w:szCs w:val="20"/>
          <w:color w:val="auto"/>
        </w:rPr>
      </w:pPr>
      <w:r>
        <w:rPr>
          <w:rFonts w:ascii="Arial" w:cs="Arial" w:eastAsia="Arial" w:hAnsi="Arial"/>
          <w:sz w:val="17"/>
          <w:szCs w:val="17"/>
          <w:color w:val="auto"/>
        </w:rPr>
        <w:t>the term “Cause,” or if the Optionee has not entered into an employment agreement with the Company or any Subsidiary, the term “Cause” shall mean (i) 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167" w:lineRule="exact"/>
        <w:rPr>
          <w:sz w:val="20"/>
          <w:szCs w:val="20"/>
          <w:color w:val="auto"/>
        </w:rPr>
      </w:pPr>
    </w:p>
    <w:p>
      <w:pPr>
        <w:jc w:val="both"/>
        <w:ind w:left="320" w:firstLine="645"/>
        <w:spacing w:after="0" w:line="356" w:lineRule="auto"/>
        <w:tabs>
          <w:tab w:leader="none" w:pos="1826"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“Disability” shall have the meaning ascribed to such term in the Optionee's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the Company or any Subsidiary. If the Optionee's employment agreement does not define the term “Disability,” or if the Optionee has not entered into an employment agreement with the Company or any Subsidiary, the term “Disability” shall mean the Optionee's entitlement to long-term disability benefits pursuant to the long-term disability plan maintained by the Company or in which the Company's employees participate.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TRANSFERABILITY OF OPTION.</w:t>
      </w:r>
    </w:p>
    <w:p>
      <w:pPr>
        <w:spacing w:after="0" w:line="252" w:lineRule="exact"/>
        <w:rPr>
          <w:sz w:val="20"/>
          <w:szCs w:val="20"/>
          <w:color w:val="auto"/>
        </w:rPr>
      </w:pPr>
    </w:p>
    <w:p>
      <w:pPr>
        <w:jc w:val="both"/>
        <w:ind w:left="320" w:firstLine="645"/>
        <w:spacing w:after="0" w:line="313" w:lineRule="auto"/>
        <w:tabs>
          <w:tab w:leader="none" w:pos="181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Except as provided in Section 4(b) herein, the Option shall not be transferable by the Optionee other than by will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descent and distribution, and the Option shall be exercisable during the Optionee's lifetime only by the Optionee or on his or her behalf by the Optionee's guardian or legal representative.</w:t>
      </w:r>
    </w:p>
    <w:p>
      <w:pPr>
        <w:spacing w:after="0" w:line="176" w:lineRule="exact"/>
        <w:rPr>
          <w:rFonts w:ascii="Arial" w:cs="Arial" w:eastAsia="Arial" w:hAnsi="Arial"/>
          <w:sz w:val="18"/>
          <w:szCs w:val="18"/>
          <w:color w:val="auto"/>
        </w:rPr>
      </w:pPr>
    </w:p>
    <w:p>
      <w:pPr>
        <w:jc w:val="both"/>
        <w:ind w:left="320" w:firstLine="645"/>
        <w:spacing w:after="0" w:line="313" w:lineRule="auto"/>
        <w:tabs>
          <w:tab w:leader="none" w:pos="182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Transfers to Family Members. </w:t>
      </w:r>
      <w:r>
        <w:rPr>
          <w:rFonts w:ascii="Arial" w:cs="Arial" w:eastAsia="Arial" w:hAnsi="Arial"/>
          <w:sz w:val="18"/>
          <w:szCs w:val="18"/>
          <w:color w:val="auto"/>
        </w:rPr>
        <w:t>Notwithstanding Section 4(a) herein, if the Option is a Nonqualified Stock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transfer the Option for no consideration to or for the benefit of a Family Member, subject to such limits as the Committee may establish, and the transferee shall remain subject to all the terms and conditions applicable to the Option.</w:t>
      </w:r>
    </w:p>
    <w:p>
      <w:pPr>
        <w:spacing w:after="0" w:line="176" w:lineRule="exact"/>
        <w:rPr>
          <w:rFonts w:ascii="Arial" w:cs="Arial" w:eastAsia="Arial" w:hAnsi="Arial"/>
          <w:sz w:val="18"/>
          <w:szCs w:val="18"/>
          <w:color w:val="auto"/>
        </w:rPr>
      </w:pPr>
    </w:p>
    <w:p>
      <w:pPr>
        <w:jc w:val="both"/>
        <w:ind w:left="320" w:firstLine="1293"/>
        <w:spacing w:after="0" w:line="303" w:lineRule="auto"/>
        <w:tabs>
          <w:tab w:leader="none" w:pos="2464"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w:t>
      </w:r>
      <w:r>
        <w:rPr>
          <w:rFonts w:ascii="Arial" w:cs="Arial" w:eastAsia="Arial" w:hAnsi="Arial"/>
          <w:sz w:val="18"/>
          <w:szCs w:val="18"/>
          <w:color w:val="auto"/>
        </w:rPr>
        <w:t>“</w:t>
      </w:r>
      <w:r>
        <w:rPr>
          <w:rFonts w:ascii="Arial" w:cs="Arial" w:eastAsia="Arial" w:hAnsi="Arial"/>
          <w:sz w:val="18"/>
          <w:szCs w:val="18"/>
          <w:b w:val="1"/>
          <w:bCs w:val="1"/>
          <w:color w:val="auto"/>
        </w:rPr>
        <w:t xml:space="preserve">Family Member.” </w:t>
      </w:r>
      <w:r>
        <w:rPr>
          <w:rFonts w:ascii="Arial" w:cs="Arial" w:eastAsia="Arial" w:hAnsi="Arial"/>
          <w:sz w:val="18"/>
          <w:szCs w:val="18"/>
          <w:color w:val="auto"/>
        </w:rPr>
        <w:t>For purposes of this Agreement, the term “Family Member” shall mean any child,</w:t>
      </w:r>
      <w:r>
        <w:rPr>
          <w:rFonts w:ascii="Arial" w:cs="Arial" w:eastAsia="Arial" w:hAnsi="Arial"/>
          <w:sz w:val="18"/>
          <w:szCs w:val="18"/>
          <w:b w:val="1"/>
          <w:bCs w:val="1"/>
          <w:color w:val="auto"/>
        </w:rPr>
        <w:t xml:space="preserve"> </w:t>
      </w:r>
      <w:r>
        <w:rPr>
          <w:rFonts w:ascii="Arial" w:cs="Arial" w:eastAsia="Arial" w:hAnsi="Arial"/>
          <w:sz w:val="18"/>
          <w:szCs w:val="18"/>
          <w:color w:val="auto"/>
        </w:rPr>
        <w:t>stepchild, grandchild, 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left="320" w:firstLine="645"/>
        <w:spacing w:after="0" w:line="367" w:lineRule="auto"/>
        <w:tabs>
          <w:tab w:leader="none" w:pos="1816"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Acknowledgements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Optionee hereby acknowledges that he or she has read and understands the terms of the Plan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agrees to be bound by their respective terms and conditions. The Optionee acknowledges that there may be tax consequences upon the exercise or transfer of the Option and that the Optionee should consult an independent tax advisor prior to any exercise or transfer of the Option.</w:t>
      </w:r>
    </w:p>
    <w:p>
      <w:pPr>
        <w:spacing w:after="0" w:line="141" w:lineRule="exact"/>
        <w:rPr>
          <w:rFonts w:ascii="Arial" w:cs="Arial" w:eastAsia="Arial" w:hAnsi="Arial"/>
          <w:sz w:val="16"/>
          <w:szCs w:val="16"/>
          <w:color w:val="auto"/>
        </w:rPr>
      </w:pPr>
    </w:p>
    <w:p>
      <w:pPr>
        <w:jc w:val="both"/>
        <w:ind w:left="320" w:firstLine="645"/>
        <w:spacing w:after="0" w:line="321" w:lineRule="auto"/>
        <w:tabs>
          <w:tab w:leader="none" w:pos="1826"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20 of the Plan, the Committee shall have the power and the right to deduct or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or require the 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Optionee's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Optionee, and shall be subject to any restrictions or limitations that the Committee, in its sole discretion, deems appropriate.</w:t>
      </w:r>
    </w:p>
    <w:p>
      <w:pPr>
        <w:spacing w:after="0" w:line="172" w:lineRule="exact"/>
        <w:rPr>
          <w:rFonts w:ascii="Arial" w:cs="Arial" w:eastAsia="Arial" w:hAnsi="Arial"/>
          <w:sz w:val="17"/>
          <w:szCs w:val="17"/>
          <w:color w:val="auto"/>
        </w:rPr>
      </w:pPr>
    </w:p>
    <w:p>
      <w:pPr>
        <w:jc w:val="both"/>
        <w:ind w:left="320" w:firstLine="645"/>
        <w:spacing w:after="0" w:line="330" w:lineRule="auto"/>
        <w:tabs>
          <w:tab w:leader="none" w:pos="1816"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Concerning Disqualifying Dispositions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is an Incentive Stock Option, the Optionee shall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any 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67" w:lineRule="exact"/>
        <w:rPr>
          <w:rFonts w:ascii="Arial" w:cs="Arial" w:eastAsia="Arial" w:hAnsi="Arial"/>
          <w:sz w:val="17"/>
          <w:szCs w:val="17"/>
          <w:color w:val="auto"/>
        </w:rPr>
      </w:pPr>
    </w:p>
    <w:p>
      <w:pPr>
        <w:jc w:val="both"/>
        <w:ind w:left="320" w:right="20" w:firstLine="645"/>
        <w:spacing w:after="0" w:line="313" w:lineRule="auto"/>
        <w:tabs>
          <w:tab w:leader="none" w:pos="1826"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Optionee nor the Optionee's transferee or representative shall have any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with respect to any Shares subject to this Option until the Option has been exercised and Share certificates have been issued to the Optionee, transferee or representative, as the case may be.</w:t>
      </w:r>
    </w:p>
    <w:p>
      <w:pPr>
        <w:sectPr>
          <w:pgSz w:w="11900" w:h="16838" w:orient="portrait"/>
          <w:cols w:equalWidth="0" w:num="1">
            <w:col w:w="11080"/>
          </w:cols>
          <w:pgMar w:left="580" w:top="611" w:right="239" w:bottom="1440" w:gutter="0" w:footer="0" w:header="0"/>
        </w:sectPr>
      </w:pPr>
    </w:p>
    <w:bookmarkStart w:id="124" w:name="page125"/>
    <w:bookmarkEnd w:id="124"/>
    <w:p>
      <w:pPr>
        <w:jc w:val="both"/>
        <w:ind w:left="-540" w:firstLine="645"/>
        <w:spacing w:after="0" w:line="313" w:lineRule="auto"/>
        <w:tabs>
          <w:tab w:leader="none" w:pos="95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this Agreement, the Optionee and each person claiming under or through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deemed to have indicated the Optionee's acceptance and ratification of, and consent to, any action taken under the Plan or this Agreement and Notice of Stock Option Grant by the Company, the Board, or the Committee.</w:t>
      </w:r>
    </w:p>
    <w:p>
      <w:pPr>
        <w:spacing w:after="0" w:line="176" w:lineRule="exact"/>
        <w:rPr>
          <w:rFonts w:ascii="Arial" w:cs="Arial" w:eastAsia="Arial" w:hAnsi="Arial"/>
          <w:sz w:val="18"/>
          <w:szCs w:val="18"/>
          <w:color w:val="auto"/>
        </w:rPr>
      </w:pPr>
    </w:p>
    <w:p>
      <w:pPr>
        <w:jc w:val="both"/>
        <w:ind w:left="-540" w:firstLine="645"/>
        <w:spacing w:after="0" w:line="308" w:lineRule="auto"/>
        <w:tabs>
          <w:tab w:leader="none" w:pos="93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by the terms of this Agreement shall be given in writing and shall be deemed effective upon</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79" w:lineRule="exact"/>
        <w:rPr>
          <w:rFonts w:ascii="Arial" w:cs="Arial" w:eastAsia="Arial" w:hAnsi="Arial"/>
          <w:sz w:val="18"/>
          <w:szCs w:val="18"/>
          <w:color w:val="auto"/>
        </w:rPr>
      </w:pPr>
    </w:p>
    <w:p>
      <w:pPr>
        <w:jc w:val="both"/>
        <w:ind w:left="-540" w:firstLine="645"/>
        <w:spacing w:after="0" w:line="338" w:lineRule="auto"/>
        <w:tabs>
          <w:tab w:leader="none" w:pos="966"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Notice of Stock Option Grant shall be governed by, and construed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Florida, without regard to any conflicts of law or choice of law rule or principle that might otherwise cause the Plan, this Agreement or the Notice of Stock Option Grant to be governed by or construed in accordance with the substantive law of another jurisdiction.</w:t>
      </w:r>
    </w:p>
    <w:p>
      <w:pPr>
        <w:spacing w:after="0" w:line="160" w:lineRule="exact"/>
        <w:rPr>
          <w:rFonts w:ascii="Arial" w:cs="Arial" w:eastAsia="Arial" w:hAnsi="Arial"/>
          <w:sz w:val="17"/>
          <w:szCs w:val="17"/>
          <w:color w:val="auto"/>
        </w:rPr>
      </w:pPr>
    </w:p>
    <w:p>
      <w:pPr>
        <w:jc w:val="both"/>
        <w:ind w:left="-540" w:firstLine="645"/>
        <w:spacing w:after="0" w:line="303" w:lineRule="auto"/>
        <w:tabs>
          <w:tab w:leader="none" w:pos="96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Article 3 of the Plan, any dispute or claim arising out of or relating to the Plan,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Stock Option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Stock Option Grant, provided that all substantive questions of law shall be determined in accordance with the state and Federal laws applicable in Florida, without regard to internal principles relating to conflict of laws.</w:t>
      </w:r>
    </w:p>
    <w:p>
      <w:pPr>
        <w:spacing w:after="0" w:line="187" w:lineRule="exact"/>
        <w:rPr>
          <w:rFonts w:ascii="Arial" w:cs="Arial" w:eastAsia="Arial" w:hAnsi="Arial"/>
          <w:sz w:val="18"/>
          <w:szCs w:val="18"/>
          <w:color w:val="auto"/>
        </w:rPr>
      </w:pPr>
    </w:p>
    <w:p>
      <w:pPr>
        <w:ind w:left="-540" w:firstLine="645"/>
        <w:spacing w:after="0" w:line="400" w:lineRule="auto"/>
        <w:tabs>
          <w:tab w:leader="none" w:pos="926"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only be modified or amended by written agreement executed by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provided, however, that the adjustments permitted pursuant to Section 4.3 of the Plan may be made without such written agreement.</w:t>
      </w:r>
    </w:p>
    <w:p>
      <w:pPr>
        <w:spacing w:after="0" w:line="115" w:lineRule="exact"/>
        <w:rPr>
          <w:rFonts w:ascii="Arial" w:cs="Arial" w:eastAsia="Arial" w:hAnsi="Arial"/>
          <w:sz w:val="16"/>
          <w:szCs w:val="16"/>
          <w:color w:val="auto"/>
        </w:rPr>
      </w:pPr>
    </w:p>
    <w:p>
      <w:pPr>
        <w:jc w:val="both"/>
        <w:ind w:left="-540" w:firstLine="645"/>
        <w:spacing w:after="0" w:line="313" w:lineRule="auto"/>
        <w:tabs>
          <w:tab w:leader="none" w:pos="92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provision of this Agreement shall be held illegal or invalid for any reason, the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540" w:right="20" w:firstLine="645"/>
        <w:spacing w:after="0" w:line="329" w:lineRule="auto"/>
        <w:tabs>
          <w:tab w:leader="none" w:pos="96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 to Plan</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to the Plan (or to a Section or Article of the Plan) shall be deemed references to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or Article) as may be amended from time to time.</w:t>
      </w:r>
    </w:p>
    <w:p>
      <w:pPr>
        <w:spacing w:after="0" w:line="161" w:lineRule="exact"/>
        <w:rPr>
          <w:rFonts w:ascii="Arial" w:cs="Arial" w:eastAsia="Arial" w:hAnsi="Arial"/>
          <w:sz w:val="18"/>
          <w:szCs w:val="18"/>
          <w:color w:val="auto"/>
        </w:rPr>
      </w:pPr>
    </w:p>
    <w:p>
      <w:pPr>
        <w:jc w:val="both"/>
        <w:ind w:left="-540" w:firstLine="645"/>
        <w:spacing w:after="0" w:line="338" w:lineRule="auto"/>
        <w:tabs>
          <w:tab w:leader="none" w:pos="926"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applicable, it is intended that the Plan and this Agreement comply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0220"/>
          </w:cols>
          <w:pgMar w:left="1440" w:top="823"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THIS AMENDMENT NO. 2 TO AMENDED AND RESTATED EMPLOYMENT AGREEMENT (the "Amendment") is effective as of January 1, 2012 (the "Effective Date"), by and between </w:t>
      </w:r>
      <w:r>
        <w:rPr>
          <w:rFonts w:ascii="Arial" w:cs="Arial" w:eastAsia="Arial" w:hAnsi="Arial"/>
          <w:sz w:val="17"/>
          <w:szCs w:val="17"/>
          <w:b w:val="1"/>
          <w:bCs w:val="1"/>
          <w:color w:val="auto"/>
        </w:rPr>
        <w:t>FIDELITY NATIONAL FINANCIAL, INC.</w:t>
      </w:r>
      <w:r>
        <w:rPr>
          <w:rFonts w:ascii="Arial" w:cs="Arial" w:eastAsia="Arial" w:hAnsi="Arial"/>
          <w:sz w:val="17"/>
          <w:szCs w:val="17"/>
          <w:color w:val="auto"/>
        </w:rPr>
        <w:t xml:space="preserve">, a Delaware corporation (the "Company"), and </w:t>
      </w:r>
      <w:r>
        <w:rPr>
          <w:rFonts w:ascii="Arial" w:cs="Arial" w:eastAsia="Arial" w:hAnsi="Arial"/>
          <w:sz w:val="17"/>
          <w:szCs w:val="17"/>
          <w:b w:val="1"/>
          <w:bCs w:val="1"/>
          <w:color w:val="auto"/>
        </w:rPr>
        <w:t>BRENT B.</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BICKETT </w:t>
      </w:r>
      <w:r>
        <w:rPr>
          <w:rFonts w:ascii="Arial" w:cs="Arial" w:eastAsia="Arial" w:hAnsi="Arial"/>
          <w:sz w:val="17"/>
          <w:szCs w:val="17"/>
          <w:color w:val="auto"/>
        </w:rPr>
        <w:t>(the "Employee") and amends that certain Amended and Restated Employment Agreement dated as of July 2, 2008, as amended on February 4,</w:t>
      </w:r>
      <w:r>
        <w:rPr>
          <w:rFonts w:ascii="Arial" w:cs="Arial" w:eastAsia="Arial" w:hAnsi="Arial"/>
          <w:sz w:val="17"/>
          <w:szCs w:val="17"/>
          <w:b w:val="1"/>
          <w:bCs w:val="1"/>
          <w:color w:val="auto"/>
        </w:rPr>
        <w:t xml:space="preserve"> </w:t>
      </w:r>
      <w:r>
        <w:rPr>
          <w:rFonts w:ascii="Arial" w:cs="Arial" w:eastAsia="Arial" w:hAnsi="Arial"/>
          <w:sz w:val="17"/>
          <w:szCs w:val="17"/>
          <w:color w:val="auto"/>
        </w:rPr>
        <w:t>2010 (the “Agreement”). In consideration of the mutual covenants and agreements set forth herein, the parties agree as follows:</w:t>
      </w:r>
    </w:p>
    <w:p>
      <w:pPr>
        <w:spacing w:after="0" w:line="198" w:lineRule="exact"/>
        <w:rPr>
          <w:sz w:val="20"/>
          <w:szCs w:val="20"/>
          <w:color w:val="auto"/>
        </w:rPr>
      </w:pPr>
    </w:p>
    <w:p>
      <w:pPr>
        <w:ind w:left="1440" w:hanging="784"/>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first sentence of Section 4 of the Agreement is deleted and the following shall be inserted in lieu thereof:</w:t>
      </w:r>
    </w:p>
    <w:p>
      <w:pPr>
        <w:spacing w:after="0" w:line="265" w:lineRule="exact"/>
        <w:rPr>
          <w:rFonts w:ascii="Arial" w:cs="Arial" w:eastAsia="Arial" w:hAnsi="Arial"/>
          <w:sz w:val="18"/>
          <w:szCs w:val="18"/>
          <w:color w:val="auto"/>
        </w:rPr>
      </w:pPr>
    </w:p>
    <w:p>
      <w:pPr>
        <w:ind w:left="660" w:right="20" w:hanging="4"/>
        <w:spacing w:after="0" w:line="357" w:lineRule="auto"/>
        <w:tabs>
          <w:tab w:leader="none" w:pos="144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During the Employment Term, the Company shall pay the Employee an annual base salary, before deducting all applicable withholdings, of no less than $276,500 per year, payable at the time and in the manner dictated by the Company's standard payroll policies.</w:t>
      </w:r>
    </w:p>
    <w:p>
      <w:pPr>
        <w:spacing w:after="0" w:line="147" w:lineRule="exact"/>
        <w:rPr>
          <w:rFonts w:ascii="Arial" w:cs="Arial" w:eastAsia="Arial" w:hAnsi="Arial"/>
          <w:sz w:val="17"/>
          <w:szCs w:val="17"/>
          <w:color w:val="auto"/>
        </w:rPr>
      </w:pPr>
    </w:p>
    <w:p>
      <w:pPr>
        <w:ind w:left="1440" w:hanging="784"/>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5(c) of the Agreement is deleted and the following shall be inserted in lieu thereof:</w:t>
      </w:r>
    </w:p>
    <w:p>
      <w:pPr>
        <w:spacing w:after="0" w:line="23" w:lineRule="exact"/>
        <w:rPr>
          <w:rFonts w:ascii="Arial" w:cs="Arial" w:eastAsia="Arial" w:hAnsi="Arial"/>
          <w:sz w:val="18"/>
          <w:szCs w:val="18"/>
          <w:color w:val="auto"/>
        </w:rPr>
      </w:pPr>
    </w:p>
    <w:p>
      <w:pPr>
        <w:ind w:left="660" w:firstLine="645"/>
        <w:spacing w:after="0" w:line="276" w:lineRule="auto"/>
        <w:tabs>
          <w:tab w:leader="none" w:pos="1729" w:val="left"/>
        </w:tabs>
        <w:numPr>
          <w:ilvl w:val="1"/>
          <w:numId w:val="58"/>
        </w:numPr>
        <w:rPr>
          <w:rFonts w:ascii="Arial" w:cs="Arial" w:eastAsia="Arial" w:hAnsi="Arial"/>
          <w:sz w:val="18"/>
          <w:szCs w:val="18"/>
          <w:color w:val="auto"/>
        </w:rPr>
      </w:pPr>
      <w:r>
        <w:rPr>
          <w:rFonts w:ascii="Arial" w:cs="Arial" w:eastAsia="Arial" w:hAnsi="Arial"/>
          <w:sz w:val="18"/>
          <w:szCs w:val="18"/>
          <w:color w:val="auto"/>
        </w:rPr>
        <w:t>eligibility to elect and purchase supplemental disability insurance sufficient to provide sixty percent of the Employee's pre-disability Annual Base Salary, subject to certain limitations contained in the disability policies;</w:t>
      </w:r>
    </w:p>
    <w:p>
      <w:pPr>
        <w:spacing w:after="0" w:line="198" w:lineRule="exact"/>
        <w:rPr>
          <w:rFonts w:ascii="Arial" w:cs="Arial" w:eastAsia="Arial" w:hAnsi="Arial"/>
          <w:sz w:val="18"/>
          <w:szCs w:val="18"/>
          <w:color w:val="auto"/>
        </w:rPr>
      </w:pPr>
    </w:p>
    <w:p>
      <w:pPr>
        <w:ind w:left="1440" w:hanging="784"/>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last sentence of Section 5(d) is deleted and the following shall be inserted in lieu thereof:</w:t>
      </w:r>
    </w:p>
    <w:p>
      <w:pPr>
        <w:spacing w:after="0" w:line="23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Unless provided otherwise herein or the Board determines otherwise, no Annual Bonus shall be paid to the Employee unless the Employee is employed by the Company, or an affiliate thereof, on the last day of the Annual Bonus measurement period.</w:t>
      </w:r>
    </w:p>
    <w:p>
      <w:pPr>
        <w:spacing w:after="0" w:line="197" w:lineRule="exact"/>
        <w:rPr>
          <w:sz w:val="20"/>
          <w:szCs w:val="20"/>
          <w:color w:val="auto"/>
        </w:rPr>
      </w:pPr>
    </w:p>
    <w:p>
      <w:pPr>
        <w:ind w:left="1440" w:hanging="784"/>
        <w:spacing w:after="0"/>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13(c) of the Agreement is deleted and the following shall be inserted in lieu thereof:</w:t>
      </w:r>
    </w:p>
    <w:p>
      <w:pPr>
        <w:spacing w:after="0" w:line="239" w:lineRule="exact"/>
        <w:rPr>
          <w:sz w:val="20"/>
          <w:szCs w:val="20"/>
          <w:color w:val="auto"/>
        </w:rPr>
      </w:pPr>
    </w:p>
    <w:p>
      <w:pPr>
        <w:jc w:val="both"/>
        <w:ind w:left="1300" w:hanging="644"/>
        <w:spacing w:after="0" w:line="259"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Working, directly or indirectly, for any of the following entities shall not be considered competitive to the Company or its affiliates for the purpose of Section 13(b) (After Employment Term Non-Compete): (i) Fidelity National Information Services, Inc., its affiliates or their successors; or (ii) the Company, its affiliates or their successors if this Agreement is assumed by a third party as contemplated by Section 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FIDELITY NATINOAL FINANCIAL, INC.</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George P. Scanlon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Brent B. Bickett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BRENT B. BICKETT</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THIS AMENDMENT NO. 1 TO AMENDED AND RESTATED EMPLOYMENT AGREEMENT (the "Amendment") is effective as of January 30, 2013 (the "Effective Date"), by and between </w:t>
      </w:r>
      <w:r>
        <w:rPr>
          <w:rFonts w:ascii="Arial" w:cs="Arial" w:eastAsia="Arial" w:hAnsi="Arial"/>
          <w:sz w:val="18"/>
          <w:szCs w:val="18"/>
          <w:b w:val="1"/>
          <w:bCs w:val="1"/>
          <w:color w:val="auto"/>
        </w:rPr>
        <w:t>FIDELITY NATIONAL FINANCIAL, INC.</w:t>
      </w:r>
      <w:r>
        <w:rPr>
          <w:rFonts w:ascii="Arial" w:cs="Arial" w:eastAsia="Arial" w:hAnsi="Arial"/>
          <w:sz w:val="18"/>
          <w:szCs w:val="18"/>
          <w:color w:val="auto"/>
        </w:rPr>
        <w:t xml:space="preserve">, a Delaware corporation (the "Company"), and </w:t>
      </w:r>
      <w:r>
        <w:rPr>
          <w:rFonts w:ascii="Arial" w:cs="Arial" w:eastAsia="Arial" w:hAnsi="Arial"/>
          <w:sz w:val="18"/>
          <w:szCs w:val="18"/>
          <w:b w:val="1"/>
          <w:bCs w:val="1"/>
          <w:color w:val="auto"/>
        </w:rPr>
        <w:t>MICHAEL 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GRAVELLE </w:t>
      </w:r>
      <w:r>
        <w:rPr>
          <w:rFonts w:ascii="Arial" w:cs="Arial" w:eastAsia="Arial" w:hAnsi="Arial"/>
          <w:sz w:val="18"/>
          <w:szCs w:val="18"/>
          <w:color w:val="auto"/>
        </w:rPr>
        <w:t>(the "Employee") and amends that certain Amended and Restated Employment Agreement dated as of January 1, 2010 (the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the mutual covenants and agreements set forth herein, the parties agree as follows:</w:t>
      </w:r>
    </w:p>
    <w:p>
      <w:pPr>
        <w:spacing w:after="0" w:line="214" w:lineRule="exact"/>
        <w:rPr>
          <w:sz w:val="20"/>
          <w:szCs w:val="20"/>
          <w:color w:val="auto"/>
        </w:rPr>
      </w:pPr>
    </w:p>
    <w:p>
      <w:pPr>
        <w:jc w:val="both"/>
        <w:ind w:left="660" w:firstLine="482"/>
        <w:spacing w:after="0" w:line="294" w:lineRule="auto"/>
        <w:tabs>
          <w:tab w:leader="none" w:pos="1443"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Section 2 of the Agreement is deleted and the following shall be inserted in lieu thereof: “</w:t>
      </w:r>
      <w:r>
        <w:rPr>
          <w:rFonts w:ascii="Arial" w:cs="Arial" w:eastAsia="Arial" w:hAnsi="Arial"/>
          <w:sz w:val="18"/>
          <w:szCs w:val="18"/>
          <w:u w:val="single" w:color="auto"/>
          <w:color w:val="auto"/>
        </w:rPr>
        <w:t>Employment and Duties</w:t>
      </w:r>
      <w:r>
        <w:rPr>
          <w:rFonts w:ascii="Arial" w:cs="Arial" w:eastAsia="Arial" w:hAnsi="Arial"/>
          <w:sz w:val="18"/>
          <w:szCs w:val="18"/>
          <w:color w:val="auto"/>
        </w:rPr>
        <w:t>. Subject to the terms and conditions of this Agreement, the Company agrees to continue to employ the Employee to serve in an executive capacity as Executive Vice President, General Counsel and Corporate Secretary. The Employee accepts such continued employment and agrees to undertake and discharge the duties, functions and responsibilities commensurate with the aforesaid position and such other duties, functions and responsibilities as may be prescribed from time to time by the Chief Executive Officer (the "CEO") or the Chairman of the Board of Directors of the Company. The Company acknowledges and agrees that Employee may serve as a non-executive employee of Fidelity National Information Services, Inc., Senior Vice President, General Counsel and Corporate Secretary of Remy International, Inc. (“Remy”), a majority owned subsidiary of the Company and receive an annual salary of $148,000 and a bonus opportunity at target under Remy's annual incentive plan of 55% ($81,400), and in other unpaid non-competitor companies.”</w:t>
      </w:r>
    </w:p>
    <w:p>
      <w:pPr>
        <w:spacing w:after="0" w:line="1" w:lineRule="exact"/>
        <w:rPr>
          <w:rFonts w:ascii="Arial" w:cs="Arial" w:eastAsia="Arial" w:hAnsi="Arial"/>
          <w:sz w:val="18"/>
          <w:szCs w:val="18"/>
          <w:color w:val="auto"/>
        </w:rPr>
      </w:pPr>
    </w:p>
    <w:p>
      <w:pPr>
        <w:jc w:val="both"/>
        <w:ind w:firstLine="656"/>
        <w:spacing w:after="0" w:line="272" w:lineRule="auto"/>
        <w:tabs>
          <w:tab w:leader="none" w:pos="8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first sentence of Section 4 of the Agreement is deleted and the following shall be inserted in lieu thereof: “</w:t>
      </w:r>
      <w:r>
        <w:rPr>
          <w:rFonts w:ascii="Arial" w:cs="Arial" w:eastAsia="Arial" w:hAnsi="Arial"/>
          <w:sz w:val="17"/>
          <w:szCs w:val="17"/>
          <w:u w:val="single" w:color="auto"/>
          <w:color w:val="auto"/>
        </w:rPr>
        <w:t>Salary</w:t>
      </w:r>
      <w:r>
        <w:rPr>
          <w:rFonts w:ascii="Arial" w:cs="Arial" w:eastAsia="Arial" w:hAnsi="Arial"/>
          <w:sz w:val="17"/>
          <w:szCs w:val="17"/>
          <w:color w:val="auto"/>
        </w:rPr>
        <w:t>. During the period from February 1, 2013 through March 31, 2013, the Company shall pay the Employee a base salary at an annual rate, before deducting all applicable withholdings, of $82,000 per year, payable at the time and in the manner dictated by the Company's standard payroll policies. During the period from April 1, 2013 through the end of the Employment Term, the Company shall pay the Employee a base salary at an annual rate, before deducting all applicable withholdings, of no less than $337,000 per year, payable at the time and in the manner dictated by the Company's standard payroll policies. For purposes of calculating Employee's disability and supplemental disability insurance, and termination payments under the Agreement, Employee's Annual Base Salary shall include Employee's aggregate annual base salary with the Company and Remy.”</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 Section 5(c) of the Agreement is deleted and the following shall be inserted in lieu thereof: “(c) eligibility to elect and purchase supplemental disability insurance sufficient to provide sixty percent of the Employee's pre-disability Annual Base Salary, subject to certain limitations contained in the disability policies”</w:t>
      </w:r>
    </w:p>
    <w:p>
      <w:pPr>
        <w:spacing w:after="0" w:line="181" w:lineRule="exact"/>
        <w:rPr>
          <w:sz w:val="20"/>
          <w:szCs w:val="20"/>
          <w:color w:val="auto"/>
        </w:rPr>
      </w:pPr>
    </w:p>
    <w:p>
      <w:pPr>
        <w:jc w:val="both"/>
        <w:ind w:firstLine="656"/>
        <w:spacing w:after="0" w:line="276" w:lineRule="auto"/>
        <w:tabs>
          <w:tab w:leader="none" w:pos="9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Section 5(d) is deleted and the following shall be inserted in lieu thereof: “an annual incentive bonus opportunity under the Company's annual incentive plan ("Annual Bonus Plan") for each calendar year included in the Employment Term, with such opportunity to be earned based upon attainment of performance objectives established by the Committee ("Annual Bonus"). For 2012 and continuing for the remainder of the Employment Term, the Employee's target Annual Bonus under the Annual Bonus Plan shall be no less than 120% of the Employee's paid salary with the Company, with a maximum of up to 240% of the Employee's paid salary with the Company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first following the calendar year to which the Annual Bonus relates. Unless provided otherwise herein or the Committee determines otherwise, no Annual Bonus shall be paid to the Employee unless the Employee is employed by the Company, or an affiliate thereof, on the last day of the Annual Bonus measurement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George P. Scanlon</w:t>
      </w:r>
    </w:p>
    <w:p>
      <w:pPr>
        <w:spacing w:after="0" w:line="63"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L. Gravelle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u w:val="single" w:color="auto"/>
          <w:color w:val="auto"/>
        </w:rPr>
        <w:t>/s/ Michael L. Gravelle</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10.25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AMENDMENT (the “Amendment”) is effective as of February 4, 2010 and amends the July 23, 2008 Amended and Restated Employment Agreement (the “Agreement”) by and between </w:t>
      </w:r>
      <w:r>
        <w:rPr>
          <w:rFonts w:ascii="Arial" w:cs="Arial" w:eastAsia="Arial" w:hAnsi="Arial"/>
          <w:sz w:val="18"/>
          <w:szCs w:val="18"/>
          <w:b w:val="1"/>
          <w:bCs w:val="1"/>
          <w:color w:val="auto"/>
        </w:rPr>
        <w:t>FIDELITY NATIONAL FINANCIAL, INC.,</w:t>
      </w:r>
      <w:r>
        <w:rPr>
          <w:rFonts w:ascii="Arial" w:cs="Arial" w:eastAsia="Arial" w:hAnsi="Arial"/>
          <w:sz w:val="18"/>
          <w:szCs w:val="18"/>
          <w:color w:val="auto"/>
        </w:rPr>
        <w:t xml:space="preserve"> a Delaware corporation (the “Company”), and </w:t>
      </w:r>
      <w:r>
        <w:rPr>
          <w:rFonts w:ascii="Arial" w:cs="Arial" w:eastAsia="Arial" w:hAnsi="Arial"/>
          <w:sz w:val="18"/>
          <w:szCs w:val="18"/>
          <w:b w:val="1"/>
          <w:bCs w:val="1"/>
          <w:color w:val="auto"/>
        </w:rPr>
        <w:t>PETER 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SADOWSKI </w:t>
      </w:r>
      <w:r>
        <w:rPr>
          <w:rFonts w:ascii="Arial" w:cs="Arial" w:eastAsia="Arial" w:hAnsi="Arial"/>
          <w:sz w:val="18"/>
          <w:szCs w:val="18"/>
          <w:color w:val="auto"/>
        </w:rPr>
        <w:t>(the “Employee”) as follows:</w:t>
      </w:r>
    </w:p>
    <w:p>
      <w:pPr>
        <w:spacing w:after="0" w:line="18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Excise Taxes</w:t>
      </w:r>
      <w:r>
        <w:rPr>
          <w:rFonts w:ascii="Arial" w:cs="Arial" w:eastAsia="Arial" w:hAnsi="Arial"/>
          <w:sz w:val="16"/>
          <w:szCs w:val="16"/>
          <w:color w:val="auto"/>
        </w:rPr>
        <w:t>. Section 10 of the Agreement is replaced in its entirety with the following:</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Excise Taxes</w:t>
      </w:r>
      <w:r>
        <w:rPr>
          <w:rFonts w:ascii="Arial" w:cs="Arial" w:eastAsia="Arial" w:hAnsi="Arial"/>
          <w:sz w:val="16"/>
          <w:szCs w:val="16"/>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73" w:lineRule="exact"/>
        <w:rPr>
          <w:sz w:val="20"/>
          <w:szCs w:val="20"/>
          <w:color w:val="auto"/>
        </w:rPr>
      </w:pPr>
    </w:p>
    <w:p>
      <w:pPr>
        <w:ind w:right="20" w:firstLine="656"/>
        <w:spacing w:after="0" w:line="277" w:lineRule="auto"/>
        <w:tabs>
          <w:tab w:leader="none" w:pos="97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 and Conflicts</w:t>
      </w:r>
      <w:r>
        <w:rPr>
          <w:rFonts w:ascii="Arial" w:cs="Arial" w:eastAsia="Arial" w:hAnsi="Arial"/>
          <w:sz w:val="18"/>
          <w:szCs w:val="18"/>
          <w:color w:val="auto"/>
        </w:rPr>
        <w:t>. All terms not specifically defined in this Amendment shall have the same meaning as in the Agreement. In the event of a conflict between the terms of this Amendment and the Agreement, this Amendment shall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Gravelle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General Counsel,</w:t>
      </w:r>
    </w:p>
    <w:p>
      <w:pPr>
        <w:spacing w:after="0" w:line="23"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Corporate Secretary</w:t>
      </w:r>
    </w:p>
    <w:p>
      <w:pPr>
        <w:spacing w:after="0" w:line="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Peter T. Sadowski</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u w:val="single" w:color="auto"/>
          <w:color w:val="auto"/>
        </w:rPr>
        <w:t>/s/ Peter T. Sadowski</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6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720" w:type="dxa"/>
            <w:vAlign w:val="bottom"/>
          </w:tcPr>
          <w:p>
            <w:pPr>
              <w:spacing w:after="0"/>
              <w:rPr>
                <w:sz w:val="18"/>
                <w:szCs w:val="18"/>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9"/>
              </w:rPr>
              <w:t>List of Subsidiaries December 31, 2012</w:t>
            </w:r>
          </w:p>
        </w:tc>
      </w:tr>
      <w:tr>
        <w:trPr>
          <w:trHeight w:val="234"/>
        </w:trPr>
        <w:tc>
          <w:tcPr>
            <w:tcW w:w="3720" w:type="dxa"/>
            <w:vAlign w:val="bottom"/>
          </w:tcPr>
          <w:p>
            <w:pPr>
              <w:spacing w:after="0"/>
              <w:rPr>
                <w:sz w:val="20"/>
                <w:szCs w:val="20"/>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8"/>
              </w:rPr>
              <w:t>Six Significant Subsidiaries</w:t>
            </w:r>
          </w:p>
        </w:tc>
      </w:tr>
      <w:tr>
        <w:trPr>
          <w:trHeight w:val="64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7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Commonwealth Land Title Insurance Company</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Nebraska</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Remy International, Inc.</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80"/>
          </w:cols>
          <w:pgMar w:left="28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333-157643, 333-132843, 333-138254, 333-129886, 333-129016, and 333-176395) on Form S-8 and Registration Statements (Nos. 333-157123, 333-147391, and 333-174650) on Form S-3 of Fidelity National Financial, Inc. of our reports dated February 26, 2013, with respect to the Consolidated Balance Sheets of Fidelity National Financial, Inc. as of December 31, 2012 and 2011, and the related Consolidated Statements of Earnings, Comprehensive Earnings, Equity and Cash Flows for each of the years in the three-year period ended December 31, 2012, and all related financial statement schedules, and the effectiveness of internal control over financial reporting as of December 31, 2012, which reports appear in the December 31, 2012 annual report on Form 10-K of Fidelity National Financial,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60" w:right="60" w:hanging="390"/>
        <w:spacing w:after="0" w:line="264"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60" w:right="60" w:hanging="395"/>
        <w:spacing w:after="0" w:line="264"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60" w:right="60" w:hanging="390"/>
        <w:spacing w:after="0" w:line="308" w:lineRule="auto"/>
        <w:tabs>
          <w:tab w:leader="none" w:pos="7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60" w:right="60" w:hanging="395"/>
        <w:spacing w:after="0" w:line="264"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390"/>
        <w:spacing w:after="0" w:line="277"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395"/>
        <w:spacing w:after="0" w:line="277" w:lineRule="auto"/>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R"/>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lowerRoman"/>
      <w:start w:val="2"/>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lowerRoman"/>
      <w:start w:val="3"/>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lowerRoman"/>
      <w:start w:val="2"/>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upperLetter"/>
      <w:start w:val="2"/>
    </w:lvl>
  </w:abstractNum>
  <w:abstractNum w:abstractNumId="38">
    <w:nsid w:val="520EEDD1"/>
    <w:multiLevelType w:val="hybridMultilevel"/>
    <w:lvl w:ilvl="0">
      <w:lvlJc w:val="left"/>
      <w:lvlText w:val="%1."/>
      <w:numFmt w:val="upperLetter"/>
      <w:start w:val="3"/>
    </w:lvl>
  </w:abstractNum>
  <w:abstractNum w:abstractNumId="39">
    <w:nsid w:val="374A3FE6"/>
    <w:multiLevelType w:val="hybridMultilevel"/>
    <w:lvl w:ilvl="0">
      <w:lvlJc w:val="left"/>
      <w:lvlText w:val="%1."/>
      <w:numFmt w:val="upperLetter"/>
      <w:start w:val="4"/>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lvl w:ilvl="1">
      <w:lvlJc w:val="left"/>
      <w:lvlText w:val="(%2)"/>
      <w:numFmt w:val="lowerRoman"/>
      <w:start w:val="1"/>
    </w:lvl>
  </w:abstractNum>
  <w:abstractNum w:abstractNumId="44">
    <w:nsid w:val="39386575"/>
    <w:multiLevelType w:val="hybridMultilevel"/>
    <w:lvl w:ilvl="0">
      <w:lvlJc w:val="left"/>
      <w:lvlText w:val="%1"/>
      <w:numFmt w:val="upperLetter"/>
      <w:start w:val="1"/>
    </w:lvl>
    <w:lvl w:ilvl="1">
      <w:lvlJc w:val="left"/>
      <w:lvlText w:val="(%2)"/>
      <w:numFmt w:val="lowerRoman"/>
      <w:start w:val="3"/>
    </w:lvl>
  </w:abstractNum>
  <w:abstractNum w:abstractNumId="45">
    <w:nsid w:val="1CF10FD8"/>
    <w:multiLevelType w:val="hybridMultilevel"/>
    <w:lvl w:ilvl="0">
      <w:lvlJc w:val="left"/>
      <w:lvlText w:val="(%1)"/>
      <w:numFmt w:val="upperLetter"/>
      <w:start w:val="1"/>
    </w:lvl>
    <w:lvl w:ilvl="1">
      <w:lvlJc w:val="left"/>
      <w:lvlText w:val="(%2)"/>
      <w:numFmt w:val="lowerRoman"/>
      <w:start w:val="4"/>
    </w:lvl>
  </w:abstractNum>
  <w:abstractNum w:abstractNumId="46">
    <w:nsid w:val="180115BE"/>
    <w:multiLevelType w:val="hybridMultilevel"/>
    <w:lvl w:ilvl="0">
      <w:lvlJc w:val="left"/>
      <w:lvlText w:val="%1"/>
      <w:numFmt w:val="lowerLetter"/>
      <w:start w:val="1"/>
    </w:lvl>
    <w:lvl w:ilvl="1">
      <w:lvlJc w:val="left"/>
      <w:lvlText w:val="(%2)"/>
      <w:numFmt w:val="lowerRoman"/>
      <w:start w:val="6"/>
    </w:lvl>
  </w:abstractNum>
  <w:abstractNum w:abstractNumId="47">
    <w:nsid w:val="235BA861"/>
    <w:multiLevelType w:val="hybridMultilevel"/>
    <w:lvl w:ilvl="0">
      <w:lvlJc w:val="left"/>
      <w:lvlText w:val="(%1)"/>
      <w:numFmt w:val="lowerLetter"/>
      <w:start w:val="2"/>
    </w:lvl>
    <w:lvl w:ilvl="1">
      <w:lvlJc w:val="left"/>
      <w:lvlText w:val="%2"/>
      <w:numFmt w:val="lowerRoman"/>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lvl w:ilvl="1">
      <w:lvlJc w:val="left"/>
      <w:lvlText w:val="(%2)"/>
      <w:numFmt w:val="lowerRoman"/>
      <w:start w:val="1"/>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lowerLetter"/>
      <w:start w:val="4"/>
    </w:lvl>
  </w:abstractNum>
  <w:abstractNum w:abstractNumId="54">
    <w:nsid w:val="3F6AB60F"/>
    <w:multiLevelType w:val="hybridMultilevel"/>
    <w:lvl w:ilvl="0">
      <w:lvlJc w:val="left"/>
      <w:lvlText w:val="(%1)"/>
      <w:numFmt w:val="lowerLetter"/>
      <w:start w:val="1"/>
    </w:lvl>
    <w:lvl w:ilvl="1">
      <w:lvlJc w:val="left"/>
      <w:lvlText w:val="(%2)"/>
      <w:numFmt w:val="lowerLetter"/>
      <w:start w:val="3"/>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5"/>
    </w:lvl>
  </w:abstractNum>
  <w:abstractNum w:abstractNumId="57">
    <w:nsid w:val="77AE35EB"/>
    <w:multiLevelType w:val="hybridMultilevel"/>
    <w:lvl w:ilvl="0">
      <w:lvlJc w:val="left"/>
      <w:lvlText w:val="%1."/>
      <w:numFmt w:val="decimal"/>
      <w:start w:val="1"/>
    </w:lvl>
    <w:lvl w:ilvl="1">
      <w:lvlJc w:val="left"/>
      <w:lvlText w:val="(%2)"/>
      <w:numFmt w:val="lowerLetter"/>
      <w:start w:val="3"/>
    </w:lvl>
  </w:abstractNum>
  <w:abstractNum w:abstractNumId="58">
    <w:nsid w:val="579BE4F1"/>
    <w:multiLevelType w:val="hybridMultilevel"/>
    <w:lvl w:ilvl="0">
      <w:lvlJc w:val="left"/>
      <w:lvlText w:val="%1."/>
      <w:numFmt w:val="decimal"/>
      <w:start w:val="5"/>
    </w:lvl>
  </w:abstractNum>
  <w:abstractNum w:abstractNumId="59">
    <w:nsid w:val="310C50B3"/>
    <w:multiLevelType w:val="hybridMultilevel"/>
    <w:lvl w:ilvl="0">
      <w:lvlJc w:val="left"/>
      <w:lvlText w:val="(%1)"/>
      <w:numFmt w:val="lowerLetter"/>
      <w:start w:val="3"/>
    </w:lvl>
  </w:abstractNum>
  <w:abstractNum w:abstractNumId="60">
    <w:nsid w:val="5FF87E05"/>
    <w:multiLevelType w:val="hybridMultilevel"/>
    <w:lvl w:ilvl="0">
      <w:lvlJc w:val="left"/>
      <w:lvlText w:val="%1"/>
      <w:numFmt w:val="decimal"/>
      <w:start w:val="1"/>
    </w:lvl>
    <w:lvl w:ilvl="1">
      <w:lvlJc w:val="left"/>
      <w:lvlText w:val="%2."/>
      <w:numFmt w:val="decimal"/>
      <w:start w:val="1"/>
    </w:lvl>
  </w:abstractNum>
  <w:abstractNum w:abstractNumId="61">
    <w:nsid w:val="2F305DEF"/>
    <w:multiLevelType w:val="hybridMultilevel"/>
    <w:lvl w:ilvl="0">
      <w:lvlJc w:val="left"/>
      <w:lvlText w:val="%1."/>
      <w:numFmt w:val="decimal"/>
      <w:start w:val="2"/>
    </w:lvl>
    <w:lvl w:ilvl="1">
      <w:lvlJc w:val="left"/>
      <w:lvlText w:val="%2"/>
      <w:numFmt w:val="decimal"/>
      <w:start w:val="1"/>
    </w:lvl>
  </w:abstractNum>
  <w:abstractNum w:abstractNumId="62">
    <w:nsid w:val="25A70BF7"/>
    <w:multiLevelType w:val="hybridMultilevel"/>
    <w:lvl w:ilvl="0">
      <w:lvlJc w:val="left"/>
      <w:lvlText w:val="%1."/>
      <w:numFmt w:val="decimal"/>
      <w:start w:val="4"/>
    </w:lvl>
  </w:abstractNum>
  <w:abstractNum w:abstractNumId="63">
    <w:nsid w:val="1DBABF00"/>
    <w:multiLevelType w:val="hybridMultilevel"/>
    <w:lvl w:ilvl="0">
      <w:lvlJc w:val="left"/>
      <w:lvlText w:val="%1."/>
      <w:numFmt w:val="decimal"/>
      <w:start w:val="2"/>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2019-12-07T10:36:40Z</dcterms:created>
  <dcterms:modified xsi:type="dcterms:W3CDTF">2019-12-07T10:36:40Z</dcterms:modified>
</cp:coreProperties>
</file>