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5"/>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76200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6"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91440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8" w:lineRule="exact"/>
        <w:rPr>
          <w:sz w:val="24"/>
          <w:szCs w:val="24"/>
          <w:color w:val="auto"/>
        </w:rPr>
      </w:pPr>
    </w:p>
    <w:p>
      <w:pPr>
        <w:ind w:left="46"/>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506" w:hanging="434"/>
        <w:spacing w:after="0"/>
        <w:tabs>
          <w:tab w:leader="none" w:pos="506"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5"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04"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66" w:right="220" w:hanging="566"/>
        <w:spacing w:after="0" w:line="180" w:lineRule="auto"/>
        <w:tabs>
          <w:tab w:leader="none" w:pos="566"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21"/>
          <w:szCs w:val="21"/>
          <w:b w:val="1"/>
          <w:bCs w:val="1"/>
          <w:color w:val="auto"/>
        </w:rPr>
        <w:t>TRANSITION REPORT PURSUANT TO SECTION 13 OR 15(d) OF THE SECURITIES EXCHANGE ACT OF 1934</w:t>
      </w:r>
    </w:p>
    <w:p>
      <w:pPr>
        <w:spacing w:after="0" w:line="80"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94615</wp:posOffset>
            </wp:positionV>
            <wp:extent cx="3660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30" w:lineRule="exact"/>
        <w:rPr>
          <w:sz w:val="24"/>
          <w:szCs w:val="24"/>
          <w:color w:val="auto"/>
        </w:rPr>
      </w:pPr>
    </w:p>
    <w:p>
      <w:pPr>
        <w:jc w:val="center"/>
        <w:ind w:right="-45"/>
        <w:spacing w:after="0"/>
        <w:rPr>
          <w:sz w:val="20"/>
          <w:szCs w:val="20"/>
          <w:color w:val="auto"/>
        </w:rPr>
      </w:pPr>
      <w:r>
        <w:rPr>
          <w:rFonts w:ascii="Arial" w:cs="Arial" w:eastAsia="Arial" w:hAnsi="Arial"/>
          <w:sz w:val="40"/>
          <w:szCs w:val="40"/>
          <w:b w:val="1"/>
          <w:bCs w:val="1"/>
          <w:color w:val="auto"/>
        </w:rPr>
        <w:t>FIDELITY NATIONAL FINANCIAL, INC.</w:t>
      </w:r>
    </w:p>
    <w:p>
      <w:pPr>
        <w:spacing w:after="0" w:line="69"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94615</wp:posOffset>
            </wp:positionV>
            <wp:extent cx="3660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86" w:lineRule="exact"/>
        <w:rPr>
          <w:sz w:val="24"/>
          <w:szCs w:val="24"/>
          <w:color w:val="auto"/>
        </w:rPr>
      </w:pPr>
    </w:p>
    <w:tbl>
      <w:tblPr>
        <w:tblLayout w:type="fixed"/>
        <w:tblInd w:w="846"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210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Delaware</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gridSpan w:val="3"/>
          </w:tcPr>
          <w:p>
            <w:pPr>
              <w:jc w:val="center"/>
              <w:ind w:left="1802"/>
              <w:spacing w:after="0"/>
              <w:rPr>
                <w:sz w:val="20"/>
                <w:szCs w:val="20"/>
                <w:color w:val="auto"/>
              </w:rPr>
            </w:pPr>
            <w:r>
              <w:rPr>
                <w:rFonts w:ascii="Arial" w:cs="Arial" w:eastAsia="Arial" w:hAnsi="Arial"/>
                <w:sz w:val="18"/>
                <w:szCs w:val="18"/>
                <w:b w:val="1"/>
                <w:bCs w:val="1"/>
                <w:color w:val="auto"/>
                <w:w w:val="91"/>
              </w:rPr>
              <w:t>16-1725106</w:t>
            </w:r>
          </w:p>
        </w:tc>
      </w:tr>
      <w:tr>
        <w:trPr>
          <w:trHeight w:val="144"/>
        </w:trPr>
        <w:tc>
          <w:tcPr>
            <w:tcW w:w="2680" w:type="dxa"/>
            <w:vAlign w:val="bottom"/>
            <w:gridSpan w:val="4"/>
          </w:tcPr>
          <w:p>
            <w:pPr>
              <w:jc w:val="center"/>
              <w:ind w:right="7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gridSpan w:val="2"/>
          </w:tcPr>
          <w:p>
            <w:pPr>
              <w:jc w:val="center"/>
              <w:ind w:left="3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4"/>
              </w:rPr>
              <w:t>incorporation or organization)</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r>
      <w:tr>
        <w:trPr>
          <w:trHeight w:val="29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601 Riverside Avenue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Jacksonville, Florida, 32204</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45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3"/>
          </w:tcPr>
          <w:p>
            <w:pPr>
              <w:jc w:val="center"/>
              <w:ind w:left="644"/>
              <w:spacing w:after="0"/>
              <w:rPr>
                <w:sz w:val="20"/>
                <w:szCs w:val="20"/>
                <w:color w:val="auto"/>
              </w:rPr>
            </w:pPr>
            <w:r>
              <w:rPr>
                <w:rFonts w:ascii="Arial" w:cs="Arial" w:eastAsia="Arial" w:hAnsi="Arial"/>
                <w:sz w:val="18"/>
                <w:szCs w:val="18"/>
                <w:b w:val="1"/>
                <w:bCs w:val="1"/>
                <w:color w:val="auto"/>
                <w:w w:val="90"/>
              </w:rPr>
              <w:t>(904) 854-8100</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8"/>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0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580" w:type="dxa"/>
            <w:vAlign w:val="bottom"/>
          </w:tcPr>
          <w:p>
            <w:pPr>
              <w:spacing w:after="0"/>
              <w:rPr>
                <w:sz w:val="15"/>
                <w:szCs w:val="15"/>
                <w:color w:val="auto"/>
              </w:rPr>
            </w:pPr>
          </w:p>
        </w:tc>
        <w:tc>
          <w:tcPr>
            <w:tcW w:w="21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Title of Each Class</w:t>
            </w:r>
          </w:p>
        </w:tc>
        <w:tc>
          <w:tcPr>
            <w:tcW w:w="820" w:type="dxa"/>
            <w:vAlign w:val="bottom"/>
          </w:tcPr>
          <w:p>
            <w:pPr>
              <w:spacing w:after="0"/>
              <w:rPr>
                <w:sz w:val="15"/>
                <w:szCs w:val="15"/>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4"/>
              </w:rPr>
              <w:t>Trading Symbol</w:t>
            </w:r>
          </w:p>
        </w:tc>
        <w:tc>
          <w:tcPr>
            <w:tcW w:w="3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268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FNF Common Stock, $0.0001 par value</w:t>
            </w:r>
          </w:p>
        </w:tc>
        <w:tc>
          <w:tcPr>
            <w:tcW w:w="820" w:type="dxa"/>
            <w:vAlign w:val="bottom"/>
          </w:tcPr>
          <w:p>
            <w:pPr>
              <w:spacing w:after="0"/>
              <w:rPr>
                <w:sz w:val="17"/>
                <w:szCs w:val="17"/>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color w:val="auto"/>
              </w:rPr>
              <w:t>FNF</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8" w:lineRule="exact"/>
        <w:rPr>
          <w:sz w:val="24"/>
          <w:szCs w:val="24"/>
          <w:color w:val="auto"/>
        </w:rPr>
      </w:pPr>
    </w:p>
    <w:p>
      <w:pPr>
        <w:ind w:left="46"/>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1" w:lineRule="exact"/>
        <w:rPr>
          <w:sz w:val="24"/>
          <w:szCs w:val="24"/>
          <w:color w:val="auto"/>
        </w:rPr>
      </w:pPr>
    </w:p>
    <w:p>
      <w:pPr>
        <w:ind w:left="46" w:right="3440"/>
        <w:spacing w:after="0" w:line="27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3"/>
          <w:szCs w:val="13"/>
          <w:color w:val="auto"/>
        </w:rPr>
        <w:t xml:space="preserve"> No </w:t>
      </w:r>
      <w:r>
        <w:rPr>
          <w:rFonts w:ascii="MS PGothic" w:cs="MS PGothic" w:eastAsia="MS PGothic" w:hAnsi="MS PGothic"/>
          <w:sz w:val="19"/>
          <w:szCs w:val="19"/>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3"/>
          <w:szCs w:val="13"/>
          <w:color w:val="auto"/>
        </w:rPr>
        <w:t xml:space="preserve"> No </w:t>
      </w:r>
      <w:r>
        <w:rPr>
          <w:rFonts w:ascii="MS PGothic" w:cs="MS PGothic" w:eastAsia="MS PGothic" w:hAnsi="MS PGothic"/>
          <w:sz w:val="19"/>
          <w:szCs w:val="19"/>
          <w:color w:val="auto"/>
        </w:rPr>
        <w:t>☒</w:t>
      </w:r>
    </w:p>
    <w:p>
      <w:pPr>
        <w:spacing w:after="0" w:line="43" w:lineRule="exact"/>
        <w:rPr>
          <w:sz w:val="24"/>
          <w:szCs w:val="24"/>
          <w:color w:val="auto"/>
        </w:rPr>
      </w:pPr>
    </w:p>
    <w:p>
      <w:pPr>
        <w:ind w:left="46" w:right="20"/>
        <w:spacing w:after="0" w:line="23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 </w:t>
      </w:r>
      <w:r>
        <w:rPr>
          <w:rFonts w:ascii="MS PGothic" w:cs="MS PGothic" w:eastAsia="MS PGothic" w:hAnsi="MS PGothic"/>
          <w:sz w:val="21"/>
          <w:szCs w:val="21"/>
          <w:color w:val="auto"/>
        </w:rPr>
        <w:t>☐</w:t>
      </w:r>
    </w:p>
    <w:p>
      <w:pPr>
        <w:spacing w:after="0" w:line="39" w:lineRule="exact"/>
        <w:rPr>
          <w:sz w:val="24"/>
          <w:szCs w:val="24"/>
          <w:color w:val="auto"/>
        </w:rPr>
      </w:pPr>
    </w:p>
    <w:p>
      <w:pPr>
        <w:ind w:left="46"/>
        <w:spacing w:after="0" w:line="24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6"/>
          <w:szCs w:val="16"/>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w:t>
      </w:r>
      <w:r>
        <w:rPr>
          <w:rFonts w:ascii="MS PGothic" w:cs="MS PGothic" w:eastAsia="MS PGothic" w:hAnsi="MS PGothic"/>
          <w:sz w:val="14"/>
          <w:szCs w:val="14"/>
          <w:color w:val="auto"/>
        </w:rPr>
        <w:t>☐</w:t>
      </w:r>
    </w:p>
    <w:p>
      <w:pPr>
        <w:spacing w:after="0" w:line="42" w:lineRule="exact"/>
        <w:rPr>
          <w:sz w:val="24"/>
          <w:szCs w:val="24"/>
          <w:color w:val="auto"/>
        </w:rPr>
      </w:pPr>
    </w:p>
    <w:p>
      <w:pPr>
        <w:ind w:left="46"/>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619125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6"/>
          </w:cols>
          <w:pgMar w:left="274" w:top="1376" w:right="339" w:bottom="1440" w:gutter="0" w:footer="0" w:header="0"/>
        </w:sectPr>
      </w:pPr>
    </w:p>
    <w:bookmarkStart w:id="1" w:name="page2"/>
    <w:bookmarkEnd w:id="1"/>
    <w:p>
      <w:pPr>
        <w:spacing w:after="0" w:line="12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Large Accelerated Filer</w:t>
      </w:r>
    </w:p>
    <w:p>
      <w:pPr>
        <w:spacing w:after="0" w:line="21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r>
        <w:rPr>
          <w:rFonts w:ascii="MS PGothic" w:cs="MS PGothic" w:eastAsia="MS PGothic" w:hAnsi="MS PGothic"/>
          <w:sz w:val="22"/>
          <w:szCs w:val="22"/>
          <w:color w:val="auto"/>
        </w:rPr>
        <w:t>☒</w:t>
      </w:r>
    </w:p>
    <w:p>
      <w:pPr>
        <w:spacing w:after="0" w:line="144"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174"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5"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17" w:lineRule="exact"/>
        <w:rPr>
          <w:sz w:val="20"/>
          <w:szCs w:val="20"/>
          <w:color w:val="auto"/>
        </w:rPr>
      </w:pPr>
    </w:p>
    <w:p>
      <w:pPr>
        <w:sectPr>
          <w:pgSz w:w="11900" w:h="16838" w:orient="portrait"/>
          <w:cols w:equalWidth="0" w:num="4">
            <w:col w:w="4120" w:space="720"/>
            <w:col w:w="220" w:space="580"/>
            <w:col w:w="2820" w:space="720"/>
            <w:col w:w="2020"/>
          </w:cols>
          <w:pgMar w:left="320" w:top="1280" w:right="379" w:bottom="1440" w:gutter="0" w:footer="0" w:header="0"/>
        </w:sectPr>
      </w:pPr>
    </w:p>
    <w:p>
      <w:pPr>
        <w:ind w:right="520"/>
        <w:spacing w:after="0" w:line="2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7" w:lineRule="exact"/>
        <w:rPr>
          <w:sz w:val="20"/>
          <w:szCs w:val="20"/>
          <w:color w:val="auto"/>
        </w:rPr>
      </w:pPr>
    </w:p>
    <w:p>
      <w:pPr>
        <w:ind w:right="20"/>
        <w:spacing w:after="0" w:line="23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21"/>
          <w:szCs w:val="21"/>
          <w:color w:val="auto"/>
        </w:rPr>
        <w:t>☒</w:t>
      </w:r>
      <w:r>
        <w:rPr>
          <w:rFonts w:ascii="Arial" w:cs="Arial" w:eastAsia="Arial" w:hAnsi="Arial"/>
          <w:sz w:val="14"/>
          <w:szCs w:val="14"/>
          <w:color w:val="auto"/>
        </w:rPr>
        <w:t xml:space="preserve"> No </w:t>
      </w:r>
      <w:r>
        <w:rPr>
          <w:rFonts w:ascii="MS PGothic" w:cs="MS PGothic" w:eastAsia="MS PGothic" w:hAnsi="MS PGothic"/>
          <w:sz w:val="21"/>
          <w:szCs w:val="21"/>
          <w:color w:val="auto"/>
        </w:rPr>
        <w:t>☐</w:t>
      </w:r>
    </w:p>
    <w:p>
      <w:pPr>
        <w:spacing w:after="0" w:line="14" w:lineRule="exact"/>
        <w:rPr>
          <w:sz w:val="20"/>
          <w:szCs w:val="20"/>
          <w:color w:val="auto"/>
        </w:rPr>
      </w:pPr>
    </w:p>
    <w:p>
      <w:pPr>
        <w:spacing w:after="0" w:line="242" w:lineRule="exact"/>
        <w:tabs>
          <w:tab w:leader="none" w:pos="72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4"/>
          <w:szCs w:val="14"/>
          <w:color w:val="auto"/>
        </w:rPr>
        <w:tab/>
        <w:t xml:space="preserve">No </w:t>
      </w:r>
      <w:r>
        <w:rPr>
          <w:rFonts w:ascii="MS PGothic" w:cs="MS PGothic" w:eastAsia="MS PGothic" w:hAnsi="MS PGothic"/>
          <w:sz w:val="21"/>
          <w:szCs w:val="21"/>
          <w:color w:val="auto"/>
        </w:rPr>
        <w:t>☒</w:t>
      </w:r>
    </w:p>
    <w:p>
      <w:pPr>
        <w:spacing w:after="0" w:line="1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aggregate market value of the shares of FNF common stock held by non-affiliates of the registrant as of June 30, 2020 was $8,507,709,079 based on the closing price of $30.66 as reported by The New York Stock Exchange.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January 31, 2021 were:</w:t>
      </w:r>
    </w:p>
    <w:p>
      <w:pPr>
        <w:spacing w:after="0" w:line="117"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291,168,384</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2020,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80" w:right="37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9120" w:type="dxa"/>
            <w:vAlign w:val="bottom"/>
          </w:tcPr>
          <w:p>
            <w:pPr>
              <w:jc w:val="center"/>
              <w:ind w:left="150"/>
              <w:spacing w:after="0"/>
              <w:rPr>
                <w:sz w:val="20"/>
                <w:szCs w:val="20"/>
                <w:color w:val="auto"/>
              </w:rPr>
            </w:pPr>
            <w:r>
              <w:rPr>
                <w:rFonts w:ascii="Arial" w:cs="Arial" w:eastAsia="Arial" w:hAnsi="Arial"/>
                <w:sz w:val="18"/>
                <w:szCs w:val="18"/>
                <w:b w:val="1"/>
                <w:bCs w:val="1"/>
                <w:color w:val="auto"/>
              </w:rPr>
              <w:t>FIDELITY NATIONAL FINANCIAL, INC.</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120" w:type="dxa"/>
            <w:vAlign w:val="bottom"/>
          </w:tcPr>
          <w:p>
            <w:pPr>
              <w:jc w:val="center"/>
              <w:ind w:left="170"/>
              <w:spacing w:after="0"/>
              <w:rPr>
                <w:sz w:val="20"/>
                <w:szCs w:val="20"/>
                <w:color w:val="auto"/>
              </w:rPr>
            </w:pPr>
            <w:r>
              <w:rPr>
                <w:rFonts w:ascii="Arial" w:cs="Arial" w:eastAsia="Arial" w:hAnsi="Arial"/>
                <w:sz w:val="18"/>
                <w:szCs w:val="18"/>
                <w:b w:val="1"/>
                <w:bCs w:val="1"/>
                <w:color w:val="auto"/>
              </w:rPr>
              <w:t>FORM 10-K</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12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89"/>
        </w:trPr>
        <w:tc>
          <w:tcPr>
            <w:tcW w:w="9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9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268"/>
        </w:trPr>
        <w:tc>
          <w:tcPr>
            <w:tcW w:w="920" w:type="dxa"/>
            <w:vAlign w:val="bottom"/>
          </w:tcPr>
          <w:p>
            <w:pPr>
              <w:spacing w:after="0"/>
              <w:rPr>
                <w:sz w:val="23"/>
                <w:szCs w:val="23"/>
                <w:color w:val="auto"/>
              </w:rPr>
            </w:pPr>
          </w:p>
        </w:tc>
        <w:tc>
          <w:tcPr>
            <w:tcW w:w="9120" w:type="dxa"/>
            <w:vAlign w:val="bottom"/>
          </w:tcPr>
          <w:p>
            <w:pPr>
              <w:jc w:val="center"/>
              <w:ind w:left="13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120" w:type="dxa"/>
            <w:vAlign w:val="bottom"/>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440" w:type="dxa"/>
            <w:vAlign w:val="bottom"/>
          </w:tcPr>
          <w:p>
            <w:pPr>
              <w:spacing w:after="0"/>
              <w:rPr>
                <w:sz w:val="19"/>
                <w:szCs w:val="19"/>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1A.</w:t>
              </w:r>
            </w:hyperlink>
          </w:p>
        </w:tc>
        <w:tc>
          <w:tcPr>
            <w:tcW w:w="9120" w:type="dxa"/>
            <w:vAlign w:val="bottom"/>
          </w:tcPr>
          <w:p>
            <w:pPr>
              <w:ind w:left="2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30</w:t>
              </w:r>
            </w:hyperlink>
          </w:p>
        </w:tc>
        <w:tc>
          <w:tcPr>
            <w:tcW w:w="440" w:type="dxa"/>
            <w:vAlign w:val="bottom"/>
          </w:tcPr>
          <w:p>
            <w:pPr>
              <w:spacing w:after="0"/>
              <w:rPr>
                <w:sz w:val="19"/>
                <w:szCs w:val="19"/>
                <w:color w:val="auto"/>
              </w:rPr>
            </w:pPr>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1B.</w:t>
              </w:r>
            </w:hyperlink>
          </w:p>
        </w:tc>
        <w:tc>
          <w:tcPr>
            <w:tcW w:w="9120" w:type="dxa"/>
            <w:vAlign w:val="bottom"/>
          </w:tcPr>
          <w:p>
            <w:pPr>
              <w:ind w:left="2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Unresolved Staff Comments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42</w:t>
              </w:r>
            </w:hyperlink>
          </w:p>
        </w:tc>
        <w:tc>
          <w:tcPr>
            <w:tcW w:w="440" w:type="dxa"/>
            <w:vAlign w:val="bottom"/>
          </w:tcPr>
          <w:p>
            <w:pPr>
              <w:spacing w:after="0"/>
              <w:rPr>
                <w:sz w:val="19"/>
                <w:szCs w:val="19"/>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w:t>
              </w:r>
            </w:hyperlink>
          </w:p>
        </w:tc>
        <w:tc>
          <w:tcPr>
            <w:tcW w:w="9120" w:type="dxa"/>
            <w:vAlign w:val="bottom"/>
          </w:tcPr>
          <w:p>
            <w:pPr>
              <w:ind w:left="2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Properties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42</w:t>
              </w:r>
            </w:hyperlink>
          </w:p>
        </w:tc>
        <w:tc>
          <w:tcPr>
            <w:tcW w:w="440" w:type="dxa"/>
            <w:vAlign w:val="bottom"/>
          </w:tcPr>
          <w:p>
            <w:pPr>
              <w:spacing w:after="0"/>
              <w:rPr>
                <w:sz w:val="19"/>
                <w:szCs w:val="19"/>
                <w:color w:val="auto"/>
              </w:rPr>
            </w:pPr>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3.</w:t>
              </w:r>
            </w:hyperlink>
          </w:p>
        </w:tc>
        <w:tc>
          <w:tcPr>
            <w:tcW w:w="9120" w:type="dxa"/>
            <w:vAlign w:val="bottom"/>
          </w:tcPr>
          <w:p>
            <w:pPr>
              <w:ind w:left="2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42</w:t>
              </w:r>
            </w:hyperlink>
          </w:p>
        </w:tc>
        <w:tc>
          <w:tcPr>
            <w:tcW w:w="440" w:type="dxa"/>
            <w:vAlign w:val="bottom"/>
          </w:tcPr>
          <w:p>
            <w:pPr>
              <w:spacing w:after="0"/>
              <w:rPr>
                <w:sz w:val="20"/>
                <w:szCs w:val="20"/>
                <w:color w:val="auto"/>
              </w:rPr>
            </w:pPr>
          </w:p>
        </w:tc>
      </w:tr>
      <w:tr>
        <w:trPr>
          <w:trHeight w:val="283"/>
        </w:trPr>
        <w:tc>
          <w:tcPr>
            <w:tcW w:w="920" w:type="dxa"/>
            <w:vAlign w:val="bottom"/>
          </w:tcPr>
          <w:p>
            <w:pPr>
              <w:spacing w:after="0"/>
              <w:rPr>
                <w:sz w:val="24"/>
                <w:szCs w:val="24"/>
                <w:color w:val="auto"/>
              </w:rPr>
            </w:pPr>
          </w:p>
        </w:tc>
        <w:tc>
          <w:tcPr>
            <w:tcW w:w="9120" w:type="dxa"/>
            <w:vAlign w:val="bottom"/>
          </w:tcPr>
          <w:p>
            <w:pPr>
              <w:jc w:val="center"/>
              <w:ind w:left="110"/>
              <w:spacing w:after="0"/>
              <w:rPr>
                <w:rFonts w:ascii="Arial" w:cs="Arial" w:eastAsia="Arial" w:hAnsi="Arial"/>
                <w:sz w:val="18"/>
                <w:szCs w:val="18"/>
                <w:b w:val="1"/>
                <w:bCs w:val="1"/>
                <w:u w:val="single" w:color="auto"/>
                <w:color w:val="0000FF"/>
                <w:w w:val="99"/>
              </w:rPr>
            </w:pPr>
            <w:hyperlink w:anchor="page44">
              <w:r>
                <w:rPr>
                  <w:rFonts w:ascii="Arial" w:cs="Arial" w:eastAsia="Arial" w:hAnsi="Arial"/>
                  <w:sz w:val="18"/>
                  <w:szCs w:val="18"/>
                  <w:b w:val="1"/>
                  <w:bCs w:val="1"/>
                  <w:u w:val="single" w:color="auto"/>
                  <w:color w:val="0000FF"/>
                  <w:w w:val="99"/>
                </w:rPr>
                <w:t>PART II</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5.</w:t>
              </w:r>
            </w:hyperlink>
          </w:p>
        </w:tc>
        <w:tc>
          <w:tcPr>
            <w:tcW w:w="9120" w:type="dxa"/>
            <w:vAlign w:val="bottom"/>
          </w:tcPr>
          <w:p>
            <w:pPr>
              <w:ind w:left="280"/>
              <w:spacing w:after="0"/>
              <w:rPr>
                <w:rFonts w:ascii="Arial" w:cs="Arial" w:eastAsia="Arial" w:hAnsi="Arial"/>
                <w:sz w:val="18"/>
                <w:szCs w:val="18"/>
                <w:u w:val="single" w:color="auto"/>
                <w:color w:val="0000FF"/>
                <w:w w:val="99"/>
              </w:rPr>
            </w:pPr>
            <w:hyperlink w:anchor="page45">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440" w:type="dxa"/>
            <w:vAlign w:val="bottom"/>
          </w:tcPr>
          <w:p>
            <w:pPr>
              <w:spacing w:after="0"/>
              <w:rPr>
                <w:sz w:val="19"/>
                <w:szCs w:val="19"/>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6.</w:t>
              </w:r>
            </w:hyperlink>
          </w:p>
        </w:tc>
        <w:tc>
          <w:tcPr>
            <w:tcW w:w="9120" w:type="dxa"/>
            <w:vAlign w:val="bottom"/>
          </w:tcPr>
          <w:p>
            <w:pPr>
              <w:ind w:left="2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Selected Financial Data</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440" w:type="dxa"/>
            <w:vAlign w:val="bottom"/>
          </w:tcPr>
          <w:p>
            <w:pPr>
              <w:spacing w:after="0"/>
              <w:rPr>
                <w:sz w:val="19"/>
                <w:szCs w:val="19"/>
                <w:color w:val="auto"/>
              </w:rPr>
            </w:pPr>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7.</w:t>
              </w:r>
            </w:hyperlink>
          </w:p>
        </w:tc>
        <w:tc>
          <w:tcPr>
            <w:tcW w:w="9120" w:type="dxa"/>
            <w:vAlign w:val="bottom"/>
          </w:tcPr>
          <w:p>
            <w:pPr>
              <w:ind w:left="2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50</w:t>
              </w:r>
            </w:hyperlink>
          </w:p>
        </w:tc>
        <w:tc>
          <w:tcPr>
            <w:tcW w:w="440" w:type="dxa"/>
            <w:vAlign w:val="bottom"/>
          </w:tcPr>
          <w:p>
            <w:pPr>
              <w:spacing w:after="0"/>
              <w:rPr>
                <w:sz w:val="19"/>
                <w:szCs w:val="19"/>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7A.</w:t>
              </w:r>
            </w:hyperlink>
          </w:p>
        </w:tc>
        <w:tc>
          <w:tcPr>
            <w:tcW w:w="9120" w:type="dxa"/>
            <w:vAlign w:val="bottom"/>
          </w:tcPr>
          <w:p>
            <w:pPr>
              <w:ind w:left="28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Quantitative and Qualitative Disclosure About Market Risk</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85</w:t>
              </w:r>
            </w:hyperlink>
          </w:p>
        </w:tc>
        <w:tc>
          <w:tcPr>
            <w:tcW w:w="440" w:type="dxa"/>
            <w:vAlign w:val="bottom"/>
          </w:tcPr>
          <w:p>
            <w:pPr>
              <w:spacing w:after="0"/>
              <w:rPr>
                <w:sz w:val="19"/>
                <w:szCs w:val="19"/>
                <w:color w:val="auto"/>
              </w:rPr>
            </w:pPr>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8.</w:t>
              </w:r>
            </w:hyperlink>
          </w:p>
        </w:tc>
        <w:tc>
          <w:tcPr>
            <w:tcW w:w="9120" w:type="dxa"/>
            <w:vAlign w:val="bottom"/>
          </w:tcPr>
          <w:p>
            <w:pPr>
              <w:ind w:left="28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Financial Statements and Supplementary Data</w:t>
              </w:r>
            </w:hyperlink>
          </w:p>
        </w:tc>
        <w:tc>
          <w:tcPr>
            <w:tcW w:w="700" w:type="dxa"/>
            <w:vAlign w:val="bottom"/>
            <w:gridSpan w:val="2"/>
          </w:tcPr>
          <w:p>
            <w:pPr>
              <w:jc w:val="center"/>
              <w:ind w:left="351"/>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c>
          <w:tcPr>
            <w:tcW w:w="440" w:type="dxa"/>
            <w:vAlign w:val="bottom"/>
          </w:tcPr>
          <w:p>
            <w:pPr>
              <w:spacing w:after="0"/>
              <w:rPr>
                <w:sz w:val="19"/>
                <w:szCs w:val="19"/>
                <w:color w:val="auto"/>
              </w:rPr>
            </w:pPr>
          </w:p>
        </w:tc>
      </w:tr>
      <w:tr>
        <w:trPr>
          <w:trHeight w:val="190"/>
        </w:trPr>
        <w:tc>
          <w:tcPr>
            <w:tcW w:w="920" w:type="dxa"/>
            <w:vAlign w:val="bottom"/>
          </w:tcPr>
          <w:p>
            <w:pPr>
              <w:spacing w:after="0" w:line="190" w:lineRule="exact"/>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Item 9.</w:t>
              </w:r>
            </w:hyperlink>
          </w:p>
        </w:tc>
        <w:tc>
          <w:tcPr>
            <w:tcW w:w="9120" w:type="dxa"/>
            <w:vAlign w:val="bottom"/>
          </w:tcPr>
          <w:p>
            <w:pPr>
              <w:ind w:left="280"/>
              <w:spacing w:after="0" w:line="190" w:lineRule="exact"/>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Changes in and Disagreements With Accountants on Accounting and Financial Disclosure</w:t>
              </w:r>
            </w:hyperlink>
          </w:p>
        </w:tc>
        <w:tc>
          <w:tcPr>
            <w:tcW w:w="700" w:type="dxa"/>
            <w:vAlign w:val="bottom"/>
            <w:gridSpan w:val="2"/>
          </w:tcPr>
          <w:p>
            <w:pPr>
              <w:jc w:val="center"/>
              <w:ind w:left="351"/>
              <w:spacing w:after="0" w:line="190" w:lineRule="exact"/>
              <w:rPr>
                <w:sz w:val="20"/>
                <w:szCs w:val="20"/>
                <w:color w:val="auto"/>
              </w:rPr>
            </w:pPr>
            <w:r>
              <w:rPr>
                <w:rFonts w:ascii="Arial" w:cs="Arial" w:eastAsia="Arial" w:hAnsi="Arial"/>
                <w:sz w:val="18"/>
                <w:szCs w:val="18"/>
                <w:color w:val="0E32E1"/>
                <w:w w:val="86"/>
              </w:rPr>
              <w:t>161</w:t>
            </w:r>
          </w:p>
        </w:tc>
        <w:tc>
          <w:tcPr>
            <w:tcW w:w="4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20" w:type="dxa"/>
            <w:vAlign w:val="bottom"/>
          </w:tcPr>
          <w:p>
            <w:pPr>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Item 9A.</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Controls and Procedures</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161</w:t>
            </w:r>
          </w:p>
        </w:tc>
        <w:tc>
          <w:tcPr>
            <w:tcW w:w="4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920" w:type="dxa"/>
            <w:vAlign w:val="bottom"/>
          </w:tcPr>
          <w:p>
            <w:pPr>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Item 9B.</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Other Information</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161</w:t>
            </w:r>
          </w:p>
        </w:tc>
        <w:tc>
          <w:tcPr>
            <w:tcW w:w="440" w:type="dxa"/>
            <w:vAlign w:val="bottom"/>
          </w:tcPr>
          <w:p>
            <w:pPr>
              <w:spacing w:after="0"/>
              <w:rPr>
                <w:sz w:val="18"/>
                <w:szCs w:val="18"/>
                <w:color w:val="auto"/>
              </w:rPr>
            </w:pPr>
          </w:p>
        </w:tc>
      </w:tr>
      <w:tr>
        <w:trPr>
          <w:trHeight w:val="303"/>
        </w:trPr>
        <w:tc>
          <w:tcPr>
            <w:tcW w:w="920" w:type="dxa"/>
            <w:vAlign w:val="bottom"/>
          </w:tcPr>
          <w:p>
            <w:pPr>
              <w:spacing w:after="0"/>
              <w:rPr>
                <w:sz w:val="24"/>
                <w:szCs w:val="24"/>
                <w:color w:val="auto"/>
              </w:rPr>
            </w:pPr>
          </w:p>
        </w:tc>
        <w:tc>
          <w:tcPr>
            <w:tcW w:w="9120" w:type="dxa"/>
            <w:vAlign w:val="bottom"/>
          </w:tcPr>
          <w:p>
            <w:pPr>
              <w:jc w:val="center"/>
              <w:ind w:left="110"/>
              <w:spacing w:after="0"/>
              <w:rPr>
                <w:rFonts w:ascii="Arial" w:cs="Arial" w:eastAsia="Arial" w:hAnsi="Arial"/>
                <w:sz w:val="18"/>
                <w:szCs w:val="18"/>
                <w:b w:val="1"/>
                <w:bCs w:val="1"/>
                <w:u w:val="single" w:color="auto"/>
                <w:color w:val="0000FF"/>
              </w:rPr>
            </w:pPr>
            <w:hyperlink w:anchor="page163">
              <w:r>
                <w:rPr>
                  <w:rFonts w:ascii="Arial" w:cs="Arial" w:eastAsia="Arial" w:hAnsi="Arial"/>
                  <w:sz w:val="18"/>
                  <w:szCs w:val="18"/>
                  <w:b w:val="1"/>
                  <w:bCs w:val="1"/>
                  <w:u w:val="single" w:color="auto"/>
                  <w:color w:val="0000FF"/>
                </w:rPr>
                <w:t>PART III</w:t>
              </w:r>
            </w:hyperlink>
          </w:p>
        </w:tc>
        <w:tc>
          <w:tcPr>
            <w:tcW w:w="440" w:type="dxa"/>
            <w:vAlign w:val="bottom"/>
          </w:tcPr>
          <w:p>
            <w:pPr>
              <w:spacing w:after="0"/>
              <w:rPr>
                <w:sz w:val="24"/>
                <w:szCs w:val="24"/>
                <w:color w:val="auto"/>
              </w:rPr>
            </w:pPr>
          </w:p>
        </w:tc>
        <w:tc>
          <w:tcPr>
            <w:tcW w:w="26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920" w:type="dxa"/>
            <w:vAlign w:val="bottom"/>
          </w:tcPr>
          <w:p>
            <w:pPr>
              <w:spacing w:after="0" w:line="190" w:lineRule="exact"/>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Item 10.</w:t>
              </w:r>
            </w:hyperlink>
          </w:p>
        </w:tc>
        <w:tc>
          <w:tcPr>
            <w:tcW w:w="9120" w:type="dxa"/>
            <w:vAlign w:val="bottom"/>
          </w:tcPr>
          <w:p>
            <w:pPr>
              <w:ind w:left="280"/>
              <w:spacing w:after="0" w:line="190" w:lineRule="exact"/>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Directors and Executive Officers of the Registrant</w:t>
              </w:r>
            </w:hyperlink>
          </w:p>
        </w:tc>
        <w:tc>
          <w:tcPr>
            <w:tcW w:w="700" w:type="dxa"/>
            <w:vAlign w:val="bottom"/>
            <w:gridSpan w:val="2"/>
          </w:tcPr>
          <w:p>
            <w:pPr>
              <w:jc w:val="center"/>
              <w:ind w:left="351"/>
              <w:spacing w:after="0" w:line="190" w:lineRule="exact"/>
              <w:rPr>
                <w:sz w:val="20"/>
                <w:szCs w:val="20"/>
                <w:color w:val="auto"/>
              </w:rPr>
            </w:pPr>
            <w:r>
              <w:rPr>
                <w:rFonts w:ascii="Arial" w:cs="Arial" w:eastAsia="Arial" w:hAnsi="Arial"/>
                <w:sz w:val="18"/>
                <w:szCs w:val="18"/>
                <w:color w:val="0E32E1"/>
                <w:w w:val="86"/>
              </w:rPr>
              <w:t>162</w:t>
            </w:r>
          </w:p>
        </w:tc>
        <w:tc>
          <w:tcPr>
            <w:tcW w:w="4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20" w:type="dxa"/>
            <w:vAlign w:val="bottom"/>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Item 11.</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Executive Compensation</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162</w:t>
            </w:r>
          </w:p>
        </w:tc>
        <w:tc>
          <w:tcPr>
            <w:tcW w:w="4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920" w:type="dxa"/>
            <w:vAlign w:val="bottom"/>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Item 12.</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Security Ownership of Certain Beneficial Owners and Management and Related Stockholder Matters</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162</w:t>
            </w:r>
          </w:p>
        </w:tc>
        <w:tc>
          <w:tcPr>
            <w:tcW w:w="4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20" w:type="dxa"/>
            <w:vAlign w:val="bottom"/>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Item 13.</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Certain Relationships and Related Transactions, and Director Independence</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162</w:t>
            </w:r>
          </w:p>
        </w:tc>
        <w:tc>
          <w:tcPr>
            <w:tcW w:w="4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20" w:type="dxa"/>
            <w:vAlign w:val="bottom"/>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Item 14.</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Principal Accounting Fees and Services</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162</w:t>
            </w:r>
          </w:p>
        </w:tc>
        <w:tc>
          <w:tcPr>
            <w:tcW w:w="440" w:type="dxa"/>
            <w:vAlign w:val="bottom"/>
          </w:tcPr>
          <w:p>
            <w:pPr>
              <w:spacing w:after="0"/>
              <w:rPr>
                <w:sz w:val="18"/>
                <w:szCs w:val="18"/>
                <w:color w:val="auto"/>
              </w:rPr>
            </w:pPr>
          </w:p>
        </w:tc>
      </w:tr>
      <w:tr>
        <w:trPr>
          <w:trHeight w:val="303"/>
        </w:trPr>
        <w:tc>
          <w:tcPr>
            <w:tcW w:w="920" w:type="dxa"/>
            <w:vAlign w:val="bottom"/>
          </w:tcPr>
          <w:p>
            <w:pPr>
              <w:spacing w:after="0"/>
              <w:rPr>
                <w:sz w:val="24"/>
                <w:szCs w:val="24"/>
                <w:color w:val="auto"/>
              </w:rPr>
            </w:pPr>
          </w:p>
        </w:tc>
        <w:tc>
          <w:tcPr>
            <w:tcW w:w="9120" w:type="dxa"/>
            <w:vAlign w:val="bottom"/>
          </w:tcPr>
          <w:p>
            <w:pPr>
              <w:jc w:val="center"/>
              <w:ind w:left="110"/>
              <w:spacing w:after="0"/>
              <w:rPr>
                <w:rFonts w:ascii="Arial" w:cs="Arial" w:eastAsia="Arial" w:hAnsi="Arial"/>
                <w:sz w:val="18"/>
                <w:szCs w:val="18"/>
                <w:b w:val="1"/>
                <w:bCs w:val="1"/>
                <w:u w:val="single" w:color="auto"/>
                <w:color w:val="0000FF"/>
              </w:rPr>
            </w:pPr>
            <w:hyperlink w:anchor="page164">
              <w:r>
                <w:rPr>
                  <w:rFonts w:ascii="Arial" w:cs="Arial" w:eastAsia="Arial" w:hAnsi="Arial"/>
                  <w:sz w:val="18"/>
                  <w:szCs w:val="18"/>
                  <w:b w:val="1"/>
                  <w:bCs w:val="1"/>
                  <w:u w:val="single" w:color="auto"/>
                  <w:color w:val="0000FF"/>
                </w:rPr>
                <w:t>PART IV</w:t>
              </w:r>
            </w:hyperlink>
          </w:p>
        </w:tc>
        <w:tc>
          <w:tcPr>
            <w:tcW w:w="440" w:type="dxa"/>
            <w:vAlign w:val="bottom"/>
          </w:tcPr>
          <w:p>
            <w:pPr>
              <w:spacing w:after="0"/>
              <w:rPr>
                <w:sz w:val="24"/>
                <w:szCs w:val="24"/>
                <w:color w:val="auto"/>
              </w:rPr>
            </w:pPr>
          </w:p>
        </w:tc>
        <w:tc>
          <w:tcPr>
            <w:tcW w:w="26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920" w:type="dxa"/>
            <w:vAlign w:val="bottom"/>
          </w:tcPr>
          <w:p>
            <w:pPr>
              <w:spacing w:after="0" w:line="190" w:lineRule="exact"/>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Item 15.</w:t>
              </w:r>
            </w:hyperlink>
          </w:p>
        </w:tc>
        <w:tc>
          <w:tcPr>
            <w:tcW w:w="9120" w:type="dxa"/>
            <w:vAlign w:val="bottom"/>
          </w:tcPr>
          <w:p>
            <w:pPr>
              <w:ind w:left="280"/>
              <w:spacing w:after="0" w:line="190" w:lineRule="exact"/>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Exhibits, Financial Statement Schedules</w:t>
              </w:r>
            </w:hyperlink>
          </w:p>
        </w:tc>
        <w:tc>
          <w:tcPr>
            <w:tcW w:w="700" w:type="dxa"/>
            <w:vAlign w:val="bottom"/>
            <w:gridSpan w:val="2"/>
          </w:tcPr>
          <w:p>
            <w:pPr>
              <w:jc w:val="center"/>
              <w:ind w:left="351"/>
              <w:spacing w:after="0" w:line="190" w:lineRule="exact"/>
              <w:rPr>
                <w:sz w:val="20"/>
                <w:szCs w:val="20"/>
                <w:color w:val="auto"/>
              </w:rPr>
            </w:pPr>
            <w:r>
              <w:rPr>
                <w:rFonts w:ascii="Arial" w:cs="Arial" w:eastAsia="Arial" w:hAnsi="Arial"/>
                <w:sz w:val="18"/>
                <w:szCs w:val="18"/>
                <w:color w:val="0E32E1"/>
                <w:w w:val="86"/>
              </w:rPr>
              <w:t>163</w:t>
            </w:r>
          </w:p>
        </w:tc>
        <w:tc>
          <w:tcPr>
            <w:tcW w:w="4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20" w:type="dxa"/>
            <w:vAlign w:val="bottom"/>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Item 16.</w:t>
              </w:r>
            </w:hyperlink>
          </w:p>
        </w:tc>
        <w:tc>
          <w:tcPr>
            <w:tcW w:w="9120" w:type="dxa"/>
            <w:vAlign w:val="bottom"/>
          </w:tcPr>
          <w:p>
            <w:pPr>
              <w:ind w:left="280"/>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Summary</w:t>
              </w:r>
            </w:hyperlink>
          </w:p>
        </w:tc>
        <w:tc>
          <w:tcPr>
            <w:tcW w:w="700" w:type="dxa"/>
            <w:vAlign w:val="bottom"/>
            <w:gridSpan w:val="2"/>
          </w:tcPr>
          <w:p>
            <w:pPr>
              <w:jc w:val="center"/>
              <w:ind w:left="351"/>
              <w:spacing w:after="0"/>
              <w:rPr>
                <w:sz w:val="20"/>
                <w:szCs w:val="20"/>
                <w:color w:val="auto"/>
              </w:rPr>
            </w:pPr>
            <w:r>
              <w:rPr>
                <w:rFonts w:ascii="Arial" w:cs="Arial" w:eastAsia="Arial" w:hAnsi="Arial"/>
                <w:sz w:val="18"/>
                <w:szCs w:val="18"/>
                <w:color w:val="0E32E1"/>
                <w:w w:val="86"/>
              </w:rPr>
              <w:t>168</w:t>
            </w:r>
          </w:p>
        </w:tc>
        <w:tc>
          <w:tcPr>
            <w:tcW w:w="4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Introductory Note</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indexed annuities ("FIA"), fixed rate annuities, and immediate annuities and indexed universal life ("IUL") insurance through our wholly-owned subsidiary, FGL Holdings ("F&amp;G").</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the following reporting segments:</w:t>
      </w:r>
    </w:p>
    <w:p>
      <w:pPr>
        <w:spacing w:after="0" w:line="171" w:lineRule="exact"/>
        <w:rPr>
          <w:sz w:val="20"/>
          <w:szCs w:val="20"/>
          <w:color w:val="auto"/>
        </w:rPr>
      </w:pPr>
    </w:p>
    <w:p>
      <w:pPr>
        <w:jc w:val="both"/>
        <w:ind w:left="660" w:hanging="409"/>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which provide title insurance and escrow</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ind w:left="660" w:hanging="409"/>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consists of operations of our annuities and life insurance related businesses. This segment issues a broad portfolio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(fixed indexed and fixed rate annuities), immediate annuities and indexed universal life insurance.</w:t>
      </w:r>
    </w:p>
    <w:p>
      <w:pPr>
        <w:spacing w:after="0" w:line="116" w:lineRule="exact"/>
        <w:rPr>
          <w:rFonts w:ascii="Arial" w:cs="Arial" w:eastAsia="Arial" w:hAnsi="Arial"/>
          <w:sz w:val="18"/>
          <w:szCs w:val="18"/>
          <w:color w:val="auto"/>
        </w:rPr>
      </w:pPr>
    </w:p>
    <w:p>
      <w:pPr>
        <w:jc w:val="both"/>
        <w:ind w:left="660" w:hanging="409"/>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smaller, non-title businesses and certain unallocated corporate overhead expenses and eliminations of revenues and expenses between it and our Title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which are:</w:t>
      </w:r>
    </w:p>
    <w:p>
      <w:pPr>
        <w:spacing w:after="0" w:line="4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six precepts are emphasized to our employees from the first day of employment and are integral to many of our strategies described below.</w:t>
      </w:r>
    </w:p>
    <w:p>
      <w:pPr>
        <w:spacing w:after="0" w:line="1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business activity and management of our cost structure. When compared to our industry competitors, we also believe that our structure is more efficiently designed, which allows us to operate with lower overhead costs.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Title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one of the largest title insurance companies in the United States and a leading provider of title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for real estate transactions. Through the third quarter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2020, our insurance companies had a 33.0% share of the U.S. title insurance market, according to the American Land Title Association ("ALTA").</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more than 1,300 direct residential title offices and approximately 5,400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Strong value proposition for our customers. </w:t>
      </w:r>
      <w:r>
        <w:rPr>
          <w:rFonts w:ascii="Arial" w:cs="Arial" w:eastAsia="Arial" w:hAnsi="Arial"/>
          <w:sz w:val="16"/>
          <w:szCs w:val="16"/>
          <w:color w:val="auto"/>
        </w:rPr>
        <w:t>Through our Title segment, we provide our customers with 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segment over an extended period of time,</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ind w:left="340" w:right="1200"/>
        <w:spacing w:after="0" w:line="360" w:lineRule="auto"/>
        <w:rPr>
          <w:sz w:val="20"/>
          <w:szCs w:val="20"/>
          <w:color w:val="auto"/>
        </w:rPr>
      </w:pPr>
      <w:r>
        <w:rPr>
          <w:rFonts w:ascii="Arial" w:cs="Arial" w:eastAsia="Arial" w:hAnsi="Arial"/>
          <w:sz w:val="18"/>
          <w:szCs w:val="18"/>
          <w:color w:val="auto"/>
        </w:rPr>
        <w:t xml:space="preserve">We believe that our Title segment's competitive strengths position us well to take advantage of future changes to the real estate market. </w:t>
      </w:r>
      <w:r>
        <w:rPr>
          <w:rFonts w:ascii="Arial" w:cs="Arial" w:eastAsia="Arial" w:hAnsi="Arial"/>
          <w:sz w:val="18"/>
          <w:szCs w:val="18"/>
          <w:b w:val="1"/>
          <w:bCs w:val="1"/>
          <w:i w:val="1"/>
          <w:iCs w:val="1"/>
          <w:color w:val="auto"/>
        </w:rPr>
        <w:t>F&amp;G</w:t>
      </w: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Distribution relationships. </w:t>
      </w:r>
      <w:r>
        <w:rPr>
          <w:rFonts w:ascii="Arial" w:cs="Arial" w:eastAsia="Arial" w:hAnsi="Arial"/>
          <w:sz w:val="17"/>
          <w:szCs w:val="17"/>
          <w:color w:val="auto"/>
        </w:rPr>
        <w:t>We have deep, long-tenured relationships with our network of independent marketing organizations (IMOs). We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with leading IMOs and their agents to serve the needs of the middle-income market and develop competitive products to align with their evolving needs. Additionally, FNF’s ownership and F&amp;G’s recent rating upgrades have opened up additional distribution channels to F&amp;G.</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Product expertise. </w:t>
      </w:r>
      <w:r>
        <w:rPr>
          <w:rFonts w:ascii="Arial" w:cs="Arial" w:eastAsia="Arial" w:hAnsi="Arial"/>
          <w:sz w:val="18"/>
          <w:szCs w:val="18"/>
          <w:color w:val="auto"/>
        </w:rPr>
        <w:t>Our team of product developers have a history of innovation and collaboration in developing our flagship fixed indexed annuity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(FIAs). Our customers value FIAs, which provide a portion of the gains of an underlying market index, while also providing principal protection. We believe this mix of “some upside but limited downside” fills the need for middle-income Americans who must save for retirement but want to limit the risk of decline in their savings.</w:t>
      </w:r>
    </w:p>
    <w:p>
      <w:pPr>
        <w:spacing w:after="0" w:line="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Investment management expertise. </w:t>
      </w:r>
      <w:r>
        <w:rPr>
          <w:rFonts w:ascii="Arial" w:cs="Arial" w:eastAsia="Arial" w:hAnsi="Arial"/>
          <w:sz w:val="16"/>
          <w:szCs w:val="16"/>
          <w:color w:val="auto"/>
        </w:rPr>
        <w:t>We believe our investment portfolio is well matched to our liabilities and well diversified across a range of high-quality asset classes. Our active management strategy leverages the expertise of Blackstone Insurance Solutions to provide a competitive advantage through sourcing investment grade, proprietary private debt and allowing F&amp;G to leverage the breadth and depth of Blackstone’s credit platforms and analysts.</w:t>
      </w:r>
    </w:p>
    <w:p>
      <w:pPr>
        <w:spacing w:after="0" w:line="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Proven track record of managing net investment spread. </w:t>
      </w:r>
      <w:r>
        <w:rPr>
          <w:rFonts w:ascii="Arial" w:cs="Arial" w:eastAsia="Arial" w:hAnsi="Arial"/>
          <w:sz w:val="18"/>
          <w:szCs w:val="18"/>
          <w:color w:val="auto"/>
        </w:rPr>
        <w:t>We have a long track record of consistently managing net investment spread to achieve or</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targeted lifetime returns. Our flagship fixed indexed annuity product allows for active management, and our disciplined approach to pricing our business has resulted in strong and stable net investment spread, even during periods of economic turmoil.</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Efficient and scalable administrative model. </w:t>
      </w:r>
      <w:r>
        <w:rPr>
          <w:rFonts w:ascii="Arial" w:cs="Arial" w:eastAsia="Arial" w:hAnsi="Arial"/>
          <w:sz w:val="17"/>
          <w:szCs w:val="17"/>
          <w:color w:val="auto"/>
        </w:rPr>
        <w:t>Our third-party administration model provides for scalable, cost-efficient, and nimble operations.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F&amp;G segment’s competitive strengths position us well to grow the F&amp;G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0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49" w:lineRule="exact"/>
        <w:rPr>
          <w:sz w:val="20"/>
          <w:szCs w:val="20"/>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 to operate multiple title brands independently</w:t>
      </w:r>
      <w:r>
        <w:rPr>
          <w:rFonts w:ascii="Arial" w:cs="Arial" w:eastAsia="Arial" w:hAnsi="Arial"/>
          <w:sz w:val="18"/>
          <w:szCs w:val="18"/>
          <w:color w:val="auto"/>
        </w:rPr>
        <w:t>. We believe that in order to maintain and strengthen our title insurance customer base,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operate our strongest brands in a given marketplace independently of each other. Our national and regional brands include FNTIC, Chicago Title, Commonwealth Land Title, Lawyers Title, Ticor Title, Alamo Title, and National Title of New York. In our largest markets, we operate multiple brands. This approach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allows us to continue to attract customers who identify with a particular brand and allows us to utilize a broader base of local agents and local operations than we would have with a single consolidated brand.</w:t>
      </w:r>
    </w:p>
    <w:p>
      <w:pPr>
        <w:spacing w:after="0" w:line="49"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Manage our operations successfully through business cycles</w:t>
      </w:r>
      <w:r>
        <w:rPr>
          <w:rFonts w:ascii="Arial" w:cs="Arial" w:eastAsia="Arial" w:hAnsi="Arial"/>
          <w:sz w:val="17"/>
          <w:szCs w:val="17"/>
          <w:color w:val="auto"/>
        </w:rPr>
        <w:t>. Our Title segment operates in a cyclical industry and our ability to diversify our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base within our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5"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Continue to improve our products and technology. </w:t>
      </w:r>
      <w:r>
        <w:rPr>
          <w:rFonts w:ascii="Arial" w:cs="Arial" w:eastAsia="Arial" w:hAnsi="Arial"/>
          <w:sz w:val="16"/>
          <w:szCs w:val="16"/>
          <w:color w:val="auto"/>
        </w:rPr>
        <w:t>As a national provider of real estate transaction products and services, we participate in an</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9"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Maintain values supporting our strategy. </w:t>
      </w:r>
      <w:r>
        <w:rPr>
          <w:rFonts w:ascii="Arial" w:cs="Arial" w:eastAsia="Arial" w:hAnsi="Arial"/>
          <w:sz w:val="18"/>
          <w:szCs w:val="18"/>
          <w:color w:val="auto"/>
        </w:rPr>
        <w:t>We believe that our continued focus on and support of our long-established corporate culture will</w:t>
      </w:r>
      <w:r>
        <w:rPr>
          <w:rFonts w:ascii="Arial" w:cs="Arial" w:eastAsia="Arial" w:hAnsi="Arial"/>
          <w:sz w:val="18"/>
          <w:szCs w:val="18"/>
          <w:i w:val="1"/>
          <w:iCs w:val="1"/>
          <w:color w:val="auto"/>
        </w:rPr>
        <w:t xml:space="preserve"> </w:t>
      </w:r>
      <w:r>
        <w:rPr>
          <w:rFonts w:ascii="Arial" w:cs="Arial" w:eastAsia="Arial" w:hAnsi="Arial"/>
          <w:sz w:val="18"/>
          <w:szCs w:val="18"/>
          <w:color w:val="auto"/>
        </w:rPr>
        <w:t>reinforce 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5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strategy within our F&amp;G segment is to seek to deliver profitable growth for our shareholders through a number of strategic pillars.</w:t>
      </w:r>
    </w:p>
    <w:p>
      <w:pPr>
        <w:spacing w:after="0" w:line="90"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Serve the growing retirement market needs by collaborating with our existing and new distribution partners to deliver peace of mind solutions.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the demand for retirement and principal protection products will continue to grow. We offer valuable products and capabilities tailored to serve this growing demographic need.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Strengthen our foundation. </w:t>
      </w:r>
      <w:r>
        <w:rPr>
          <w:rFonts w:ascii="Arial" w:cs="Arial" w:eastAsia="Arial" w:hAnsi="Arial"/>
          <w:sz w:val="18"/>
          <w:szCs w:val="18"/>
          <w:color w:val="auto"/>
        </w:rPr>
        <w:t>With our process rigor, we pay close attention to market and profitability trends and fine-tune our actions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By partnering with Blackstone Insurance Solutions, our F&amp;G segment is able to source the breadth and volume of assets that enable us to offer competitive products while we optimize our risk-adjusted returns.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Enhance the F&amp;G experience. </w:t>
      </w:r>
      <w:r>
        <w:rPr>
          <w:rFonts w:ascii="Arial" w:cs="Arial" w:eastAsia="Arial" w:hAnsi="Arial"/>
          <w:sz w:val="17"/>
          <w:szCs w:val="17"/>
          <w:color w:val="auto"/>
        </w:rPr>
        <w:t>With products that provide downside protection coupled with opportunity for market upside, we are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giving our policyholders peace of mind. We partner with agents who help their clients select the best products for their individual needs. Our customer care professionals provide personalized support, and we offer self-serve options through our digital platforms.</w:t>
      </w:r>
    </w:p>
    <w:p>
      <w:pPr>
        <w:spacing w:after="0" w:line="30"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Focus on bottom-line, profit-oriented objectives. </w:t>
      </w:r>
      <w:r>
        <w:rPr>
          <w:rFonts w:ascii="Arial" w:cs="Arial" w:eastAsia="Arial" w:hAnsi="Arial"/>
          <w:sz w:val="18"/>
          <w:szCs w:val="18"/>
          <w:color w:val="auto"/>
        </w:rPr>
        <w:t>In both our organic and inorganic growth plans as a writer and as a reinsurer, our F&amp;G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focuses on markets and products where we can achieve targeted profit margins.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June 1, 2020, we completed our acquisition of F&amp;G for approximately $2.7 billion pursuant to the Agreement and Plan of Merger, dated February 7, 2020, as amended (the "Merger Agreement"). For further discussion of the acquisition of F&amp;G, refer to Note B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included in Item 8 of Part II of this Annual Report on Form 10-K (this "Annual Report"), which is incorporated by reference into this Item 1 of Part I. Refer to discussion under </w:t>
      </w:r>
      <w:r>
        <w:rPr>
          <w:rFonts w:ascii="Arial" w:cs="Arial" w:eastAsia="Arial" w:hAnsi="Arial"/>
          <w:sz w:val="18"/>
          <w:szCs w:val="18"/>
          <w:i w:val="1"/>
          <w:iCs w:val="1"/>
          <w:color w:val="auto"/>
        </w:rPr>
        <w:t>Selected Financial Dat</w:t>
      </w:r>
      <w:r>
        <w:rPr>
          <w:rFonts w:ascii="Arial" w:cs="Arial" w:eastAsia="Arial" w:hAnsi="Arial"/>
          <w:sz w:val="18"/>
          <w:szCs w:val="18"/>
          <w:color w:val="auto"/>
        </w:rPr>
        <w:t>a included in Item 6 of Part II of this Annual Report on Form 10-K (this "Annual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Item 1 of Part I, for further discussion of material dispositions of businesses.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Research and Development</w:t>
      </w:r>
    </w:p>
    <w:p>
      <w:pPr>
        <w:spacing w:after="0" w:line="117"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8"/>
          <w:szCs w:val="18"/>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Reserves</w:t>
      </w:r>
    </w:p>
    <w:p>
      <w:pPr>
        <w:spacing w:after="0" w:line="90"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 xml:space="preserve">For information about our loss reserves, see Item 7 of Part II of this Annual Report, under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 Critical Accounting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Insurance</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Market for title insurance. </w:t>
      </w:r>
      <w:r>
        <w:rPr>
          <w:rFonts w:ascii="Arial" w:cs="Arial" w:eastAsia="Arial" w:hAnsi="Arial"/>
          <w:sz w:val="17"/>
          <w:szCs w:val="17"/>
          <w:color w:val="auto"/>
        </w:rPr>
        <w:t>According to Demotech Performance of Title Insurance Companies 2020 Edition, an annual compilation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from the title insurance industry that is published by Demotech Inc. ("Demotech"), an independent firm, total operating income for the entire U.S. title insurance industry has increased over the last five years from approximately $13.7 billion in 2015 to $16.9 billion in 2019, which represents a $1.0 billion increase from 2018.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the state of the economy, the availability of mortgage funding, and changes in interest rates, which affect demand for new mortgage loans and refinancing transactions.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83% of net premiums written in 2019. Approximately 34 independent title insurance companies accounted for the remaining 17% of net premiums written in 2019. Consolidation has created opportunities for increased financial and operating efficiencies for the industry’s largest participants and should continue to drive profitability and market share in the industry.</w:t>
      </w:r>
    </w:p>
    <w:p>
      <w:pPr>
        <w:spacing w:after="0" w:line="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Title segment revenue is closely related to the level of real estate activity that includes sales, mortgage financing and mortgage refinancing. For further discussion of current trends in real estate activity in the United States, see discussion under </w:t>
      </w:r>
      <w:r>
        <w:rPr>
          <w:rFonts w:ascii="Arial" w:cs="Arial" w:eastAsia="Arial" w:hAnsi="Arial"/>
          <w:sz w:val="18"/>
          <w:szCs w:val="18"/>
          <w:i w:val="1"/>
          <w:iCs w:val="1"/>
          <w:color w:val="auto"/>
        </w:rPr>
        <w:t>Business Trends and Conditions</w:t>
      </w:r>
      <w:r>
        <w:rPr>
          <w:rFonts w:ascii="Arial" w:cs="Arial" w:eastAsia="Arial" w:hAnsi="Arial"/>
          <w:sz w:val="18"/>
          <w:szCs w:val="18"/>
          <w:color w:val="auto"/>
        </w:rPr>
        <w:t xml:space="preserve"> included in Item 7 of Part II of this Annual Report, which is incorporated by reference into this Item 1 of Part I.</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priority of lien. A brief generalized description of the process of issuing a title insurance policy is as follows:</w:t>
      </w:r>
    </w:p>
    <w:p>
      <w:pPr>
        <w:spacing w:after="0" w:line="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42"/>
        <w:spacing w:after="0" w:line="275" w:lineRule="auto"/>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closing-related errors.</w:t>
      </w:r>
    </w:p>
    <w:p>
      <w:pPr>
        <w:spacing w:after="0" w:line="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Our direct operations include both the operations of our underwriters and those of affiliated agencies. In our direct operations,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insurer issues the title insurance policy and retains the entire premium paid in connection with the transaction. Our direct operations provide the following benefits: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margins because we retain the entire premium from each transaction instead of paying a commission to an independent agent;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approximately 1,300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the 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2020, we transact business with approximately 5,400 agents.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4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4"/>
                <w:szCs w:val="14"/>
                <w:b w:val="1"/>
                <w:bCs w:val="1"/>
                <w:color w:val="auto"/>
                <w:w w:val="89"/>
              </w:rPr>
              <w:t>2018</w:t>
            </w:r>
          </w:p>
        </w:tc>
      </w:tr>
      <w:tr>
        <w:trPr>
          <w:trHeight w:val="183"/>
        </w:trPr>
        <w:tc>
          <w:tcPr>
            <w:tcW w:w="4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w:t>
            </w:r>
          </w:p>
        </w:tc>
      </w:tr>
      <w:tr>
        <w:trPr>
          <w:trHeight w:val="183"/>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2,381</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w w:val="88"/>
              </w:rPr>
              <w:t>2,961</w:t>
            </w:r>
          </w:p>
        </w:tc>
        <w:tc>
          <w:tcPr>
            <w:tcW w:w="1240" w:type="dxa"/>
            <w:vAlign w:val="bottom"/>
            <w:gridSpan w:val="3"/>
          </w:tcPr>
          <w:p>
            <w:pPr>
              <w:jc w:val="right"/>
              <w:ind w:right="1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2,690</w:t>
            </w:r>
          </w:p>
        </w:tc>
        <w:tc>
          <w:tcPr>
            <w:tcW w:w="1300" w:type="dxa"/>
            <w:vAlign w:val="bottom"/>
            <w:gridSpan w:val="3"/>
          </w:tcPr>
          <w:p>
            <w:pPr>
              <w:jc w:val="right"/>
              <w:ind w:right="130"/>
              <w:spacing w:after="0"/>
              <w:rPr>
                <w:sz w:val="20"/>
                <w:szCs w:val="20"/>
                <w:color w:val="auto"/>
              </w:rPr>
            </w:pPr>
            <w:r>
              <w:rPr>
                <w:rFonts w:ascii="Arial" w:cs="Arial" w:eastAsia="Arial" w:hAnsi="Arial"/>
                <w:sz w:val="18"/>
                <w:szCs w:val="18"/>
                <w:color w:val="auto"/>
              </w:rPr>
              <w:t>54.8</w:t>
            </w:r>
          </w:p>
        </w:tc>
      </w:tr>
      <w:tr>
        <w:trPr>
          <w:trHeight w:val="248"/>
        </w:trPr>
        <w:tc>
          <w:tcPr>
            <w:tcW w:w="4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title insurance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5,342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29.7%, 28.9%, and 30.6% of total Title segment revenues in 2020, 2019, and 2018,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An important part of our operations is the handling of title and escrow claims. We employ a large staff of attorneys in our claims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claims processing centers are located in Omaha, Nebraska and Jacksonville, Florida. In-house claims counsel are also located in other parts of the country.</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Within our Title segment, we limit our maximum loss exposure by reinsuring risks with other insurers under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four contracts. The first excess of loss reinsurance contract provides an $80 million limit of coverage from a single loss occurrence for residential and commercial losses in excess of a $20 million retention per single loss occurrence ("First XOL Contract"). The second excess of loss reinsurance contract ("Second XOL Contract") provides an additional $300 million limit of coverage from a single loss occurrence for commercial loss, with the Company co-participating at approximately 10%. The third excess of loss reinsurance contract ("Third XOL Contract") provides an additional $80 million limit of coverage from a single loss occurrence for commercial loss, with the Company co-participating at approximately 10%. The fourth excess of loss reinsurance contract ("Fourth XOL Contract") provides an additional $220 million limit of coverage from a single loss occurrence for commercial loss, with the Company co-participating at approximately 10%. Subject to the Company’s retention and co-participation on the Second, Third and Fourth XOL Contracts, the maximum coverage from a single loss occurrence provided under our excess of loss reinsurance coverage is $620 million. Each XOL Contract provides for one reinstatement of its respective limit, so the aggregate limit of coverage is $1.24 billion.</w:t>
      </w:r>
    </w:p>
    <w:p>
      <w:pPr>
        <w:spacing w:after="0" w:line="47" w:lineRule="exact"/>
        <w:rPr>
          <w:sz w:val="20"/>
          <w:szCs w:val="20"/>
          <w:color w:val="auto"/>
        </w:rPr>
      </w:pPr>
    </w:p>
    <w:p>
      <w:pPr>
        <w:jc w:val="both"/>
        <w:ind w:firstLine="328"/>
        <w:spacing w:after="0" w:line="277"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4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Competition in the title insurance industry is based primarily on service and price. The number and size of competing companies varies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different geographic areas in which we conduct our business. In our principal markets, competitors include other major title underwriters such as First American Financial Corporation, Old Republic International Corporation, Stewart Information Services Corporation, Westcor Land Title Insurance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57" w:lineRule="exact"/>
        <w:rPr>
          <w:sz w:val="20"/>
          <w:szCs w:val="20"/>
          <w:color w:val="auto"/>
        </w:rPr>
      </w:pPr>
    </w:p>
    <w:p>
      <w:pPr>
        <w:jc w:val="both"/>
        <w:ind w:firstLine="328"/>
        <w:spacing w:after="0" w:line="271" w:lineRule="auto"/>
        <w:rPr>
          <w:sz w:val="20"/>
          <w:szCs w:val="20"/>
          <w:color w:val="auto"/>
        </w:rPr>
      </w:pPr>
      <w:r>
        <w:rPr>
          <w:rFonts w:ascii="Arial" w:cs="Arial" w:eastAsia="Arial" w:hAnsi="Arial"/>
          <w:sz w:val="17"/>
          <w:szCs w:val="17"/>
          <w:i w:val="1"/>
          <w:iCs w:val="1"/>
          <w:color w:val="auto"/>
        </w:rPr>
        <w:t xml:space="preserve">Regulation. </w:t>
      </w:r>
      <w:r>
        <w:rPr>
          <w:rFonts w:ascii="Arial" w:cs="Arial" w:eastAsia="Arial" w:hAnsi="Arial"/>
          <w:sz w:val="17"/>
          <w:szCs w:val="17"/>
          <w:color w:val="auto"/>
        </w:rPr>
        <w:t>Our insurance subsidiaries, including title insurers, underwritten title companies and insurance agencies, are subject to extensive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62"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2020, the combined statutory unearned premium reserve required and reported for our title insurers was $1,532 million. In addition to statutory unearned premium reserves and reserves for known claims, each of our insurers maintains surplus funds for policyholder protection and business operations.</w:t>
      </w:r>
    </w:p>
    <w:p>
      <w:pPr>
        <w:spacing w:after="0" w:line="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43" w:lineRule="exact"/>
        <w:rPr>
          <w:sz w:val="20"/>
          <w:szCs w:val="20"/>
          <w:color w:val="auto"/>
        </w:rPr>
      </w:pPr>
    </w:p>
    <w:p>
      <w:pPr>
        <w:jc w:val="both"/>
        <w:ind w:firstLine="328"/>
        <w:spacing w:after="0" w:line="272" w:lineRule="auto"/>
        <w:rPr>
          <w:sz w:val="20"/>
          <w:szCs w:val="20"/>
          <w:color w:val="auto"/>
        </w:rPr>
      </w:pPr>
      <w:r>
        <w:rPr>
          <w:rFonts w:ascii="Arial" w:cs="Arial" w:eastAsia="Arial" w:hAnsi="Arial"/>
          <w:sz w:val="17"/>
          <w:szCs w:val="17"/>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5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8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2021, our directly owned title insurers can pay dividends or make distributions to us of approximately $551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combined statutory capital and surplus of our title insurers was approximately $1,699 million and $1,581 million as of December 31, 2020 and 2019, respectively. The combined statutory earnings of our title insurers were $629 million, $583 million, and $625 million for the years ended December 31, 2020, 2019, and 2018,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49"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8"/>
          <w:szCs w:val="18"/>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42"/>
        <w:spacing w:after="0" w:line="311" w:lineRule="auto"/>
        <w:rPr>
          <w:sz w:val="20"/>
          <w:szCs w:val="20"/>
          <w:color w:val="auto"/>
        </w:rPr>
      </w:pPr>
      <w:r>
        <w:rPr>
          <w:rFonts w:ascii="Arial" w:cs="Arial" w:eastAsia="Arial" w:hAnsi="Arial"/>
          <w:sz w:val="16"/>
          <w:szCs w:val="16"/>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2020.</w:t>
      </w:r>
    </w:p>
    <w:p>
      <w:pPr>
        <w:spacing w:after="0" w:line="27" w:lineRule="exact"/>
        <w:rPr>
          <w:sz w:val="20"/>
          <w:szCs w:val="20"/>
          <w:color w:val="auto"/>
        </w:rPr>
      </w:pPr>
    </w:p>
    <w:p>
      <w:pPr>
        <w:jc w:val="both"/>
        <w:ind w:firstLine="328"/>
        <w:spacing w:after="0" w:line="293" w:lineRule="auto"/>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that may require us to pay fines or claims or take other actions. For further discussion, see Item 3, Legal Proceedings.</w:t>
      </w:r>
    </w:p>
    <w:p>
      <w:pPr>
        <w:spacing w:after="0" w:line="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44" w:lineRule="exact"/>
        <w:rPr>
          <w:sz w:val="20"/>
          <w:szCs w:val="20"/>
          <w:color w:val="auto"/>
        </w:rPr>
      </w:pPr>
    </w:p>
    <w:p>
      <w:pPr>
        <w:jc w:val="both"/>
        <w:ind w:firstLine="328"/>
        <w:spacing w:after="0" w:line="263" w:lineRule="auto"/>
        <w:rPr>
          <w:sz w:val="20"/>
          <w:szCs w:val="20"/>
          <w:color w:val="auto"/>
        </w:rPr>
      </w:pPr>
      <w:r>
        <w:rPr>
          <w:rFonts w:ascii="Arial" w:cs="Arial" w:eastAsia="Arial" w:hAnsi="Arial"/>
          <w:sz w:val="18"/>
          <w:szCs w:val="18"/>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Title Insurance Ratings. </w:t>
      </w:r>
      <w:r>
        <w:rPr>
          <w:rFonts w:ascii="Arial" w:cs="Arial" w:eastAsia="Arial" w:hAnsi="Arial"/>
          <w:sz w:val="16"/>
          <w:szCs w:val="16"/>
          <w:color w:val="auto"/>
        </w:rPr>
        <w:t>Our title insurance underwriters are regularly assigned ratings by independent agencies designed to indicate their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and/or claims paying ability. The 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entire FNF family of companies as a whole as follows:</w:t>
      </w:r>
    </w:p>
    <w:p>
      <w:pPr>
        <w:spacing w:after="0" w:line="54" w:lineRule="exact"/>
        <w:rPr>
          <w:sz w:val="20"/>
          <w:szCs w:val="20"/>
          <w:color w:val="auto"/>
        </w:rPr>
      </w:pPr>
    </w:p>
    <w:p>
      <w:pPr>
        <w:ind w:left="9000"/>
        <w:spacing w:after="0"/>
        <w:tabs>
          <w:tab w:leader="none" w:pos="10100" w:val="left"/>
        </w:tabs>
        <w:rPr>
          <w:sz w:val="20"/>
          <w:szCs w:val="20"/>
          <w:color w:val="auto"/>
        </w:rPr>
      </w:pPr>
      <w:r>
        <w:rPr>
          <w:rFonts w:ascii="Arial" w:cs="Arial" w:eastAsia="Arial" w:hAnsi="Arial"/>
          <w:sz w:val="14"/>
          <w:szCs w:val="14"/>
          <w:b w:val="1"/>
          <w:bCs w:val="1"/>
          <w:color w:val="auto"/>
        </w:rPr>
        <w:t>S&amp;P</w:t>
      </w:r>
      <w:r>
        <w:rPr>
          <w:sz w:val="20"/>
          <w:szCs w:val="20"/>
          <w:color w:val="auto"/>
        </w:rPr>
        <w:tab/>
      </w:r>
      <w:r>
        <w:rPr>
          <w:rFonts w:ascii="Arial" w:cs="Arial" w:eastAsia="Arial" w:hAnsi="Arial"/>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23495</wp:posOffset>
            </wp:positionV>
            <wp:extent cx="142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040" w:val="left"/>
          <w:tab w:leader="none" w:pos="10240" w:val="left"/>
        </w:tabs>
        <w:rPr>
          <w:sz w:val="20"/>
          <w:szCs w:val="20"/>
          <w:color w:val="auto"/>
        </w:rPr>
      </w:pPr>
      <w:r>
        <w:rPr>
          <w:rFonts w:ascii="Arial" w:cs="Arial" w:eastAsia="Arial" w:hAnsi="Arial"/>
          <w:sz w:val="18"/>
          <w:szCs w:val="18"/>
          <w:color w:val="auto"/>
        </w:rPr>
        <w:t>FNF family of companies</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104" w:lineRule="exact"/>
        <w:rPr>
          <w:sz w:val="20"/>
          <w:szCs w:val="20"/>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S&amp;P "A" rating is the third highest rating of 11 ratings for S&amp;P. According to S&amp;P, an insurer rated “A” has strong capacity to meet its financial commitments, but is somewhat more susceptible to adverse effects of changes in circumstances and economic conditions than insurers with "AAA" or "AA" ratings.</w:t>
      </w:r>
    </w:p>
    <w:p>
      <w:pPr>
        <w:spacing w:after="0" w:line="2"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Moody's "A2" rating is the third highest rating of 9 ratings for Moody's. Moody's states that companies rated “A2” are judged to be upper-medium grade and are subject to low credit risk.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tcPr>
          <w:p>
            <w:pPr>
              <w:ind w:left="340"/>
              <w:spacing w:after="0"/>
              <w:rPr>
                <w:sz w:val="20"/>
                <w:szCs w:val="20"/>
                <w:color w:val="auto"/>
              </w:rPr>
            </w:pPr>
            <w:r>
              <w:rPr>
                <w:rFonts w:ascii="Arial" w:cs="Arial" w:eastAsia="Arial" w:hAnsi="Arial"/>
                <w:sz w:val="18"/>
                <w:szCs w:val="18"/>
                <w:color w:val="auto"/>
              </w:rPr>
              <w:t>Demotech provides financial strength/stability ratings for each of our title insurance underwriters individually, as follows:</w:t>
            </w:r>
          </w:p>
        </w:tc>
        <w:tc>
          <w:tcPr>
            <w:tcW w:w="1360" w:type="dxa"/>
            <w:vAlign w:val="bottom"/>
          </w:tcPr>
          <w:p>
            <w:pPr>
              <w:spacing w:after="0"/>
              <w:rPr>
                <w:sz w:val="20"/>
                <w:szCs w:val="20"/>
                <w:color w:val="auto"/>
              </w:rPr>
            </w:pPr>
          </w:p>
        </w:tc>
      </w:tr>
      <w:tr>
        <w:trPr>
          <w:trHeight w:val="122"/>
        </w:trPr>
        <w:tc>
          <w:tcPr>
            <w:tcW w:w="98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29"/>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Alamo Title Insurance</w:t>
            </w:r>
          </w:p>
        </w:tc>
        <w:tc>
          <w:tcPr>
            <w:tcW w:w="13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w:t>
            </w: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1360" w:type="dxa"/>
            <w:vAlign w:val="bottom"/>
          </w:tcPr>
          <w:p>
            <w:pPr>
              <w:ind w:left="760"/>
              <w:spacing w:after="0"/>
              <w:rPr>
                <w:sz w:val="20"/>
                <w:szCs w:val="20"/>
                <w:color w:val="auto"/>
              </w:rPr>
            </w:pPr>
            <w:r>
              <w:rPr>
                <w:rFonts w:ascii="Arial" w:cs="Arial" w:eastAsia="Arial" w:hAnsi="Arial"/>
                <w:sz w:val="18"/>
                <w:szCs w:val="18"/>
                <w:color w:val="auto"/>
              </w:rPr>
              <w:t>A''</w:t>
            </w:r>
          </w:p>
        </w:tc>
      </w:tr>
      <w:tr>
        <w:trPr>
          <w:trHeight w:val="230"/>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Commonwealth Land Title Insurance Company</w:t>
            </w:r>
          </w:p>
        </w:tc>
        <w:tc>
          <w:tcPr>
            <w:tcW w:w="13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w:t>
            </w: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1360" w:type="dxa"/>
            <w:vAlign w:val="bottom"/>
          </w:tcPr>
          <w:p>
            <w:pPr>
              <w:ind w:left="760"/>
              <w:spacing w:after="0"/>
              <w:rPr>
                <w:sz w:val="20"/>
                <w:szCs w:val="20"/>
                <w:color w:val="auto"/>
              </w:rPr>
            </w:pPr>
            <w:r>
              <w:rPr>
                <w:rFonts w:ascii="Arial" w:cs="Arial" w:eastAsia="Arial" w:hAnsi="Arial"/>
                <w:sz w:val="18"/>
                <w:szCs w:val="18"/>
                <w:color w:val="auto"/>
              </w:rPr>
              <w:t>A'</w:t>
            </w:r>
          </w:p>
        </w:tc>
      </w:tr>
      <w:tr>
        <w:trPr>
          <w:trHeight w:val="229"/>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Title Insurance of New York</w:t>
            </w:r>
          </w:p>
        </w:tc>
        <w:tc>
          <w:tcPr>
            <w:tcW w:w="13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w:t>
            </w:r>
          </w:p>
        </w:tc>
      </w:tr>
    </w:tbl>
    <w:p>
      <w:pPr>
        <w:spacing w:after="0" w:line="94" w:lineRule="exact"/>
        <w:rPr>
          <w:sz w:val="20"/>
          <w:szCs w:val="20"/>
          <w:color w:val="auto"/>
        </w:rPr>
      </w:pPr>
    </w:p>
    <w:p>
      <w:pPr>
        <w:jc w:val="both"/>
        <w:ind w:firstLine="342"/>
        <w:spacing w:after="0" w:line="286" w:lineRule="auto"/>
        <w:rPr>
          <w:sz w:val="20"/>
          <w:szCs w:val="20"/>
          <w:color w:val="auto"/>
        </w:rPr>
      </w:pPr>
      <w:r>
        <w:rPr>
          <w:rFonts w:ascii="Arial" w:cs="Arial" w:eastAsia="Arial" w:hAnsi="Arial"/>
          <w:sz w:val="17"/>
          <w:szCs w:val="17"/>
          <w:color w:val="auto"/>
        </w:rPr>
        <w:t>Demotech states that its ratings of "A"(A double prime)" and "A' (A prime)"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ratings of S&amp;P, Moody’s, and Demotech described above are not designed to be, and do not serve as, measures of protection or valuation offered to investors. These financial strength ratings should not be relied on with respect to making 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investment in our securities.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If the rating agencies downgrade our Company, our results of operations and competitive position in the title insurance industry may suffer” for further information.</w:t>
      </w:r>
    </w:p>
    <w:p>
      <w:pPr>
        <w:spacing w:after="0" w:line="49" w:lineRule="exact"/>
        <w:rPr>
          <w:sz w:val="20"/>
          <w:szCs w:val="20"/>
          <w:color w:val="auto"/>
        </w:rPr>
      </w:pPr>
    </w:p>
    <w:p>
      <w:pPr>
        <w:jc w:val="both"/>
        <w:ind w:firstLine="328"/>
        <w:spacing w:after="0" w:line="271" w:lineRule="auto"/>
        <w:rPr>
          <w:sz w:val="20"/>
          <w:szCs w:val="20"/>
          <w:color w:val="auto"/>
        </w:rPr>
      </w:pPr>
      <w:r>
        <w:rPr>
          <w:rFonts w:ascii="Arial" w:cs="Arial" w:eastAsia="Arial" w:hAnsi="Arial"/>
          <w:sz w:val="17"/>
          <w:szCs w:val="17"/>
          <w:i w:val="1"/>
          <w:iCs w:val="1"/>
          <w:color w:val="auto"/>
        </w:rPr>
        <w:t xml:space="preserve">Investment Policies and Investment Portfolio. </w:t>
      </w:r>
      <w:r>
        <w:rPr>
          <w:rFonts w:ascii="Arial" w:cs="Arial" w:eastAsia="Arial" w:hAnsi="Arial"/>
          <w:sz w:val="17"/>
          <w:szCs w:val="17"/>
          <w:color w:val="auto"/>
        </w:rPr>
        <w:t>Within our Title segment, our investment policy is designed to maximize total return through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capital appreciation consistent 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and 2019, the carrying amount of total investments within our Title segment, which approximates the fair value, excluding investments in unconsolidated affiliates, was $3.7 billion and $4.3 billion, respectively.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5"/>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00" w:type="dxa"/>
            <w:vAlign w:val="bottom"/>
          </w:tcPr>
          <w:p>
            <w:pPr>
              <w:ind w:left="36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192"/>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87"/>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1"/>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Aaa/AAA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9.8</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28.7</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26.6</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w:t>
            </w:r>
          </w:p>
        </w:tc>
      </w:tr>
      <w:tr>
        <w:trPr>
          <w:trHeight w:val="23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8.1</w:t>
            </w:r>
          </w:p>
        </w:tc>
      </w:tr>
      <w:tr>
        <w:trPr>
          <w:trHeight w:val="248"/>
        </w:trPr>
        <w:tc>
          <w:tcPr>
            <w:tcW w:w="2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Ratings as assigned by Moody’s or S&amp;P if a Moody's rating is unavailable.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0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 of</w:t>
            </w: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w:t>
            </w:r>
          </w:p>
        </w:tc>
      </w:t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(Dollars in millions)</w:t>
            </w:r>
          </w:p>
        </w:tc>
        <w:tc>
          <w:tcPr>
            <w:tcW w:w="1060" w:type="dxa"/>
            <w:vAlign w:val="bottom"/>
          </w:tcPr>
          <w:p>
            <w:pPr>
              <w:spacing w:after="0"/>
              <w:rPr>
                <w:sz w:val="16"/>
                <w:szCs w:val="16"/>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56.9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6.4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r>
      <w:tr>
        <w:trPr>
          <w:trHeight w:val="223"/>
        </w:trPr>
        <w:tc>
          <w:tcPr>
            <w:tcW w:w="6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8"/>
        <w:spacing w:after="0" w:line="263"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and 2019, we held $138 million and $131 million, respectively, in investments that are accounted for using the equity method of accounting.</w:t>
      </w:r>
    </w:p>
    <w:p>
      <w:pPr>
        <w:spacing w:after="0" w:line="49" w:lineRule="exact"/>
        <w:rPr>
          <w:sz w:val="20"/>
          <w:szCs w:val="20"/>
          <w:color w:val="auto"/>
        </w:rPr>
      </w:pPr>
    </w:p>
    <w:p>
      <w:pPr>
        <w:jc w:val="both"/>
        <w:ind w:right="20" w:firstLine="355"/>
        <w:spacing w:after="0" w:line="277" w:lineRule="auto"/>
        <w:rPr>
          <w:sz w:val="20"/>
          <w:szCs w:val="20"/>
          <w:color w:val="auto"/>
        </w:rPr>
      </w:pPr>
      <w:r>
        <w:rPr>
          <w:rFonts w:ascii="Arial" w:cs="Arial" w:eastAsia="Arial" w:hAnsi="Arial"/>
          <w:sz w:val="18"/>
          <w:szCs w:val="18"/>
          <w:color w:val="auto"/>
        </w:rPr>
        <w:t>As of December 31, 2020 and 2019, other long-term investments were $33 million and $153 million, respectively. Other long-term investments include other investments carried at fair value and company-owned life insurance policies carried at cash surrender value.</w:t>
      </w:r>
    </w:p>
    <w:p>
      <w:pPr>
        <w:spacing w:after="0" w:line="35" w:lineRule="exact"/>
        <w:rPr>
          <w:sz w:val="20"/>
          <w:szCs w:val="20"/>
          <w:color w:val="auto"/>
        </w:rPr>
      </w:pPr>
    </w:p>
    <w:p>
      <w:pPr>
        <w:jc w:val="both"/>
        <w:ind w:firstLine="328"/>
        <w:spacing w:after="0" w:line="263" w:lineRule="auto"/>
        <w:rPr>
          <w:sz w:val="20"/>
          <w:szCs w:val="20"/>
          <w:color w:val="auto"/>
        </w:rPr>
      </w:pPr>
      <w:r>
        <w:rPr>
          <w:rFonts w:ascii="Arial" w:cs="Arial" w:eastAsia="Arial" w:hAnsi="Arial"/>
          <w:sz w:val="18"/>
          <w:szCs w:val="18"/>
          <w:color w:val="auto"/>
        </w:rPr>
        <w:t>Short-term investments, which consist primarily of commercial paper and money market instruments that have an original maturity of one year or less, are carried at amortized cost, which approximates fair value. As of December 31, 2020 and 2019, short-term investments amounted to $312 million and $876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2020, 2019 and 2018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r>
      <w:tr>
        <w:trPr>
          <w:trHeight w:val="183"/>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3,736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3,768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3,291</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jc w:val="both"/>
        <w:ind w:left="660" w:hanging="328"/>
        <w:spacing w:after="0" w:line="295" w:lineRule="auto"/>
        <w:tabs>
          <w:tab w:leader="none" w:pos="6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See Note E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to our Consolidated Financial Statements included in Item 8 of Part II of this Annual Report for a detail of our interest income.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Through our wholly-owned subsidiary, F&amp;G, and its wholly-owned insurance subsidiaries, we market a variety of fixed annuity and life insurance products.</w:t>
      </w:r>
    </w:p>
    <w:p>
      <w:pPr>
        <w:spacing w:after="0" w:line="3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 more than 60 years, F&amp;G has helped middle-income Americans prepare for retirement and for their loved ones' financial security. We partner with leading independent marketing organizations ("IMO") and their agents to serve the needs of the middle-income market and develop competitive products to align with their evolving needs. During 2020, F&amp;G entered the bank and broker dealer distribution channel to connect with even more customers. As of December 31, 2020, F&amp;G has approximately 655,000 policyholders who count on the safety and protection features our fixed annuity and life insurance products provide.</w:t>
      </w:r>
    </w:p>
    <w:p>
      <w:pPr>
        <w:spacing w:after="0" w:line="53"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Through the efforts of F&amp;G's 447 employees, most of whom are located in Des Moines, IA, and through a network of approximately 200 IMOs representing approximately 44,000 independent agents, and through leading independent broker dealers and banks, we offer various types of fixed annuities and life insurance products. Our fixed annuities serve as a retirement and savings tool for which our customers rely on principal protection and predictable income streams. In addition, our indexed universal life ("IUL") insurance products provide our customers with a complementary product that allows them to build on their savings and provide a payment to their designated beneficiaries upon the policyholder’s death. Our most popular products are fixed indexed annuities (“FIAs”) that tie contractual returns to specific market indices, such as the S&amp;P 500 Index. Our customers value our FIAs,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3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For the period from June 1, 2020 through December 31, 2020, FIAs generated approximately 69% of our total sales. The remaining 31% of sales were primarily generated from fixed rate annuity sales during the year. We invest the annuity premiums primarily in fixed income securities, options and futures that hedge our risk and replicate the market index returns to our policyholders. We invest predominantly in call options on the S&amp;P 500 Index. The majority of our products contain provisions that permit us to adjust annually the formula by which we provide index credits in response to changing market conditions. In addition, our annuity contracts generally either cannot be surrendered or include surrender charges that discourage early redemptions.</w:t>
      </w:r>
    </w:p>
    <w:p>
      <w:pPr>
        <w:spacing w:after="0" w:line="2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Products</w:t>
      </w:r>
      <w:r>
        <w:rPr>
          <w:rFonts w:ascii="Arial" w:cs="Arial" w:eastAsia="Arial" w:hAnsi="Arial"/>
          <w:sz w:val="18"/>
          <w:szCs w:val="18"/>
          <w:color w:val="auto"/>
        </w:rPr>
        <w:t>. F&amp;G's experience designing and developing annuities and life insurance products will allow us to continue to introduce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solutions designed to meet customers’ changing needs. We work hand-in-hand with our distributors to devise the most suitable product solutions for the ever-changing market. We believe that, on a practical basis, we have a unique understanding of the safety, accumulation, protection, and income needs of middle-income Americans.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Through F&amp;G's insurance subsidiaries, we issue a broad portfolio of deferred annuities (fixed indexed and fixed rate annuities) and immediate annuities.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i w:val="1"/>
          <w:iCs w:val="1"/>
          <w:color w:val="auto"/>
        </w:rPr>
        <w:t>Deferred Annuities - FIAs</w:t>
      </w:r>
      <w:r>
        <w:rPr>
          <w:rFonts w:ascii="Arial" w:cs="Arial" w:eastAsia="Arial" w:hAnsi="Arial"/>
          <w:sz w:val="18"/>
          <w:szCs w:val="18"/>
          <w:color w:val="auto"/>
        </w:rPr>
        <w:t>. Our FIAs allow contract owners the possibility of earning returns linked to the performance of a specified market index,</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the S&amp;P 500 Index, while providing principal protection.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High surrender charges apply for early withdrawal, typically for seven to fourteen years after purchase.</w:t>
      </w:r>
    </w:p>
    <w:p>
      <w:pPr>
        <w:spacing w:after="0" w:line="6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contractholder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2% to 5% when measured annually and 1% to 3% when measured monthly, spreads (a credited rate determined by deducting a specific rate from the index return) generally range from 1% to 6% when measured annually, and participation rates (a credited rate equal to a percentage of index return) generally range from 100% to 140%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contractholder may lose principal if the index credits received do not exceed the amount of such fee.</w:t>
      </w:r>
    </w:p>
    <w:p>
      <w:pPr>
        <w:spacing w:after="0" w:line="4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Approximately 46% of the FIA sales for the period from June 1, 2020 through December 31, 2020 involved “premium bonuses” or vesting bonuses. Premium bonuses increase the initial annuity deposit by a specified rate of 2% to 3%. The vesting bonuses, which range from 1% to 9%,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2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Approximately 44% of our FIA contracts were issued with a guaranteed minimum withdrawal benefit (“GMWB”) rider for the period from June 1, 2020 through December 31, 2020.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8%. Guaranteed withdrawal payments may be stopped and restarted at the election of the contract owner. Some of the FIA contract riders that we offer include an additional death benefit or an increase in benefit amounts under chronic health conditions. Rider fees range from 0% to 1%.</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distribution of the FIA account values by cap rate and by strategy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Cap rate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Strategy</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0% to 3%</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&gt; 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84"/>
        </w:trPr>
        <w:tc>
          <w:tcPr>
            <w:tcW w:w="4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1 year gain trigger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year monthly average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1-3 year monthly point-to-point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 year annual point-to-point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3 year step forward</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48"/>
        </w:trPr>
        <w:tc>
          <w:tcPr>
            <w:tcW w:w="48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distribution of the FIA account values by cap rate and by index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Cap rate</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0% to 3%</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&gt; 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184"/>
        </w:trPr>
        <w:tc>
          <w:tcPr>
            <w:tcW w:w="4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11,537</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Nasdaq</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48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Deferred Annuities - Fixed Rate Annuities</w:t>
      </w:r>
      <w:r>
        <w:rPr>
          <w:rFonts w:ascii="Arial" w:cs="Arial" w:eastAsia="Arial" w:hAnsi="Arial"/>
          <w:sz w:val="16"/>
          <w:szCs w:val="16"/>
          <w:color w:val="auto"/>
        </w:rPr>
        <w:t>. Fixed rate annuities include annual reset and multi-year rate guaranteed policies. Fixed rate annual reset</w:t>
      </w:r>
      <w:r>
        <w:rPr>
          <w:rFonts w:ascii="Arial" w:cs="Arial" w:eastAsia="Arial" w:hAnsi="Arial"/>
          <w:sz w:val="16"/>
          <w:szCs w:val="16"/>
          <w:i w:val="1"/>
          <w:iCs w:val="1"/>
          <w:color w:val="auto"/>
        </w:rPr>
        <w:t xml:space="preserve"> </w:t>
      </w:r>
      <w:r>
        <w:rPr>
          <w:rFonts w:ascii="Arial" w:cs="Arial" w:eastAsia="Arial" w:hAnsi="Arial"/>
          <w:sz w:val="16"/>
          <w:szCs w:val="16"/>
          <w:color w:val="auto"/>
        </w:rPr>
        <w:t>annuities issued by us have an annual interest rate (the “crediting rate”) that is guaranteed for the first policy year. After the first policy year, we have the discretionary ability to change the crediting rate once annually to any rate at or above a guaranteed minimum rate. Multi-year guaranteed annuities ("MYGA") are similar to fixed rate annual reset annuities except that the initial crediting rate is guaranteed for a specified number of years before it may be changed at our discretion. As of December 31, 2020, crediting rates on outstanding (i) single-year guaranteed annuities generally ranged from 2% to 6% and (ii) MYGA ranged from 1% to 6%. The average crediting rate on all outstanding fixed rate annuities at December 31, 2020 was 3%.</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distribution of the fixed rate annuity account values by crediting rate was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Crediting rate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 to 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2% to 3%</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3% to 4%</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4% to 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 to 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 value (gross)</w:t>
            </w: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MYGA expiring guaranty account values, net of reinsurance, by year were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Year of expiry:</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Account Value</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942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r>
      <w:tr>
        <w:trPr>
          <w:trHeight w:val="21"/>
        </w:trPr>
        <w:tc>
          <w:tcPr>
            <w:tcW w:w="9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Withdrawal Options for Deferred Annuities</w:t>
      </w:r>
      <w:r>
        <w:rPr>
          <w:rFonts w:ascii="Arial" w:cs="Arial" w:eastAsia="Arial" w:hAnsi="Arial"/>
          <w:sz w:val="16"/>
          <w:szCs w:val="16"/>
          <w:color w:val="auto"/>
        </w:rPr>
        <w:t>. After the first year following the issuance of a deferred annuity policy, holders of deferred annuities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permitted penalty-free withdrawals up to 10% of the prior year’s value, subject to certain limitations. Withdrawals in excess of allowable penalty-free amounts are assessed a surrender charge if such withdrawals are made during the penalty period of the deferred annuity policy. The penalty period typically ranges from seven to fourteen years for FIAs and three to ten years for fixed rate annuities. This surrender charge initially ranges from 0% to 15% of the contract value for FIAs and 0% to 10% of the contract value for fixed rate annuities and generally decreases by approximately one to two percentage points per year during the penalty period. The average surrender charge is 8% for our FIAs and 6% for our fixed rate annuities as of December 31, 2020.</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deferred annuity account values and surrender charge protection as of December 31, 2020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Fixed Rate and Fixed</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Indexed Annuities</w:t>
            </w:r>
          </w:p>
        </w:tc>
        <w:tc>
          <w:tcPr>
            <w:tcW w:w="15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Percent of Total</w:t>
            </w: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Account Value</w:t>
            </w: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182"/>
              <w:spacing w:after="0"/>
              <w:rPr>
                <w:sz w:val="20"/>
                <w:szCs w:val="20"/>
                <w:color w:val="auto"/>
              </w:rPr>
            </w:pPr>
            <w:r>
              <w:rPr>
                <w:rFonts w:ascii="Arial" w:cs="Arial" w:eastAsia="Arial" w:hAnsi="Arial"/>
                <w:sz w:val="14"/>
                <w:szCs w:val="14"/>
                <w:b w:val="1"/>
                <w:bCs w:val="1"/>
                <w:color w:val="auto"/>
              </w:rPr>
              <w:t>Surrender Charge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0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SURRENDER CHARGE EXPIRATION BY YEAR</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 of surrender charge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2022-2024</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2025-2026</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2027-2028</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Subsequent to the penalty period, the policyholder may elect to take the proceeds of the surrender either in a single payment or in a series of payments over the life of the policyholder or for a fixed number of years (or a combination of these payment options). In addition to the foregoing withdrawal rights, policyholders may also elect to have additional withdrawal benefits by purchasing a GMWB.</w:t>
      </w:r>
    </w:p>
    <w:p>
      <w:pPr>
        <w:spacing w:after="0" w:line="4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also sell single premium immediate annuities (or “SPIAs”), which provide a series of periodic payments for a fixed period of time or for the life of the policyholder,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45"/>
        <w:spacing w:after="0" w:line="302" w:lineRule="auto"/>
        <w:rPr>
          <w:sz w:val="20"/>
          <w:szCs w:val="20"/>
          <w:color w:val="auto"/>
        </w:rPr>
      </w:pPr>
      <w:r>
        <w:rPr>
          <w:rFonts w:ascii="Arial" w:cs="Arial" w:eastAsia="Arial" w:hAnsi="Arial"/>
          <w:sz w:val="16"/>
          <w:szCs w:val="16"/>
          <w:color w:val="auto"/>
        </w:rPr>
        <w:t>The following table presents the deposits (also known as “sales”) on annuity policies issued for the period from June 1, 2020 through December 31, 2020 as well as reserves required by U.S. generally accepted accounting principles (“U.S. GAAP”) for all policies in force for the period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w w:val="97"/>
              </w:rPr>
              <w:t>Period from June 1 to December 31, 2020</w:t>
            </w:r>
          </w:p>
        </w:tc>
      </w:tr>
      <w:tr>
        <w:trPr>
          <w:trHeight w:val="135"/>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Deposits on</w:t>
            </w:r>
          </w:p>
        </w:tc>
        <w:tc>
          <w:tcPr>
            <w:tcW w:w="420" w:type="dxa"/>
            <w:vAlign w:val="bottom"/>
          </w:tcPr>
          <w:p>
            <w:pPr>
              <w:spacing w:after="0"/>
              <w:rPr>
                <w:sz w:val="11"/>
                <w:szCs w:val="11"/>
                <w:color w:val="auto"/>
              </w:rPr>
            </w:pPr>
          </w:p>
        </w:tc>
        <w:tc>
          <w:tcPr>
            <w:tcW w:w="116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5"/>
              </w:rPr>
              <w:t>U.S.</w:t>
            </w:r>
          </w:p>
        </w:tc>
      </w:tr>
      <w:tr>
        <w:trPr>
          <w:trHeight w:val="135"/>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Annuity</w:t>
            </w:r>
          </w:p>
        </w:tc>
        <w:tc>
          <w:tcPr>
            <w:tcW w:w="420" w:type="dxa"/>
            <w:vAlign w:val="bottom"/>
          </w:tcPr>
          <w:p>
            <w:pPr>
              <w:spacing w:after="0"/>
              <w:rPr>
                <w:sz w:val="11"/>
                <w:szCs w:val="11"/>
                <w:color w:val="auto"/>
              </w:rPr>
            </w:pPr>
          </w:p>
        </w:tc>
        <w:tc>
          <w:tcPr>
            <w:tcW w:w="116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rPr>
              <w:t>GAAP</w:t>
            </w:r>
          </w:p>
        </w:tc>
      </w:tr>
      <w:tr>
        <w:trPr>
          <w:trHeight w:val="186"/>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Policies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86"/>
              </w:rPr>
              <w:t>Reserves</w:t>
            </w:r>
          </w:p>
        </w:tc>
      </w:tr>
      <w:tr>
        <w:trPr>
          <w:trHeight w:val="184"/>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Products (net of reinsurance)</w:t>
            </w:r>
          </w:p>
        </w:tc>
        <w:tc>
          <w:tcPr>
            <w:tcW w:w="220" w:type="dxa"/>
            <w:vAlign w:val="bottom"/>
          </w:tcPr>
          <w:p>
            <w:pPr>
              <w:spacing w:after="0"/>
              <w:rPr>
                <w:sz w:val="15"/>
                <w:szCs w:val="15"/>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indexed annuities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Fixed rate annuities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premium immediate annuities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r>
      <w:tr>
        <w:trPr>
          <w:trHeight w:val="223"/>
        </w:trPr>
        <w:tc>
          <w:tcPr>
            <w:tcW w:w="79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28,826</w:t>
            </w:r>
          </w:p>
        </w:tc>
      </w:tr>
      <w:tr>
        <w:trPr>
          <w:trHeight w:val="21"/>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i w:val="1"/>
          <w:iCs w:val="1"/>
          <w:color w:val="auto"/>
        </w:rPr>
        <w:t xml:space="preserve">Life Insurance. </w:t>
      </w:r>
      <w:r>
        <w:rPr>
          <w:rFonts w:ascii="Arial" w:cs="Arial" w:eastAsia="Arial" w:hAnsi="Arial"/>
          <w:sz w:val="16"/>
          <w:szCs w:val="16"/>
          <w:color w:val="auto"/>
        </w:rPr>
        <w:t>We currently offer IUL insurance policies and have previously sold universal life, term and whole life insurance products.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life insurance policies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FIAs.</w:t>
      </w:r>
    </w:p>
    <w:p>
      <w:pPr>
        <w:spacing w:after="0" w:line="2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Almost all of the life insurance policies in force, except for the return of premium benefits on term life insurance products and universal life contracts issued after March 1, 2010, are subject to an arrangement with Wilton Reassurance Company (“Wilton Re”). See section titled “Reinsurance-Wilton Re Transaction” in Item 1. Business.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distribution of the retained IUL account values by cap rate and by strategy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Cap rate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8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Strategy</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2.5%-5.0%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5.0-7.5%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7.5%-10.0%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7"/>
              </w:rPr>
              <w:t>10.0-12.5%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12.5+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5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1 year annual point-to-point, Gold Index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 year monthly point-to-point, S&amp;P Index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080" w:type="dxa"/>
            <w:vAlign w:val="bottom"/>
          </w:tcPr>
          <w:p>
            <w:pPr>
              <w:ind w:left="20"/>
              <w:spacing w:after="0"/>
              <w:rPr>
                <w:sz w:val="20"/>
                <w:szCs w:val="20"/>
                <w:color w:val="auto"/>
              </w:rPr>
            </w:pPr>
            <w:r>
              <w:rPr>
                <w:rFonts w:ascii="Arial" w:cs="Arial" w:eastAsia="Arial" w:hAnsi="Arial"/>
                <w:sz w:val="16"/>
                <w:szCs w:val="16"/>
                <w:color w:val="auto"/>
              </w:rPr>
              <w:t>1 year annual point-to-point with 100% par rate, S&amp;P Index</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 year annual point-to-point with 140% par rate, S&amp;P Index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three main channels of distribution: independent agents, bank, and broker dealers.</w:t>
      </w:r>
    </w:p>
    <w:p>
      <w:pPr>
        <w:spacing w:after="0" w:line="12" w:lineRule="exact"/>
        <w:rPr>
          <w:sz w:val="20"/>
          <w:szCs w:val="20"/>
          <w:color w:val="auto"/>
        </w:rPr>
      </w:pPr>
    </w:p>
    <w:p>
      <w:pPr>
        <w:ind w:right="40" w:firstLine="445"/>
        <w:spacing w:after="0" w:line="236" w:lineRule="auto"/>
        <w:rPr>
          <w:sz w:val="20"/>
          <w:szCs w:val="20"/>
          <w:color w:val="auto"/>
        </w:rPr>
      </w:pPr>
      <w:r>
        <w:rPr>
          <w:rFonts w:ascii="Arial" w:cs="Arial" w:eastAsia="Arial" w:hAnsi="Arial"/>
          <w:sz w:val="18"/>
          <w:szCs w:val="18"/>
          <w:color w:val="auto"/>
        </w:rPr>
        <w:t>In our independent agent channel, the sale of our products typically occurs as part of a four-party, three stage sales process between Fidelity &amp; Guaranty Life Insurance Company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 and presents suitable product choices to the customers. We monitor the business issued by each distribution partner for pricing metrics, mortality, persistency, as well as market conduct and suitability.</w:t>
      </w:r>
    </w:p>
    <w:p>
      <w:pPr>
        <w:spacing w:after="0" w:line="5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offer our products through a network of approximately 200 IMOs, representing approximately 44,000 agents. We identify "Power Partners" as those we believe have the ability to generate significant production for our F&amp;G business. We currently have 32 Power Partners, comprised of 21 annuity IMOs and 11 life insurance IMOs. During the period from June 1, 2020 to December 31, 2020, these Power Partners accounted for approximately 88% of our sales volume. We believe that our relationships with these IMOs are strong. The average tenure of the top ten Power Partners is approximately 17 years.</w:t>
      </w:r>
    </w:p>
    <w:p>
      <w:pPr>
        <w:spacing w:after="0" w:line="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Power Partners play an important role in the development of our products by providing feedback integral to the development process and by securing “shelf space” for new products. Over the last ten years, the majority of our best-selling products have been developed with our Power Partners. We intend to continue to involve Power Partners in the development of our products in the future.</w:t>
      </w:r>
    </w:p>
    <w:p>
      <w:pPr>
        <w:spacing w:after="0" w:line="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2020, we launched a new set of fixed and indexed annuity products to be distributed specifically to banks and broker dealers, and gained selling agreements with some of the largest banks and broker dealers in the United States. The financial advisers at our bank and broker dealer partners are able to offer their clients guaranteed rates of return, protected growth,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for life through our Secure series of annuity products. We employ a hybrid distribution model in this channel, whereby some financial institutions partner directly with F&amp;G and our sales team, and others work with an intermediary. As such, we partner with a select number of IMOs who have expertise in the channel and maintain the appropriate field wholesaling forces to be successful in this channel.</w:t>
      </w:r>
    </w:p>
    <w:p>
      <w:pPr>
        <w:spacing w:after="0" w:line="4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top five states for the distribution of FGL Insurance’s products in the period from June 1, 2020 to December 31, 2020 were California, Texas, Florida, Arizona and New Jersey, which together accounted for 41% of FGL Insurance’s premiums.</w:t>
      </w:r>
    </w:p>
    <w:p>
      <w:pPr>
        <w:spacing w:after="0" w:line="3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Within our F&amp;G segment, we embrace a long-term conservative investment philosophy, investing nearly all the insurance premiums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in a wide range of fixed income interest-bearing securities.</w:t>
      </w:r>
    </w:p>
    <w:p>
      <w:pPr>
        <w:spacing w:after="0" w:line="3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FGL Insurance, and certain subsidiaries of the F&amp;G, entered into investment management agreements (“IMAs”) with Blackstone ISG-I Advisors LLC (“BISGA”), a wholly-owned subsidiary of Blackstone on December 1, 2017. On December 31, 2019, effective as of October 31, 2019, FGL Insurance and certain subsidiaries of the F&amp;G entered into amended and restated IMAs (the “Restated IMAs”) with BISGA, pursuant to which BISGA was appointed as investment manager of the F&amp;G’s general accounts (the “F&amp;G Accounts”). Pursuant to the terms of the IMAs, BISGA may delegate any or all of its discretionary investment, advisory and other rights, powers, functions and obligations under the IMAs to one or more sub-managers, including its affiliates. Pursuant to the Restated IMAs, BISGA delegated certain investment services to its affiliates, Blackstone Real Estate Special Situations Advisors L.L.C. (“BRESSA”) and GSO Capital Advisors II LLC (“GSO Capital Advisors”), pursuant to sub-management agreements executed between BISGA and each of BRESSA and GSO Capital Advisors. Additionally, three other subsidiaries of F&amp;G entered into Investment Management Agreements with BISGA on substantially the same terms as the FGL Insurance IMA (the “Additional Investment Management Agreements” and collectively with the FGL Insurance IMA, the “Investment Management Agreements”).</w:t>
      </w:r>
    </w:p>
    <w:p>
      <w:pPr>
        <w:spacing w:after="0" w:line="77" w:lineRule="exact"/>
        <w:rPr>
          <w:sz w:val="20"/>
          <w:szCs w:val="20"/>
          <w:color w:val="auto"/>
        </w:rPr>
      </w:pPr>
    </w:p>
    <w:p>
      <w:pPr>
        <w:jc w:val="both"/>
        <w:ind w:firstLine="197"/>
        <w:spacing w:after="0" w:line="270" w:lineRule="auto"/>
        <w:rPr>
          <w:sz w:val="20"/>
          <w:szCs w:val="20"/>
          <w:color w:val="auto"/>
        </w:rPr>
      </w:pPr>
      <w:r>
        <w:rPr>
          <w:rFonts w:ascii="Arial" w:cs="Arial" w:eastAsia="Arial" w:hAnsi="Arial"/>
          <w:sz w:val="17"/>
          <w:szCs w:val="17"/>
          <w:color w:val="auto"/>
        </w:rPr>
        <w:t>BISGA manages the bulk of the investment portfolio. For certain asset classes, we utilize experienced third party companies. As of December 31, 2020, 86% of our $29 billion investment portfolio was managed by Blackstone, with 13% managed by other third parties, and the remaining 1% internally managed. BISGA appointed MVB Management, an entity owned by affiliates of our Chairman, as Sub-Adviser of the FGL Account pursuant to a sub-advisory agreement (the “Sub-Advisory Agreement”). Under the Sub-Advisory Agreement, MVB Management will provide investment advisory services, portfolio review, and consultation with regard to the FGL Account (and the accounts of the other F&amp;G subsidiaries party to Investment Management Agreements) and the asset classes and markets contemplated by the investment guidelines specified in the agreement, including such recommendations as the Investment Manager shall reasonably request. Payment or reimbursement of the subadvisory fee to MVB Management is solely the obligation of BISGA and is not an obligation of FGL Insurance or F&amp;G. Subject to certain conditions, the Sub-Advisory Agreement cannot be terminated by BISGA unless FGL Insurance terminates the FGL Insurance IMA.</w:t>
      </w:r>
    </w:p>
    <w:p>
      <w:pPr>
        <w:spacing w:after="0" w:line="73" w:lineRule="exact"/>
        <w:rPr>
          <w:sz w:val="20"/>
          <w:szCs w:val="20"/>
          <w:color w:val="auto"/>
        </w:rPr>
      </w:pPr>
    </w:p>
    <w:p>
      <w:pPr>
        <w:jc w:val="both"/>
        <w:ind w:firstLine="288"/>
        <w:spacing w:after="0" w:line="293" w:lineRule="auto"/>
        <w:rPr>
          <w:sz w:val="20"/>
          <w:szCs w:val="20"/>
          <w:color w:val="auto"/>
        </w:rPr>
      </w:pPr>
      <w:r>
        <w:rPr>
          <w:rFonts w:ascii="Arial" w:cs="Arial" w:eastAsia="Arial" w:hAnsi="Arial"/>
          <w:sz w:val="16"/>
          <w:szCs w:val="16"/>
          <w:color w:val="auto"/>
        </w:rPr>
        <w:t>F&amp;G and certain subsidiaries entered into amended and restated Investment Management Agreements with BISGA on December 31, 2019, to be effective as of October 1, 2019, pursuant to which BISGA was appointed as investment manager of the F&amp;G’s general accounts (the “F&amp;G Accounts”). The IMAs amend and restate investment management agreements entered into between November 2017 and March 2018 (the “Restated IMAs”). Pursuant to the terms of the IMAs, BISGA may delegate any or all of its discretionary investment, advisory and other rights, powers, functions and obligations under the IMAs to one or more sub-managers, including its affiliates. BISGA delegated certain investment services to its affiliates, BRESSA and GSO Capital Advisors, pursuant to sub-management agreements executed between BISGA and each of BRESSA and GSO Capital Advisors.</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investment strategy is designed to (i) achieve strong absolute returns, (ii) provide consistent yield and investment income, and (iii) preserve capital. We base all of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 Additionally, we define risk tolerance across a wide range of factors, including credit risk, liquidity risk, concentration (issuer and sector) risk, and caps on specific asset classes, which in turn establish conservative risk thresholds.</w:t>
      </w:r>
    </w:p>
    <w:p>
      <w:pPr>
        <w:spacing w:after="0" w:line="4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investment portfolio consists of high 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limited partnership investments, and fund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through our funding arrangement with the Federal Home Loan Bank of Atlanta.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Over the last year, we continued to work with BISGA and the other third party asset managers to broaden the portfolio’s exposure to include United States dollar ("USD") denominated emerging market bonds, highly rated preferred stocks and hybrids, and structured securities including ABS. As a result of these portfolio repositionings, we currently maintain:</w:t>
      </w:r>
    </w:p>
    <w:p>
      <w:pPr>
        <w:spacing w:after="0" w:line="49" w:lineRule="exact"/>
        <w:rPr>
          <w:sz w:val="20"/>
          <w:szCs w:val="20"/>
          <w:color w:val="auto"/>
        </w:rPr>
      </w:pPr>
    </w:p>
    <w:p>
      <w:pPr>
        <w:ind w:left="660" w:hanging="207"/>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well matched asset/liability profile (asset duration, including cash and cash equivalents, of 6.8 years vs. liability duration of 6.6 years); and</w:t>
      </w:r>
    </w:p>
    <w:p>
      <w:pPr>
        <w:spacing w:after="0" w:line="101" w:lineRule="exact"/>
        <w:rPr>
          <w:rFonts w:ascii="Arial" w:cs="Arial" w:eastAsia="Arial" w:hAnsi="Arial"/>
          <w:sz w:val="17"/>
          <w:szCs w:val="17"/>
          <w:color w:val="auto"/>
        </w:rPr>
      </w:pPr>
    </w:p>
    <w:p>
      <w:pPr>
        <w:ind w:left="660" w:hanging="20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large exposure to less rate-sensitive assets (25% of invested assets).</w:t>
      </w:r>
    </w:p>
    <w:p>
      <w:pPr>
        <w:spacing w:after="0" w:line="9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discussion of portfolio activity, see Item 7 of Part II of this Annual Report, under Management’s Discussion and Analysis of Financial Condition and Results of Operations-Investment Portfolio.</w:t>
      </w:r>
    </w:p>
    <w:p>
      <w:pPr>
        <w:spacing w:after="0" w:line="3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FIA contracts permit the holder to elect to receive a return based on an interest rate or the performance of a market index, most</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the S&amp;P 500 Index. We purchase derivatives consisting predominantly of call options and, to a lesser degree, futures contracts on the equity indices underlying the applicable policy. These derivatives are used to fund the index credits due to policyholders under the FIA contracts based upon policyholders' contract elections. The majority of all such call options are one-year options purchased to match the funding requirements underlying the FIA contracts. On the anniversary dates of the FIA contracts, the market index used to compute the annual index credit under the FIA contract is reset. At such time, we purchase new one-, two-, three-, or five-year call options to fund the next index credit. We manage the cost of these purchases through the terms of our FIA contracts, which permit us to change caps or participation rates, subject to certain guaranteed minimums on each contracts anniversary date. The change in the fair value of the call options and futures contracts is generally designed to offset the equity market related change in the fair value of the FIA contract’s related reserve liability.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 or upon early termination and the changes in fair value of open positions.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Outsourcing. </w:t>
      </w:r>
      <w:r>
        <w:rPr>
          <w:rFonts w:ascii="Arial" w:cs="Arial" w:eastAsia="Arial" w:hAnsi="Arial"/>
          <w:sz w:val="18"/>
          <w:szCs w:val="18"/>
          <w:color w:val="auto"/>
        </w:rPr>
        <w:t>Our F&amp;G segment outsources the following functions to third-party service providers:</w:t>
      </w:r>
    </w:p>
    <w:p>
      <w:pPr>
        <w:spacing w:after="0" w:line="90"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business administration (data entry and policy issue only);</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service of existing policies;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underwriting administration of life insurance applications;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life reinsurance administration;</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call centers;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technology development and maintenance;</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valuation of reinsurance liabilities held at fair value;</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accounting and custody; and</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co-located data centers and hosting of financial systems.</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investment,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5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Ratings. </w:t>
      </w:r>
      <w:r>
        <w:rPr>
          <w:rFonts w:ascii="Arial" w:cs="Arial" w:eastAsia="Arial" w:hAnsi="Arial"/>
          <w:sz w:val="18"/>
          <w:szCs w:val="18"/>
          <w:color w:val="auto"/>
        </w:rPr>
        <w:t>Within our F&amp;G segment, access to funding and our related cost of borrowing, the attractiveness of certain of our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derivatives collateral 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5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As of the date of this Annual Report, A.M. Best Company ("A.M. Best"), Fitch Ratings ("Fitch"), Moody’s Investors Service ("Moody's") and S&amp;P Global Ratings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directed toward the protection of investors. Credit and financial strength ratings are not recommendations to buy, sell or hold securities and they may be revised or revoked at any time at the sole discretion of the rating organization.</w:t>
      </w:r>
    </w:p>
    <w:p>
      <w:pPr>
        <w:spacing w:after="0" w:line="3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rating organizations may take various actions, positive or negative. Such actions are beyond the Company's control and the Company cannot predict what these actions may be and the timing thereof.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 Best</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S&amp;P</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Fitch</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135"/>
        </w:trPr>
        <w:tc>
          <w:tcPr>
            <w:tcW w:w="20" w:type="dxa"/>
            <w:vAlign w:val="bottom"/>
          </w:tcPr>
          <w:p>
            <w:pPr>
              <w:spacing w:after="0"/>
              <w:rPr>
                <w:sz w:val="11"/>
                <w:szCs w:val="11"/>
                <w:color w:val="auto"/>
              </w:rPr>
            </w:pPr>
          </w:p>
        </w:tc>
        <w:tc>
          <w:tcPr>
            <w:tcW w:w="60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Holding Company Ratings</w:t>
            </w: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F&amp;G Annuities &amp; Life, Inc. (formerly known as FGL Holdings)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Issuer Credit / Default Rating</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Not Rated</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BBB</w:t>
            </w:r>
          </w:p>
        </w:tc>
        <w:tc>
          <w:tcPr>
            <w:tcW w:w="1200" w:type="dxa"/>
            <w:vAlign w:val="bottom"/>
          </w:tcPr>
          <w:p>
            <w:pPr>
              <w:jc w:val="center"/>
              <w:spacing w:after="0"/>
              <w:rPr>
                <w:sz w:val="20"/>
                <w:szCs w:val="20"/>
                <w:color w:val="auto"/>
              </w:rPr>
            </w:pPr>
            <w:r>
              <w:rPr>
                <w:rFonts w:ascii="Arial" w:cs="Arial" w:eastAsia="Arial" w:hAnsi="Arial"/>
                <w:sz w:val="14"/>
                <w:szCs w:val="14"/>
                <w:color w:val="auto"/>
                <w:w w:val="88"/>
              </w:rPr>
              <w:t>Ba2</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Stable</w:t>
            </w:r>
          </w:p>
        </w:tc>
      </w:tr>
      <w:tr>
        <w:trPr>
          <w:trHeight w:val="186"/>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CF Bermuda Holdings Limited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Issuer Credit / Default Rating</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Not Rated</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BBB-</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BBB</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Ba1</w:t>
            </w: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Outlook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Stable</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Fidelity &amp; Guaranty Life Holdings, Inc.</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Issuer Credit / Default Rating</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bbb-</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BBB</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Not Rated</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Senior Unsecured Notes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bbb-</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BBB</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Baa2</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Stable</w:t>
            </w:r>
          </w:p>
        </w:tc>
      </w:tr>
      <w:tr>
        <w:trPr>
          <w:trHeight w:val="148"/>
        </w:trPr>
        <w:tc>
          <w:tcPr>
            <w:tcW w:w="20" w:type="dxa"/>
            <w:vAlign w:val="bottom"/>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 Subsidiary Ratings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Fidelity &amp; Guaranty Life Insurance Company</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Financial Strength Rating</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Baa1</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Stable</w:t>
            </w:r>
          </w:p>
        </w:tc>
      </w:tr>
      <w:tr>
        <w:trPr>
          <w:trHeight w:val="186"/>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Fidelity &amp; Guaranty Life Insurance Company of New York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Financial Strength Rating</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A-</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Not Rated</w:t>
            </w: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Outlook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F&amp;G Life Re Ltd</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Financial Strength Rating</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Not Rated</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Baa1</w:t>
            </w: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Outlook</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Stable</w:t>
            </w:r>
          </w:p>
        </w:tc>
      </w:tr>
      <w:tr>
        <w:trPr>
          <w:trHeight w:val="186"/>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F&amp;G Cayman Re Ltd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0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Financial Strength Rating</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Not Rated</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Not Rated</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Not Rated</w:t>
            </w:r>
          </w:p>
        </w:tc>
      </w:tr>
      <w:tr>
        <w:trPr>
          <w:trHeight w:val="182"/>
        </w:trPr>
        <w:tc>
          <w:tcPr>
            <w:tcW w:w="20" w:type="dxa"/>
            <w:vAlign w:val="bottom"/>
          </w:tcPr>
          <w:p>
            <w:pPr>
              <w:spacing w:after="0"/>
              <w:rPr>
                <w:sz w:val="15"/>
                <w:szCs w:val="15"/>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Outlook</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1200" w:type="dxa"/>
            <w:vAlign w:val="bottom"/>
          </w:tcPr>
          <w:p>
            <w:pPr>
              <w:spacing w:after="0"/>
              <w:rPr>
                <w:sz w:val="15"/>
                <w:szCs w:val="15"/>
                <w:color w:val="auto"/>
              </w:rPr>
            </w:pPr>
          </w:p>
        </w:tc>
      </w:tr>
    </w:tbl>
    <w:p>
      <w:pPr>
        <w:spacing w:after="0" w:line="18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Potential Impact of a Ratings Downgrade. </w:t>
      </w:r>
      <w:r>
        <w:rPr>
          <w:rFonts w:ascii="Arial" w:cs="Arial" w:eastAsia="Arial" w:hAnsi="Arial"/>
          <w:sz w:val="18"/>
          <w:szCs w:val="18"/>
          <w:color w:val="auto"/>
        </w:rPr>
        <w:t>F&amp;G is required to maintain minimum ratings as a matter of routine practice as part of its over-the-counter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agreements on ISDA forms. Under some ISDA agreements, the Company has agreed to maintain certain financial strength ratings. Please refer to "Note F. Derivative Financial Instruments" to our audited Consolidated Financial Statements for disclosure around the Company's requirement to maintain minimum ratings.</w:t>
      </w:r>
    </w:p>
    <w:p>
      <w:pPr>
        <w:spacing w:after="0" w:line="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2020, we hold no net short positions against a counterparty; therefore, there is currently no potential exposure for us to post collateral.</w:t>
      </w:r>
    </w:p>
    <w:p>
      <w:pPr>
        <w:spacing w:after="0" w:line="5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downgrade of the financial strength rating of one of our principal insurance subsidiaries could affect our competitive position in the insurance industry and make it more difficult for us to market our products, as potential customers may select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companies with higher financial strength ratings. A downgrade of the financial strength rating could also impact the Company's borrowing costs.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Risk Management. </w:t>
      </w:r>
      <w:r>
        <w:rPr>
          <w:rFonts w:ascii="Arial" w:cs="Arial" w:eastAsia="Arial" w:hAnsi="Arial"/>
          <w:sz w:val="16"/>
          <w:szCs w:val="16"/>
          <w:color w:val="auto"/>
        </w:rPr>
        <w:t>Risk management is a critical part of our business. We seek to assess risk to our business through a formalized process involving</w:t>
      </w:r>
    </w:p>
    <w:p>
      <w:pPr>
        <w:spacing w:after="0" w:line="46" w:lineRule="exact"/>
        <w:rPr>
          <w:sz w:val="20"/>
          <w:szCs w:val="20"/>
          <w:color w:val="auto"/>
        </w:rPr>
      </w:pPr>
    </w:p>
    <w:p>
      <w:pPr>
        <w:jc w:val="both"/>
        <w:ind w:firstLine="8"/>
        <w:spacing w:after="0" w:line="281" w:lineRule="auto"/>
        <w:tabs>
          <w:tab w:leader="none" w:pos="2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identifying short-term and long-term 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w:t>
      </w:r>
    </w:p>
    <w:p>
      <w:pPr>
        <w:spacing w:after="0" w:line="1" w:lineRule="exact"/>
        <w:rPr>
          <w:rFonts w:ascii="Arial" w:cs="Arial" w:eastAsia="Arial" w:hAnsi="Arial"/>
          <w:sz w:val="16"/>
          <w:szCs w:val="16"/>
          <w:color w:val="auto"/>
        </w:rPr>
      </w:pPr>
    </w:p>
    <w:p>
      <w:pPr>
        <w:jc w:val="both"/>
        <w:ind w:firstLine="8"/>
        <w:spacing w:after="0" w:line="302" w:lineRule="auto"/>
        <w:tabs>
          <w:tab w:leader="none" w:pos="3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assigning risk limit quantification and mitigation responsibilities to individual team members within functional groups, (vii) analyzing the 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2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 of directors.</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Reinsurance. </w:t>
      </w:r>
      <w:r>
        <w:rPr>
          <w:rFonts w:ascii="Arial" w:cs="Arial" w:eastAsia="Arial" w:hAnsi="Arial"/>
          <w:sz w:val="18"/>
          <w:szCs w:val="18"/>
          <w:color w:val="auto"/>
        </w:rPr>
        <w:t>Within our F&amp;G business, we both cede reinsurance and assume reinsurance from other insurance companies. We use reinsurance to</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diversify risks and earnings, to manage loss exposures, to enhance our capital position, and to manage new business volume. The effects of certain reinsurance agreements are not accounted for as reinsurance as they do not transfer the risks of the reinsured policies.</w:t>
      </w:r>
    </w:p>
    <w:p>
      <w:pPr>
        <w:spacing w:after="0" w:line="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 In instances where we assume reinsurance from another insurance company, we accept, in exchange for a reinsurance premium, a portion of the liabilities of the other insurance company under the policies that the ceding company has issued to its policyholders.</w:t>
      </w:r>
    </w:p>
    <w:p>
      <w:pPr>
        <w:spacing w:after="0" w:line="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 risk via funds withheld arrangements.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“Item 7A. Quantitative and Qualitative Disclosures About Market Risk” for further discussion on credit risk and counterparty risk.</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“Item 1A. Risk Factors” for further discussion of credit risk related to reinsurance agreements. A description of significant ceded reinsurance transactions appears below.</w:t>
      </w:r>
    </w:p>
    <w:p>
      <w:pPr>
        <w:spacing w:after="0" w:line="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Wilton RE Transaction. </w:t>
      </w:r>
      <w:r>
        <w:rPr>
          <w:rFonts w:ascii="Arial" w:cs="Arial" w:eastAsia="Arial" w:hAnsi="Arial"/>
          <w:sz w:val="18"/>
          <w:szCs w:val="18"/>
          <w:color w:val="auto"/>
        </w:rPr>
        <w:t>Pursuant to the agreed upon terms, Wilton Re has reinsured a 100% quota share of certain FGL Insurance policies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redundant reserves, reported on a statutory basis, under Regulation XXX and Guideline AXXX, as well as another block of FGL Insurance’s in-force traditional, universal life and IUL insurance policies. The effects of this agreement are accounted for as reinsurance as it satisfies the risk transfer requirements for GAAP.</w:t>
      </w:r>
    </w:p>
    <w:p>
      <w:pPr>
        <w:spacing w:after="0" w:line="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i w:val="1"/>
          <w:iCs w:val="1"/>
          <w:color w:val="auto"/>
        </w:rPr>
        <w:t>Hannover Reinsurance Transaction</w:t>
      </w:r>
      <w:r>
        <w:rPr>
          <w:rFonts w:ascii="Arial" w:cs="Arial" w:eastAsia="Arial" w:hAnsi="Arial"/>
          <w:sz w:val="16"/>
          <w:szCs w:val="16"/>
          <w:color w:val="auto"/>
        </w:rPr>
        <w:t>. FGL Insurance has a reinsurance agreement with Hannover Life Reassurance Company of America (Bermuda)</w:t>
      </w:r>
      <w:r>
        <w:rPr>
          <w:rFonts w:ascii="Arial" w:cs="Arial" w:eastAsia="Arial" w:hAnsi="Arial"/>
          <w:sz w:val="16"/>
          <w:szCs w:val="16"/>
          <w:i w:val="1"/>
          <w:iCs w:val="1"/>
          <w:color w:val="auto"/>
        </w:rPr>
        <w:t xml:space="preserve"> </w:t>
      </w:r>
      <w:r>
        <w:rPr>
          <w:rFonts w:ascii="Arial" w:cs="Arial" w:eastAsia="Arial" w:hAnsi="Arial"/>
          <w:sz w:val="16"/>
          <w:szCs w:val="16"/>
          <w:color w:val="auto"/>
        </w:rPr>
        <w:t>Ltd. ("Hannover Re"), an unaffiliated reinsurer, to reinsure an in-force block of its FIA and fixed deferred annuity contracts with Guaranteed Minimum Withdraw Benefit (“GMWB”) and Guaranteed Minimum Death Benefit (“GMDB”) guarantees. In accordance with the terms of this agreement, the Company cedes 70% net retention of secondary guarantee payments in excess of account value for GMWB and GMDB guarantees. The effects of this agreement are not accounted for as reinsurance as it does not satisfy the risk transfer requirements for GAAP, and deposit accounting is applied.</w:t>
      </w:r>
    </w:p>
    <w:p>
      <w:pPr>
        <w:spacing w:after="0" w:line="2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Canada Life Transaction</w:t>
      </w:r>
      <w:r>
        <w:rPr>
          <w:rFonts w:ascii="Arial" w:cs="Arial" w:eastAsia="Arial" w:hAnsi="Arial"/>
          <w:sz w:val="17"/>
          <w:szCs w:val="17"/>
          <w:color w:val="auto"/>
        </w:rPr>
        <w:t>. Effective May 1, 2020, FGL Insurance entered into an indemnity reinsurance agreement with Canada Life Assurance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Kubera Reinsurance Transactions. </w:t>
      </w:r>
      <w:r>
        <w:rPr>
          <w:rFonts w:ascii="Arial" w:cs="Arial" w:eastAsia="Arial" w:hAnsi="Arial"/>
          <w:sz w:val="18"/>
          <w:szCs w:val="18"/>
          <w:color w:val="auto"/>
        </w:rPr>
        <w:t>FGL Insurance has a reinsurance agreement with Kubera Insurance (SAC) Ltd. ("Kubera"), an unaffiliated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reinsurer, to cede certain MYGA and deferred annuity statutory reserves on a coinsurance funds withheld basis, net of applicable existing reinsurance. As the policies ceded to Kubera are investment contracts, there is no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significant insurance risk present and therefore deposit accounting is applied. The application of deposit accounting for this agreement, however, results in accounting for and presentation similar to other reinsurance agreements that apply reinsurance accounting.</w:t>
      </w:r>
    </w:p>
    <w:p>
      <w:pPr>
        <w:spacing w:after="0" w:line="1" w:lineRule="exact"/>
        <w:rPr>
          <w:sz w:val="20"/>
          <w:szCs w:val="20"/>
          <w:color w:val="auto"/>
        </w:rPr>
      </w:pPr>
    </w:p>
    <w:p>
      <w:pPr>
        <w:ind w:right="180" w:firstLine="405"/>
        <w:spacing w:after="0" w:line="237" w:lineRule="auto"/>
        <w:rPr>
          <w:sz w:val="20"/>
          <w:szCs w:val="20"/>
          <w:color w:val="auto"/>
        </w:rPr>
      </w:pPr>
      <w:r>
        <w:rPr>
          <w:rFonts w:ascii="Arial" w:cs="Arial" w:eastAsia="Arial" w:hAnsi="Arial"/>
          <w:sz w:val="18"/>
          <w:szCs w:val="18"/>
          <w:color w:val="auto"/>
        </w:rPr>
        <w:t>FGL Insurance has a reinsurance agreement with Kubera to cede certain FIA statutory reserves on a coinsurance funds withheld basis, net of applicable existing reinsurance. In accordance with the terms of this agreement, FGL Insurance cedes an 80% and 90% quota share percentage of these annuity plans for issue years 2013 through 2014 and 2007 and prior, respectively. As the policies ceded to Kubera are investment contracts, there is no significant insurance risk present and therefore deposit accounting is applied. For financial statement presentation, we net the deposit asset with the funds withheld liability.</w:t>
      </w:r>
    </w:p>
    <w:p>
      <w:pPr>
        <w:spacing w:after="0" w:line="5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 xml:space="preserve">The CARVM Facility. </w:t>
      </w:r>
      <w:r>
        <w:rPr>
          <w:rFonts w:ascii="Arial" w:cs="Arial" w:eastAsia="Arial" w:hAnsi="Arial"/>
          <w:sz w:val="18"/>
          <w:szCs w:val="18"/>
          <w:color w:val="auto"/>
        </w:rPr>
        <w:t>Life insurance companies operating in the United States must calculate required reserves for life and annuity policies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principles. These methodologies are governed by “Regulation XXX” (applicable to term life insurance policies), “Guideline AXXX” (applicable to universal life insurance policies with secondary guarantees) and the Commissioners Annuity Reserve Valuation Method, known as “CARVM” (applicable to annuities). Under Regulation XXX, Guideline AXXX and CARVM, insurers are required to establish statutory reserves for such policies that exceed economic reserves. The industry has reduced or eliminated redundancies thereby increasing capital using a variety of techniques including reserve facilities.</w:t>
      </w:r>
    </w:p>
    <w:p>
      <w:pPr>
        <w:spacing w:after="0" w:line="5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FGL Insurance has a yearly renewable term indemnity reinsurance agreement with Raven Reinsurance Company ("Raven Re"), a wholly-owned subsidiary of FGL Insurance (the “Raven Reinsurance Agreement”), pursuant to which FGL Insurance ceded a 100% quota share of its CARVM liability for annuity benefits where surrender charges are waived. To collateralize its obligations under the Raven Reinsurance Agreement, Raven Re entered into a reimbursement agreement with Nomura Bank International plc (“NBI”), an affiliate of Nomura Securities International, Inc., and FGL (the “Reimbursement Agreement”) whereby a subsidiary of NBI issued trust notes and NBI issued a $295 million letter of credit that, in each case, were deposited into a reinsurance trust as collateral for Raven Re’s obligations under the Raven Reinsurance Agreement (the “NBI Facility”). Pursuant to the NBI Facility, FGL Insurance takes full credit on its statutory financial statements for the CARVM reserve ceded to Raven Re. The letter of credit facility was amended to reduce the available amount to $85 and extend the termination date to October 1, 2022, although the facility may terminate earlier, in accordance with the terms of the Reimbursement Agreement. Under the terms of the reimbursement agreement, in the event the letter of credit is drawn upon, Raven Re is required to repay the amounts utilized, and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2020 Raven Re’s statutory capital and surplus was $29 in excess of the minimum level required under the Reimbursement Agreement.</w:t>
      </w:r>
    </w:p>
    <w:p>
      <w:pPr>
        <w:spacing w:after="0" w:line="5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F&amp;G Life Re and F&amp;G Cayman Re transactions. </w:t>
      </w:r>
      <w:r>
        <w:rPr>
          <w:rFonts w:ascii="Arial" w:cs="Arial" w:eastAsia="Arial" w:hAnsi="Arial"/>
          <w:sz w:val="16"/>
          <w:szCs w:val="16"/>
          <w:color w:val="auto"/>
        </w:rPr>
        <w:t>Effective December 31, 2020, FGL Insurance executed a Coinsurance Agreement with F&amp;G Life</w:t>
      </w:r>
      <w:r>
        <w:rPr>
          <w:rFonts w:ascii="Arial" w:cs="Arial" w:eastAsia="Arial" w:hAnsi="Arial"/>
          <w:sz w:val="16"/>
          <w:szCs w:val="16"/>
          <w:i w:val="1"/>
          <w:iCs w:val="1"/>
          <w:color w:val="auto"/>
        </w:rPr>
        <w:t xml:space="preserve"> </w:t>
      </w:r>
      <w:r>
        <w:rPr>
          <w:rFonts w:ascii="Arial" w:cs="Arial" w:eastAsia="Arial" w:hAnsi="Arial"/>
          <w:sz w:val="16"/>
          <w:szCs w:val="16"/>
          <w:color w:val="auto"/>
        </w:rPr>
        <w:t>Re Ltd. ("Reinsurer"), an affiliated Bermuda reinsurer, to reinsure a quota share of FIA policies to F&amp;G Life Re Ltd. Concurrently, the Reinsurer and F&amp;G Cayman Re Ltd., an affiliated reinsurer of both FGL Insurance and F&amp;G Life Re Ltd., entered into a Retrocession Agreement. The cession from FGL Insurance to the Reinsurer is on a 100% quota share basis, net of applicable existing reinsurance and the retrocession to F&amp;G Cayman Re Ltd. from the Reinsurer is on a 45% quota share basis. Additionally, both treaties are maintained on a funds withheld basis. FGL Insurance ceded and F&amp;G Life Re Ltd retroceded approximately $5 billion and $2.2 billion, respectively, in certain FIA Statutory Reserves and Interest Maintenance Reserve.</w:t>
      </w:r>
    </w:p>
    <w:p>
      <w:pPr>
        <w:spacing w:after="0" w:line="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intercompany balances have been eliminated in the preparation of the accompanying consolidated financial statements. However, these agreements have a material impact on the regulatory capital position of FGL Insurance and the effective tax rate of F&amp;G. See “Note P. Reinsurance” to the accompanying consolidated financial statements.</w:t>
      </w:r>
    </w:p>
    <w:p>
      <w:pPr>
        <w:spacing w:after="0" w:line="4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Regulation. </w:t>
      </w:r>
      <w:r>
        <w:rPr>
          <w:rFonts w:ascii="Arial" w:cs="Arial" w:eastAsia="Arial" w:hAnsi="Arial"/>
          <w:sz w:val="17"/>
          <w:szCs w:val="17"/>
          <w:color w:val="auto"/>
        </w:rPr>
        <w:t>FGL Insurance, Fidelity &amp; Guaranty Life Insurance Company of New York (“FGL NY Insurance”) and Raven Re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regulation and supervision in their domiciles, Iowa, New York and Vermont, respectively, and in each state in which they do business. FGL Insurance does business throughout the United States, except for New York. FGL NY Insurance only does business in New York. Raven Re is a special purpose captive reinsurance company that only provides reinsurance to FGL Insurance under the CARVM Treaty. FGL Insurance’s principal insurance regulatory authority is the Iowa Insurance Division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policyholders and beneficiaries and not general creditors and shareholders of those insurers. Many of the laws and regulations to which FGL Insurance and FGL NY Insurance are subject are regularly re-examined and existing or future laws and regulations may become more restrictive or otherwise adversely affect their operations.</w:t>
      </w:r>
    </w:p>
    <w:p>
      <w:pPr>
        <w:spacing w:after="0" w:line="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Generally, insurance products underwritten by and rates used by FGL Insurance and FGL NY Insurance must be approved by the insurance regulators in each state in which they are sold. Those products are also substantially affected by federal and state tax laws. For example, changes in tax law could reduce or eliminate the tax-deferred accumulation of earnings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deposits paid by the holders of annuities and life insurance products, which could make such products less attractive to potential purchasers. A shift away from life insurance and annuity products could reduce FGL Insurance’s and FGL NY Insurance’s income from the sale of such products, as well as the assets upon which FGL Insurance and FGL NY Insurance earn investment income. In addition, insurance products may also be subject to the Employee Retirement Income Security Act of 1974 ("ERISA").</w:t>
      </w:r>
    </w:p>
    <w:p>
      <w:pPr>
        <w:spacing w:after="0" w:line="5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State insurance authorities have broad administrative powers over FGL Insurance and FGL NY Insurance with respect to all aspects of the insurance business including:</w:t>
      </w:r>
    </w:p>
    <w:p>
      <w:pPr>
        <w:spacing w:after="0" w:line="35" w:lineRule="exact"/>
        <w:rPr>
          <w:sz w:val="20"/>
          <w:szCs w:val="20"/>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licensing to transact business;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licensing agents;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prescribing which assets and liabilities are to be considered in determining statutory surplus;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regulating premium rates for certain insurance products;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policy forms and certain related materials;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whether a reasonable basis exists as to the suitability of the annuity purchase recommendations producers make;</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regulating unfair trade and claims practices;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reserve requirements and solvency standards;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regulating the amount of dividends that may be paid in any year;</w:t>
      </w:r>
    </w:p>
    <w:p>
      <w:pPr>
        <w:spacing w:after="0" w:line="90" w:lineRule="exact"/>
        <w:rPr>
          <w:rFonts w:ascii="Arial" w:cs="Arial" w:eastAsia="Arial" w:hAnsi="Arial"/>
          <w:sz w:val="18"/>
          <w:szCs w:val="18"/>
          <w:color w:val="auto"/>
        </w:rPr>
      </w:pPr>
    </w:p>
    <w:p>
      <w:pPr>
        <w:ind w:left="660" w:right="20" w:hanging="207"/>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35"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fixing maximum interest rates on life insurance policy loans and minimum accumulation or surrender values; and</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regulating the type, amounts, and valuations of investments permitted, transactions with affiliates, and other matters.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State insurance laws and regulations require FGL Insurance, FGL NY Insurance and Raven Re to file reports, including financial statements, with state insurance departments in each state in which they do business, and their operations and accounts are subject to examination by those departments at any time. FGL Insurance, FGL NY Insurance and Raven Re prepare statutory financial statements in accordance with accounting practices and procedures prescribed or permitted by these departments.</w:t>
      </w:r>
    </w:p>
    <w:p>
      <w:pPr>
        <w:spacing w:after="0" w:line="5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National Association of Insurance Commissioners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or FGL NY Insurance’s detriment, or changes to the overall legal or market environment, even absent any change of interpretation by a particular regulator, may cause FGL Insurance and FGL NY Insurance to change their views regarding the actions they need to take from a legal risk management perspective, which could necessitate changes to FGL Insurance’s or FGL NY Insurance’s practices that may, in some cases, limit their ability to grow and improve profitability.</w:t>
      </w:r>
    </w:p>
    <w:p>
      <w:pPr>
        <w:spacing w:after="0" w:line="4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IID completed a routine examination of FGL Insurance for the five year period ending 2017, and found no material deficiencies and proposed no adjustments to the financial statements as filed. The NYDFS completed a routine financial examination of FGL NY Insurance for the five year period ended December 31, 2017, and found no material deficiencies and proposed no adjustments to the financial statements as filed. The Vermont Department of Financial Regulation has completed a routine financial examination of Raven Re for the five year period ending December 31, 2017, and found no material deficiencies and proposed no adjustments to the financial statements as filed.</w:t>
      </w:r>
    </w:p>
    <w:p>
      <w:pPr>
        <w:spacing w:after="0" w:line="5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Iowa insurance law and the New York insurance law regulate the amount of dividends that may be paid in any year by FGL Insurance and FGL NY Insurance, respectively. Pursuant to an order issued by the Iowa Commissioner on November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28, 2017, FGL Insurance shall not pay any dividend prior to November 28, 2020 without the prior approval of the Iowa Commissioner.</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Each year, FGL NY Insurance may pay a certain limited amount of ordinary dividends or other distributions without being required to obtain the prior consent of or the NYDFS. However, to pay any dividends or distributions (including the payment of any dividends or distributions for which prior consent is not required), FGL NY Insurance must provide advance written notice to the NYDFS.</w:t>
      </w:r>
    </w:p>
    <w:p>
      <w:pPr>
        <w:spacing w:after="0" w:line="49"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Pursuant to Iowa insurance law, ordinary dividends are payments, together with all other such payments within the preceding twelve months, that do not exceed the greater of (i) 10% of FGL Insurance’s statutory surplus as regards policyholders as of December 31 of the preceding year; or (ii) the net gain from operations of FGL Insurance (excluding realized capital gains) for the 12-month period ending December 31 of the preceding year.</w:t>
      </w:r>
    </w:p>
    <w:p>
      <w:pPr>
        <w:spacing w:after="0" w:line="1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Dividends in excess of FGL Insurance’s ordinary dividend capacity are referred to as extraordinary and require prior approval of the Iowa Commissioner. In deciding whether to approve a request to pay an extraordinary dividend, Iowa insurance law requires the Iowa Commissioner to consider the effect of the dividend payment on FGL Insurance’s surplus and financial condition generally and whether the payment of the dividend will cause FGL Insurance to fail to meet its required RBC ratio. Dividends may only be paid out of statutory earned surplus.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FGL Insurance paid ordinary dividends to F&amp;G of $151.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F&amp;G's insurance subsidiaries will have the dividend capacity as set forth in this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189"/>
        </w:trPr>
        <w:tc>
          <w:tcPr>
            <w:tcW w:w="10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16"/>
                <w:szCs w:val="16"/>
                <w:color w:val="auto"/>
              </w:rPr>
            </w:pPr>
          </w:p>
        </w:tc>
      </w:tr>
      <w:tr>
        <w:trPr>
          <w:trHeight w:val="229"/>
        </w:trPr>
        <w:tc>
          <w:tcPr>
            <w:tcW w:w="10060" w:type="dxa"/>
            <w:vAlign w:val="bottom"/>
          </w:tcPr>
          <w:p>
            <w:pPr>
              <w:ind w:left="20"/>
              <w:spacing w:after="0"/>
              <w:rPr>
                <w:sz w:val="20"/>
                <w:szCs w:val="20"/>
                <w:color w:val="auto"/>
              </w:rPr>
            </w:pPr>
            <w:r>
              <w:rPr>
                <w:rFonts w:ascii="Arial" w:cs="Arial" w:eastAsia="Arial" w:hAnsi="Arial"/>
                <w:sz w:val="18"/>
                <w:szCs w:val="18"/>
                <w:color w:val="auto"/>
              </w:rPr>
              <w:t>FGL Insurance ordinary dividend capacity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F&amp;G Life Re dividend capacity</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r>
      <w:tr>
        <w:trPr>
          <w:trHeight w:val="230"/>
        </w:trPr>
        <w:tc>
          <w:tcPr>
            <w:tcW w:w="10060" w:type="dxa"/>
            <w:vAlign w:val="bottom"/>
          </w:tcPr>
          <w:p>
            <w:pPr>
              <w:ind w:left="20"/>
              <w:spacing w:after="0"/>
              <w:rPr>
                <w:sz w:val="20"/>
                <w:szCs w:val="20"/>
                <w:color w:val="auto"/>
              </w:rPr>
            </w:pPr>
            <w:r>
              <w:rPr>
                <w:rFonts w:ascii="Arial" w:cs="Arial" w:eastAsia="Arial" w:hAnsi="Arial"/>
                <w:sz w:val="18"/>
                <w:szCs w:val="18"/>
                <w:color w:val="auto"/>
              </w:rPr>
              <w:t>FSRC dividend capacity</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9"/>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F&amp;G Cayman Re dividend capacity</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Business-A financial strength ratings downgrade, potential downgrade, or any other negative action by a rating agency could make our products less attractive and increase our cost of capital, and thereby adversely affect our financial condition and results of operations” in Item 1A. Risk Factors.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FGL NY Insurance has historically not paid dividends.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FGL Insurance and FGL NY Insurance are subject to the supervision of the regulators in states where they are licensed to transact business. Regulators have discretionary authority in connection with the continuing licensing of these entities to limit or prohibit sales to policyholders if, in their judgment, the regulators determine that such entities have not maintained the minimum surplus or capital or that the further transaction of business will be hazardous to policyholders.</w:t>
      </w:r>
    </w:p>
    <w:p>
      <w:pPr>
        <w:spacing w:after="0" w:line="5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w:t>
      </w:r>
    </w:p>
    <w:p>
      <w:pPr>
        <w:spacing w:after="0" w:line="2" w:lineRule="exact"/>
        <w:rPr>
          <w:sz w:val="20"/>
          <w:szCs w:val="20"/>
          <w:color w:val="auto"/>
        </w:rPr>
      </w:pPr>
    </w:p>
    <w:p>
      <w:pPr>
        <w:jc w:val="both"/>
        <w:ind w:firstLine="8"/>
        <w:spacing w:after="0" w:line="252"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It is desirable to maintain an RBC ratio in excess of the minimum requirements in order to maintain or improve our financial strength ratings. We ended the year with an estimated RBC ratio of over 400% for FGL Insurance. See section titled “Risks Relating to Our Business-A financial strength ratings downgrade, potential downgrade, or any other negative action by a rating agency, could make our product offerings less attractive and increase our cost of capital, and thereby adversely affect our financial condition and results of operations” in Item 1A. Risk Factors.</w:t>
      </w:r>
    </w:p>
    <w:p>
      <w:pPr>
        <w:spacing w:after="0" w:line="3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 As of December 31, 2020, FGL Insurance, FGL NY Insurance and Raven Re had two, zero and two ratios outside the usual range, respectively. The IRIS ratios for total affiliated investments to capital and surplus and change in premium for FGL Insurance were outside the usual range. The IRIS ratio for change in premium and adequacy of investment income for Raven Re were outside the usual range.</w:t>
      </w:r>
    </w:p>
    <w:p>
      <w:pPr>
        <w:spacing w:after="0" w:line="3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all instances in prior years, regulators have been satisfied upon follow-up that no regulatory action was required. FGL Insurance, FGL NY Insurance and Raven Re are not currently subject to regulatory restrictions based on these ratios.</w:t>
      </w:r>
    </w:p>
    <w:p>
      <w:pPr>
        <w:spacing w:after="0" w:line="3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State insurance laws require insurers to analyze the adequacy of reserves. The respective appointed actuaries for FGL Insurance, FGL NY Insurance and Raven Re must each submit an opinion on an annual basis that their respective reserves, when considered in light of the respective assets FGL Insurance, FGL NY Insurance and Raven Re hold with respect to those reserves, make adequate provision for the contractual obligations and related expenses of FGL Insurance, FGL NY Insurance and Raven Re. FGL Insurance, FGL NY Insurance and Raven Re have filed all of the required opinions with the insurance departments in the states in which they do business.</w:t>
      </w:r>
    </w:p>
    <w:p>
      <w:pPr>
        <w:spacing w:after="0" w:line="53"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 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 In addition, on January 1, 2014, the NAIC Model Credit for Reinsurance Act became effective in Iowa, which adds the concept of “certified reinsurer”, whereby a ceding insurer may take financial statement credit for reinsurance provided by an unaccredited and unlicensed reinsurer, which has been certified by the Iowa Commissioner. The Iowa Commissioner certifies reinsurers based on several factors, including their financial strength ratings, and imposes collateral requirements based on such factors. Effective January 1, 2020 reciprocal jurisdiction was added and adopted in Iowa. FGL Insurance and FGL NY Insurance are subject to such credit for reinsurance rules in Iowa and New York, respectively, insofar as they enter into any reinsurance contracts with reinsurers that are neither licensed nor accredited in Iowa and New York, respectively.</w:t>
      </w:r>
    </w:p>
    <w:p>
      <w:pPr>
        <w:spacing w:after="0" w:line="4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F&amp;G, as the parent company of FGL Insurance and the indirect parent company of FGL NY Insurance, we and entities affiliated for purposes of insurance regulation are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Annuities &amp; Life, FGL US Holdings, CF Bermuda, FGLH, FGL Insurance or FGL NY Insurance unless that person 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Accordingly, any person who acquires 10% or more of our voting securities or that of F&amp;G Annuities &amp; Life, FGL US Holdings, CF Bermuda, FGLH, FGL Insurance or FGL NY Insurance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5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2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four ongoing market conduct examinations in various states. Market conduct examinations can result in monetary fines or remediation and generally require FGL Insurance to devote significant resources to the management of such examinations. FGL Insurance does not believe that any of the current market conduct examinations it is subject to will result in any fines or remediation orders that will be material to its business.</w:t>
      </w:r>
    </w:p>
    <w:p>
      <w:pPr>
        <w:spacing w:after="0" w:line="5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FGL Insurance, FGL NY Insurance, and Raven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and Raven Re as of December 31, 2020 complied in all material respects with such regulations.</w:t>
      </w:r>
    </w:p>
    <w:p>
      <w:pPr>
        <w:spacing w:after="0" w:line="43"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F&amp;G Life Re is a Bermuda exempted companies incorporated under the Companies Act 1981, as amended (the “Companies Act”) and registered as Class C insurers under the Insurance Act 1978, as amended, and its related regulations (the “Insurance Act”). F&amp;G Life Re is regulated by the BMA.</w:t>
      </w:r>
    </w:p>
    <w:p>
      <w:pPr>
        <w:spacing w:after="0" w:line="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Insurance Act provides that no person may carry on an insurance business in or from within Bermuda unless registered as an insurer under the Insurance Act by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the insurer complying with the terms of its registration and such other conditions as the BMA may impose at any time. The Insurance Act also grants to the BMA powers to supervise, investigate and intervene in the affairs of insurance companies. Bermuda has been awarded full equivalence for commercial insurers under Europe’s Solvency II regime applicable to insurance companies, which regime came into effect on January 1, 2016. In addition, the Insurance Act required BMA approval of increases in control or dispositions of control of an insurance company.</w:t>
      </w:r>
    </w:p>
    <w:p>
      <w:pPr>
        <w:spacing w:after="0" w:line="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insurers are required to implement corporate governance policies and processes as the BMA considers appropriate given the nature, size, complexity and risk profile of the insurer and all insurers, on an annual basis, are required to deliver a declaration to the BMA confirming whether or not they meet the minimum criteria for registration under the Insurance Act.</w:t>
      </w:r>
    </w:p>
    <w:p>
      <w:pPr>
        <w:spacing w:after="0" w:line="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insurers are required to comply with the Bermuda Insurance Code of Conduct (the “Bermuda Insurance Code”), which is a codification of best practices for insurers provided by the BMA, and to submit annually to the BMA with its statutory financial return a declaration of compliance confirming it complies with the Bermuda Insurance Code of Conduct.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Insurance Act imposes on Bermuda insurance companies solvency and liquidity standards, as well as auditing and reporting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significant aspects of the Bermuda insurance regulatory framework are set forth below.</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u w:val="single" w:color="auto"/>
          <w:color w:val="auto"/>
        </w:rPr>
        <w:t>Minimum Solvency Margin</w:t>
      </w:r>
      <w:r>
        <w:rPr>
          <w:rFonts w:ascii="Arial" w:cs="Arial" w:eastAsia="Arial" w:hAnsi="Arial"/>
          <w:sz w:val="18"/>
          <w:szCs w:val="18"/>
          <w:color w:val="auto"/>
        </w:rPr>
        <w:t>. The Insurance Act provides that the value of the assets of an insurer must exceed the value of its liabilities by an amount greater than its prescribed minimum solvency margin.</w:t>
      </w:r>
    </w:p>
    <w:p>
      <w:pPr>
        <w:spacing w:after="0" w:line="35" w:lineRule="exact"/>
        <w:rPr>
          <w:sz w:val="20"/>
          <w:szCs w:val="20"/>
          <w:color w:val="auto"/>
        </w:rPr>
      </w:pPr>
    </w:p>
    <w:p>
      <w:pPr>
        <w:jc w:val="both"/>
        <w:ind w:right="20" w:firstLine="405"/>
        <w:spacing w:after="0" w:line="334" w:lineRule="auto"/>
        <w:rPr>
          <w:sz w:val="20"/>
          <w:szCs w:val="20"/>
          <w:color w:val="auto"/>
        </w:rPr>
      </w:pPr>
      <w:r>
        <w:rPr>
          <w:rFonts w:ascii="Arial" w:cs="Arial" w:eastAsia="Arial" w:hAnsi="Arial"/>
          <w:sz w:val="16"/>
          <w:szCs w:val="16"/>
          <w:color w:val="auto"/>
        </w:rPr>
        <w:t>The minimum solvency margin that must be maintained by a Class C insurer is the greater of: (i) $500,000; (ii) 1.5% of assets; and (iii) 25% of that insurer’s enhanced capital requirement (“ECR”). An insurer may file an application under the Insurance Act to waive the aforementioned requirements.</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u w:val="single" w:color="auto"/>
          <w:color w:val="auto"/>
        </w:rPr>
        <w:t>ECR and Bermuda Solvency Capital Requirements (“BSCR”)</w:t>
      </w:r>
      <w:r>
        <w:rPr>
          <w:rFonts w:ascii="Arial" w:cs="Arial" w:eastAsia="Arial" w:hAnsi="Arial"/>
          <w:sz w:val="18"/>
          <w:szCs w:val="18"/>
          <w:color w:val="auto"/>
        </w:rPr>
        <w:t>. Class C insurers are required to maintain available capital and surplus at a level equal to or in excess of the applicable ECR, which is established by reference to either the applicable BSCR model or an approved internal capital model. Furthermore, to enable the BMA to better assess the quality of the insurer’s capital resources, a Class C insurer is required to disclose the makeup of its capital in accordance with its 3-tiered capital system. An insurer may file an application under the Insurance Act to have the aforementioned ECR requirements waived.</w:t>
      </w:r>
    </w:p>
    <w:p>
      <w:pPr>
        <w:spacing w:after="0" w:line="5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u w:val="single" w:color="auto"/>
          <w:color w:val="auto"/>
        </w:rPr>
        <w:t>Restrictions on Dividends and Distributions</w:t>
      </w:r>
      <w:r>
        <w:rPr>
          <w:rFonts w:ascii="Arial" w:cs="Arial" w:eastAsia="Arial" w:hAnsi="Arial"/>
          <w:sz w:val="17"/>
          <w:szCs w:val="17"/>
          <w:color w:val="auto"/>
        </w:rPr>
        <w:t>. In addition to the requirements under the Companies Act (as discussed below), the Insurance Act limits the maximum amount of annual dividends and distributions that may be paid or distributed by F&amp;G Life Re without prior regulatory approval.</w:t>
      </w:r>
    </w:p>
    <w:p>
      <w:pPr>
        <w:spacing w:after="0" w:line="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as a Class C insurer, F&amp;G Life Re must: (i) not make any payment from its long-term business fund for any purpose other than a purpose of the insurer’s long-term business, except in so far as such payment can be made out of any surplus certified by the insurer’s approved actuary to be available for distribution otherwise than to policyholders; and (ii) not declare or pay a dividend to any person other than a policyholder unless the value of the assets of its long-term business fund, as certified by the insurer’s approved actuary, exceeds the extent (as to certified) of the liabilities of the insurer’s long-term business. In the event a dividend complies with the above, F&amp;G Life Re must ensure the amount of any such dividend does not exceed the aggregate of (i) that excess and (ii) any other funds properly available for the payment of dividend, being funds arising out of business of the insurer other than long-term business.</w:t>
      </w:r>
    </w:p>
    <w:p>
      <w:pPr>
        <w:spacing w:after="0" w:line="6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Furthermore, as a Class C insurer, F&amp;G Life Re must not declare or pay a dividend to any person other than a policyholder unless the value of the assets of the insurer, as certified by its approved actuary, exceeds its liabilities (as so certified) by the greater of its margin of solvency or its ECR and the amount of any such dividend shall not exceed that excess.</w:t>
      </w:r>
    </w:p>
    <w:p>
      <w:pPr>
        <w:spacing w:after="0" w:line="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u w:val="single" w:color="auto"/>
          <w:color w:val="auto"/>
        </w:rPr>
        <w:t>Reduction of Capital</w:t>
      </w:r>
      <w:r>
        <w:rPr>
          <w:rFonts w:ascii="Arial" w:cs="Arial" w:eastAsia="Arial" w:hAnsi="Arial"/>
          <w:sz w:val="18"/>
          <w:szCs w:val="18"/>
          <w:color w:val="auto"/>
        </w:rPr>
        <w:t>. F&amp;G Life Re may not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w:t>
      </w:r>
    </w:p>
    <w:p>
      <w:pPr>
        <w:spacing w:after="0" w:line="3"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8"/>
          <w:szCs w:val="18"/>
          <w:color w:val="auto"/>
        </w:rPr>
        <w:t>F&amp;G Cayman Re is licensed as a class D insurer in the Cayman Islands by the Cayman Islands Monetary Authority (“CIMA”). As a regulated 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2"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The laws and regulations of the Cayman Islands require that, among other things, F&amp;G Cayman Re maintain minimum levels of statutory capital, surplus and liquidity, meet solvency standards, submit to periodic examinations of its financial condition and restrict payments of dividends and reductions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subject it to further examination or corrective action by CIMA, including restrictions on dividend payments, limitations on our writing of additional business or engaging in finance activities, supervision or liquidation.</w:t>
      </w:r>
    </w:p>
    <w:p>
      <w:pPr>
        <w:spacing w:after="0" w:line="3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5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In recent years, the U.S. Securities and Exchange Commission (“SEC”) and state securities regulators have questioned whether FIAs, such as those sold by us, should be treated as securities under the federal and state securities laws rather than as insurance products exempted from such laws. Treatment of these products as securities would require additional registration and licensing of these products and the agents selling them, as well as cause us to seek additional marketing relationships for these products, any of which may impose significant restrictions on our ability to conduct operations as currently operated. Under the Dodd-Frank Act, annuities that meet specific requirements, including requirements relating to certain state suitability rules, are specifically exempted from being treated as securities by the SEC. We expect the types of FIAs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FIAs.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Dodd-Frank Act made sweeping changes to the regulation of financial services entities, products and markets. Certain provisions of the Dodd-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Frank Act are or may become applicable to us, our competitors or those entities with which we do business, including, but not limited to:</w:t>
      </w:r>
    </w:p>
    <w:p>
      <w:pPr>
        <w:spacing w:after="0" w:line="76" w:lineRule="exact"/>
        <w:rPr>
          <w:sz w:val="20"/>
          <w:szCs w:val="20"/>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establishment of federal regulatory authority over derivatives;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establishment of consolidated federal regulation and resolution authority over systemically important financial services firms;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establishment of the Federal Insurance Office;</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regulation of broker dealers and investment advisors;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regulation of reinsurance;</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regulations affecting the rights of shareholders;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regulation over credit rating agencies;</w:t>
      </w:r>
    </w:p>
    <w:p>
      <w:pPr>
        <w:spacing w:after="0" w:line="90" w:lineRule="exact"/>
        <w:rPr>
          <w:rFonts w:ascii="Arial" w:cs="Arial" w:eastAsia="Arial" w:hAnsi="Arial"/>
          <w:sz w:val="18"/>
          <w:szCs w:val="18"/>
          <w:color w:val="auto"/>
        </w:rPr>
      </w:pPr>
    </w:p>
    <w:p>
      <w:pPr>
        <w:ind w:left="660" w:hanging="207"/>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concentration limits on financial institutions that restrict the amount of credit that may be extended to a single person or entity; and</w:t>
      </w:r>
    </w:p>
    <w:p>
      <w:pPr>
        <w:spacing w:after="0" w:line="35" w:lineRule="exact"/>
        <w:rPr>
          <w:rFonts w:ascii="Arial" w:cs="Arial" w:eastAsia="Arial" w:hAnsi="Arial"/>
          <w:sz w:val="18"/>
          <w:szCs w:val="18"/>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clearing of derivative contracts.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Numerous provisions of the Dodd-Frank Act require the adoption of implementing rules or regulations, some of which have been implemented. In addition, the Dodd-Frank Act mandates multiple studies, which could result in additional legislation or regulation applicable to the insurance industry, us, our competitors or those entities with which we do business. Legislative or regulatory requirements imposed by or promulgated in connection with the Dodd-Frank Act may impact us in many ways, including, but not limited to:</w:t>
      </w:r>
    </w:p>
    <w:p>
      <w:pPr>
        <w:spacing w:after="0" w:line="52" w:lineRule="exact"/>
        <w:rPr>
          <w:sz w:val="20"/>
          <w:szCs w:val="20"/>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competitive disadvantage relative to our competition or other financial services entities;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the competitive landscape of the financial services sector or the insurance industry;</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expensive for us to conduct our business;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the reallocation of significant company resources to government affairs;</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legal and compliance related activities and the costs associated therewith; or</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otherwise having a material adverse effect on the overall business climate as well as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Until various studies are completed and final regulations are promulgated pursuant to the Dodd-Frank Act, the full impact of the Dodd-Frank Act on investments, investment activities and insurance and annuity products of FGL Insurance and FGL NY Insurance remains unclear.</w:t>
      </w:r>
    </w:p>
    <w:p>
      <w:pPr>
        <w:spacing w:after="0" w:line="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offer certain insurance and annuity products to employee benefit plans governed by ERISA and/or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amended model regulation also requires agents to provide certain disclosures to consumers, obligates insurers to supervise agent compliance with the new best interest requirements, and prohibits sales contests or other incentives based on sales of specific annuities within a limited period of time.</w:t>
      </w:r>
    </w:p>
    <w:p>
      <w:pPr>
        <w:spacing w:after="0" w:line="2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At this time seven states have adopted the revised NAIC model regulation, including FGL Insurance’s domiciliary state of Iowa, and at least another nine states are considering adoption of the revised NAIC model regulation. Management has instituted new business procedures to comply with these revised requirements where required. FGL NY Insurance separately instituted new business procedures in response to the New York Department of Financial Services (NYDFS) best interest rule adopted in August 2019 which deviates from the NAIC model regulation and is considered more onerous in certain respects including its broader application to life insurance sales. Management is monitoring a legal challenge to nullify the NYDFS rule.</w:t>
      </w:r>
    </w:p>
    <w:p>
      <w:pPr>
        <w:spacing w:after="0" w:line="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18, 2020 the U. S. Department of Labor (DOL) issued its final version of an investment advice rule replacing the previous “Fiduciary Rule” that had been challenged by industry and vacated in March 2018 by the United States Fifth Circuit Court of Appeals. The rule became effective on February 16, 2021 and could materially affect IRA sales. The final rule reinstates the five-part test for determining whether a person is considered a fiduciary for purposes of ERISA and the Internal Revenue Code and sets forth a new prohibited transaction class exemption. The preamble to the final rule also contains the DOL’s reinterpretation of elements of the five-part test that may expand the scope of the test to reach more insurance agents selling IRA products and withdraws the agency’s longstanding position that rollover recommendations out of employer plans are not subject to ERISA. At this time management is considering the impact of the rule on its products and agents. Further guidance is expected to be forthcoming from industry trade groups and DOL.</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these emerging developments relating to market conduct standards for the financial services industry may over time materially affect the way in which our agents do business, the role of IMOs, how the company supervises its distribution force, compensation practices, and liability exposure and costs. Management is monitoring these developments closely and will be working with IMOs and distributors to adapt to these evolving regulatory requirements and risks.</w:t>
      </w:r>
    </w:p>
    <w:p>
      <w:pPr>
        <w:spacing w:after="0" w:line="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New and recently passed legislation may also impact the industry in which we compete. For example, the Setting Every Community Up for Retirement Enhancement Act of 2019, Pub.L. 116-94 (the “SECURE Act”), which took effect January 1, 2020, creates an opportunity for us and our competitors to pursue sales to employer retirement plan sponsors as well as our traditional customers. In addition, we and our competitors may implement operational changes to adapt to the effect of the new legislation. See section titled “The Setting Every Community Up for Retirement Enhancement Act of 2019, may impact our business and the markets in which we compete” in Item 1A. Risk Factors.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recognize our duty to conduct our business in an environmentally responsible manner. From eliminating the use of water bottles in favor of filtered water dispensers to participating in recycling programs, all of our locations are helping make a difference in the fight to save our environment.</w:t>
      </w:r>
    </w:p>
    <w:p>
      <w:pPr>
        <w:spacing w:after="0" w:line="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sustainability efforts include records management and the use and disposal of IT equipment. We partner with vendors that have a commitment to sustainability. Our Record Management Centers are undergoing a complete digitization effort to consolidate records facilities and reduce paper. Once paper records are securely destroyed in accordance with federal, state and industry regulations, our vendor disposes of the waste in an environmentally friendly manner. Information technology asset disposal (computers, monitors, servers, mobile devices, etc.) is managed by an e-Steward certified vendor and process. After safely removing any data from the IT asset, it is either reused to maximize its lifecycle or securely recycled. Our vendor safely manages the waste stream of the thousands of pounds of electronics we retire each year.</w:t>
      </w:r>
    </w:p>
    <w:p>
      <w:pPr>
        <w:spacing w:after="0" w:line="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commitment does not stop at our organization alone. Our Digital Strategy Initiative is another way we are making a commitment to moving the title insurance industry as a whole in a more sustainable direction. This initiative seeks to drastically reduce the amount of paper used in the closing process by using customer-focused technology at every point possible in the real estate transaction.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2021, we had 27,058 full-time equivalent employees, which includes 25,586 in our Title segment, 447 in our F&amp;G segment and 1,025 in our Corporate and other segment. In our Title segment, we monitor our staffing levels based on current economic activity. In our F&amp;G segment, our employee base increased approximately 26% during 2020 as our F&amp;G business continues to grow. None of our employees are subject to collective bargaining agreements. We believe that our relations with employees are generally good.</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stand committed to our philosophy that all employees deserve an inclusive workplace, one where each employee feels heard and empowered. All employees – regardless of race, ethnicity, sexual orientation or gender identification – are given equal access to opportunities throughout the organization. We believe that having a variety of employee ideas, perspectives, and experiences are key components of our success. The diversity of our employees allows us to connect to our clientele in important ways and offer them meaningful, customized products and services that resonate with their unique needs. We have a written nondiscrimination policy that is distributed to all employees as part of our employee handbook. Employees must acknowledge our employee handbook and specifically our nondiscrimination policy annually.</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board of directors leads by example in its commitment to diversity. In 2020, Sandra D. Morgan joined our board, and in 2018, our board codified its commitment to consider all aspects of diversity when selecting new director nominees, including candidates with a diversity of age, gender, nationality, race, ethnicity, and sexual orientation by integrating it into the director selection criteria in our Corporate Governance Guidelines.</w:t>
      </w:r>
    </w:p>
    <w:p>
      <w:pPr>
        <w:spacing w:after="0" w:line="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many women in leadership roles throughout our organization, and believe it is important to continue to develop our incredible pool of talent. Twenty-five percent of the members of FNF’s Executive Team are women and 66% of our workforce are women. Our annual Women in Leadership Program for female executives, managers, and future managers is designed to encourage and promote women into more active leadership roles within FNF.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Training and Personal Development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employees are our greatest asset, and we are committed to providing opportunities for them to expand their knowledge base and develop opportunities for advancement, which in turn results in improved employee performance and morale.</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many opportunities for employees to receive training on escrow administration, title loss reduction, title underwriting, and fraud prevention. Many of our departments also provide the opportunity for our employees to receive official Continuing Education (CE) and Continuing Legal Education (CLE) credits for various state land title and legal associations. Our Commercial Sales University is a six-month training course with industry experts for new commercial sales reps.</w:t>
      </w:r>
    </w:p>
    <w:p>
      <w:pPr>
        <w:spacing w:after="0" w:line="6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Leadership Development Program helps employees advance their careers through professional development. Candidates are nominated once a year by their manager to participate in this intensive program where they are asked to prepare and present a managers’ report and to participate in the process of preparing an annual budget. In addition, the program includes thought-provoking discussions between candidates and our management team about leadership, business, the economy, and other industry-related topics. Not only do candidates gain a better understanding of our company culture and the expectations of management, they also receive an opportunity for mentorship and engagement with senior executives.</w:t>
      </w:r>
    </w:p>
    <w:p>
      <w:pPr>
        <w:spacing w:after="0" w:line="40"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Employees also receive more general training on skills such as software training, soft skills, sales, and time management through their individual operations. We encourage our employees to join professional organizations that further their development, and provide financial assistance to do so. Some</w:t>
      </w:r>
    </w:p>
    <w:p>
      <w:pPr>
        <w:spacing w:after="0"/>
        <w:rPr>
          <w:sz w:val="20"/>
          <w:szCs w:val="20"/>
          <w:color w:val="auto"/>
        </w:rPr>
      </w:pPr>
      <w:r>
        <w:rPr>
          <w:rFonts w:ascii="Arial" w:cs="Arial" w:eastAsia="Arial" w:hAnsi="Arial"/>
          <w:sz w:val="18"/>
          <w:szCs w:val="18"/>
          <w:color w:val="auto"/>
        </w:rPr>
        <w:t>operations also offer the ability for employees to receive education reimbursement for courses or programs that they attend</w:t>
      </w:r>
      <w:r>
        <w:rPr>
          <w:rFonts w:ascii="Arial" w:cs="Arial" w:eastAsia="Arial" w:hAnsi="Arial"/>
          <w:sz w:val="21"/>
          <w:szCs w:val="21"/>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Operating Segment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financial information by operating segment, see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our Consolidated Financial Statements included in Item 8 of Part II of this Annual Report.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Regarding Forward-Looking Information</w:t>
      </w:r>
    </w:p>
    <w:p>
      <w:pPr>
        <w:spacing w:after="0" w:line="90"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6"/>
          <w:szCs w:val="16"/>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4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general economic, business, and political conditions, including changes in the financial markets and COVID-19 conditions;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to our business operations caused by the occurrence of a catastrophe, including the COVID19 outbreak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integrate the F&amp;G acquisition, that such integration may be more difficult, time-consuming or costly than expected or that the expected benefits of the F&amp;G acquisition will not be realized;</w:t>
      </w: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impact of the consummation of the F&amp;G acquisition on relationships, including employees, suppliers, customers and competitors;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concentration in the States of California and Texas are the source of approximately 15.2% and 12.3%, respectively, of our title insurance premiums;</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jc w:val="both"/>
        <w:ind w:firstLine="328"/>
        <w:spacing w:after="0" w:line="263" w:lineRule="auto"/>
        <w:rPr>
          <w:sz w:val="20"/>
          <w:szCs w:val="20"/>
          <w:color w:val="auto"/>
        </w:rPr>
      </w:pPr>
      <w:r>
        <w:rPr>
          <w:rFonts w:ascii="Arial" w:cs="Arial" w:eastAsia="Arial" w:hAnsi="Arial"/>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04"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38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COVID-19, Climate Change and Other Catastrophic Events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materially and adversely affected by the occurrence of a catastrophe, including natural or man-made disasters.</w:t>
      </w:r>
    </w:p>
    <w:p>
      <w:pPr>
        <w:spacing w:after="0" w:line="1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catastrophic event, such as pandemic diseases, terrorist attacks, floods, severe storms or hurricanes or computer cyber-terrorism, could have a material and adverse effect on our business in several respects:</w:t>
      </w:r>
    </w:p>
    <w:p>
      <w:pPr>
        <w:spacing w:after="0" w:line="49"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outbreak of a pandemic disease, like the novel coronavirus COVID-19, could have a material adverse effect on our liquidity, financial condition and the operating results of our insurance business due to its impact on the economy and financial markets;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96"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39"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manage our financial exposure for losses in our title insurance business and in our F&amp;G business with third-party reinsurance. Catastrophic events could adversely affect the cost and availability of that reinsurance;</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our investment portfolio may decrease if the securities in which we invest are negatively impacted by climate change, pandemic diseases, severe weather conditions and other catastrophic events.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in the second and third quarters of 2020 we experienced decreases in commercial volumes and commercial fee-per-file as a result of the outbreak of COVID-19. We also experienced a decrease in the number of opened residential purchase orders and increased volatility in our investment portfolio early in the pandemic.</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Acquisition of F&amp;G</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Although we expect our acquisition of F&amp;G will result in cost savings and other benefits to us, we may not realize those benefits because of integration difficulties and other challenges.</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acquisition of F&amp;G will depend in large part on the success of the management of the combined company in integrating the operations, strategies, technologies and personnel of the two companies following the completion of the merger. We may fail to realize some or all of the anticipated benefits of the merger if the integration process takes longer than expected or is more costly than expected. Our failure to meet the challenges involved in successfully integrating the operations of F&amp;G or to otherwise realize any of the anticipated benefits of the merger, including additional cost savings could impair our operations. In addition, we anticipate that the overall integration of F&amp;G will be a time-consuming and expensive process that, without proper planning and effective and timely implementation, could significantly disrupt our business. Potential difficulties we may encounter in the integration process include the following:</w:t>
      </w:r>
    </w:p>
    <w:p>
      <w:pPr>
        <w:spacing w:after="0" w:line="60" w:lineRule="exact"/>
        <w:rPr>
          <w:sz w:val="20"/>
          <w:szCs w:val="20"/>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integration of management teams, strategies, technologies and operations;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disruption of ongoing businesses and distraction of their respective management teams from ongoing business concerns;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retention of and possible decrease in business from the existing clients of both companies;</w:t>
      </w:r>
    </w:p>
    <w:p>
      <w:pPr>
        <w:spacing w:after="0" w:line="90"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creation of uniform standards, controls, procedures, policies and information systems;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of the costs associated with each company's operations;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optimization of information technology platforms and administrative infrastructures;</w:t>
      </w:r>
    </w:p>
    <w:p>
      <w:pPr>
        <w:spacing w:after="0" w:line="90"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retention of key employees;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 and</w:t>
      </w:r>
    </w:p>
    <w:p>
      <w:pPr>
        <w:spacing w:after="0" w:line="90"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unknown liabilities, expenses or delays associated with the mergers.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cost savings and other benefits assume a successful integration and are based on projections, which are inherently uncertain, and other assumptions. Even if integration is successful, anticipated cost savings and other benefits may not be achieved.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decline in the future as a result of the acquisition of F&amp;G.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decline in the future as a result of the merger for a number of reasons, including:</w:t>
      </w:r>
    </w:p>
    <w:p>
      <w:pPr>
        <w:spacing w:after="0" w:line="104" w:lineRule="exact"/>
        <w:rPr>
          <w:sz w:val="20"/>
          <w:szCs w:val="20"/>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unsuccessful integration of F&amp;G (including for the reasons set forth in the preceding risk factor);</w:t>
      </w:r>
    </w:p>
    <w:p>
      <w:pPr>
        <w:spacing w:after="0" w:line="90" w:lineRule="exact"/>
        <w:rPr>
          <w:rFonts w:ascii="Arial" w:cs="Arial" w:eastAsia="Arial" w:hAnsi="Arial"/>
          <w:sz w:val="18"/>
          <w:szCs w:val="18"/>
          <w:color w:val="auto"/>
        </w:rPr>
      </w:pPr>
    </w:p>
    <w:p>
      <w:pPr>
        <w:ind w:left="660" w:hanging="328"/>
        <w:spacing w:after="0" w:line="277" w:lineRule="auto"/>
        <w:tabs>
          <w:tab w:leader="none" w:pos="4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to achieve the perceived benefits of the merger, including financial results, synergies, cost savings, innovation and operational efficiencies, as rapidly as or to the extent anticipated by financial or industry analysts.</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general fluctuations in stock markets could have a material adverse effect on the market for, or liquidity of, the FNF common stock, regardless of the actual operating performance of FNF and F&amp;G.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 of F&amp;G may not be accretive and may cause dilution to our earnings per share, which may negatively affect the market price of our common stock.</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anticipate that the acquisition of F&amp;G will be accretive to earnings per share (on an adjusted net earnings basis) during the first full calendar year after the merger. See "Non-GAAP Financial Measures" for further discussion of F&amp;G earnings. This expectation is based on preliminary estimates which may materially change. We could also encounter additional transaction-related costs or other factors such as the failure to realize all of the benefits anticipated in the merger. All of these factors could cause dilution to our earnings per share or decrease or delay the expected accretive effect of the merger and cause a decrease in the market price of our common stock.</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results will suffer if the combined company does not effectively manage its expanded operations following the acquisition of F&amp;G.</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size of the business of the combined company has increased significantly. Our future success depends, in part, upon our ability to manage this expanded business, which may pose substantial challenges for management, including challenges related to the management and monitoring of new operations, including new international operations, and associated increased costs and complexity. There can be no assurances that we will be successful or that we will realize the expected operating efficiencies, cost savings, revenue enhancements and other benefits currently anticipated from the merger.</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following the acquisition of F&amp;G and our credit ratings or the credit ratings of our subsidiaries may be different from what we currently expect.</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incurred indebtedness in order to provide funds to pay a portion of the cash portion of the merger consideration and other costs and expenses incurred in connection with the merger. As a result, following completion of the merger, we have substantial indebtedness and our credit ratings or the credit ratings of our subsidiaries may be different from what we currently expect.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substantial indebtedness may adversely affect our business, financial condition and operating results, including:</w:t>
      </w:r>
    </w:p>
    <w:p>
      <w:pPr>
        <w:spacing w:after="0" w:line="104" w:lineRule="exact"/>
        <w:rPr>
          <w:sz w:val="20"/>
          <w:szCs w:val="20"/>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more difficult to satisfy our debt service obligations;</w:t>
      </w:r>
    </w:p>
    <w:p>
      <w:pPr>
        <w:spacing w:after="0" w:line="90" w:lineRule="exact"/>
        <w:rPr>
          <w:rFonts w:ascii="Arial" w:cs="Arial" w:eastAsia="Arial" w:hAnsi="Arial"/>
          <w:sz w:val="18"/>
          <w:szCs w:val="18"/>
          <w:color w:val="auto"/>
        </w:rPr>
      </w:pPr>
    </w:p>
    <w:p>
      <w:pPr>
        <w:ind w:left="660" w:hanging="328"/>
        <w:spacing w:after="0" w:line="277" w:lineRule="auto"/>
        <w:tabs>
          <w:tab w:leader="none" w:pos="4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a substantial portion of cash flows from operations for debt service payments, thereby reducing the availability of cash flow to fund working capital, capital expenditures, acquisitions, and other general corporate purposes;</w:t>
      </w:r>
    </w:p>
    <w:p>
      <w:pPr>
        <w:spacing w:after="0" w:line="48" w:lineRule="exact"/>
        <w:rPr>
          <w:rFonts w:ascii="Arial" w:cs="Arial" w:eastAsia="Arial" w:hAnsi="Arial"/>
          <w:sz w:val="18"/>
          <w:szCs w:val="18"/>
          <w:color w:val="auto"/>
        </w:rPr>
      </w:pPr>
    </w:p>
    <w:p>
      <w:pPr>
        <w:ind w:left="660" w:hanging="328"/>
        <w:spacing w:after="0" w:line="277" w:lineRule="auto"/>
        <w:tabs>
          <w:tab w:leader="none" w:pos="4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requirements, capital expenditures, acquisitions, investments, debt service obligations and other general operating requirements;</w:t>
      </w:r>
    </w:p>
    <w:p>
      <w:pPr>
        <w:spacing w:after="0" w:line="48"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business and, consequently, negatively affecting our competitive position;</w:t>
      </w:r>
    </w:p>
    <w:p>
      <w:pPr>
        <w:spacing w:after="0" w:line="101" w:lineRule="exact"/>
        <w:rPr>
          <w:rFonts w:ascii="Arial" w:cs="Arial" w:eastAsia="Arial" w:hAnsi="Arial"/>
          <w:sz w:val="17"/>
          <w:szCs w:val="17"/>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taking advantage of favorable business opportunities;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negatively impacting our existing credit ratings, including resulting in a downgrade or negative outlook;</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relative competitive disadvantage compared our competitors that have less debt;</w:t>
      </w:r>
    </w:p>
    <w:p>
      <w:pPr>
        <w:spacing w:after="0" w:line="90" w:lineRule="exact"/>
        <w:rPr>
          <w:rFonts w:ascii="Arial" w:cs="Arial" w:eastAsia="Arial" w:hAnsi="Arial"/>
          <w:sz w:val="18"/>
          <w:szCs w:val="18"/>
          <w:color w:val="auto"/>
        </w:rPr>
      </w:pPr>
    </w:p>
    <w:p>
      <w:pPr>
        <w:ind w:left="660" w:hanging="328"/>
        <w:spacing w:after="0" w:line="277" w:lineRule="auto"/>
        <w:tabs>
          <w:tab w:leader="none" w:pos="4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flexibility to plan for, or react to, changes in the businesses and industries in which we operate, which may adversely affect our operating results and ability to meet our debt service obligations;</w:t>
      </w:r>
    </w:p>
    <w:p>
      <w:pPr>
        <w:spacing w:after="0" w:line="48"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 and</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refinance its indebtedness or increasing the cost of such indebtedness.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covenants in the debt instruments governing this indebtedness may limit how we conduct our business following the merger. If we incur additional indebtedness in the future, the risks related to our substantial indebtedness may intensify.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Lawsuits relating to the F&amp;G acquisition could be filed against us and could adversely impact our business, financial condition and operating results.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is common in connection with acquisitions of public companies, regardless of any merits related to the claims. The outcome of the lawsuits that could be filed against us related to the F&amp;G acquisition are uncertain, and we may not be successful in defending against these claims. While we will defend against these lawsuits, the costs of the defense and other effects of litigation could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Geographic Concentrations of our Businesses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and Texas for approximately 15.2% and 12.3% and of our title insurance premiums, respectively, our business may be adversely affected by regulatory conditions in California and/or Texas.</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California and Texas are the two largest sources of revenue for our Title segment. In 2020, California-based premiums accounted for approximately 31.2% of premiums earned by our direct operations and 0.7% of our agency premium revenues, while Texas-based premiums accounted for 15.7% of premiums earned by our direct operations and 9.2% of our agency premium revenues. In the aggregate, California and Texas accounted for approximately 15.2% and 12.3%, respectively, of our total title insurance premiums for 2020.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Concentration in certain states for the distribution of our life insurance and annuity products may subject us to losses attributable to economic downturns or catastrophes in those states.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top five states for the distribution of our life insurance and annuity products are California, Texas, Florida, New Jersey and Arizona. Any adverse economic developments or catastrophes in these states could have an adverse impact on our business.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Government Regulation of the Insurance Industry</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4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 Regulation” for further discussion of the current regulatory environment.</w:t>
      </w:r>
    </w:p>
    <w:p>
      <w:pPr>
        <w:spacing w:after="0" w:line="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comply with any of these laws, should the states take an opposing interpretation, could have an adverse effect on LoanCare in the event and to the extent that they apply to some or all of its servicing activities.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F&amp;G business is highly regulated and subject to numerous legal restrictions and regulations.</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section titled “Regulation” in Item 1. Business for further discussion of the impact of regulations on our business.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Regulation</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4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NAIC</w:t>
      </w:r>
    </w:p>
    <w:p>
      <w:pPr>
        <w:spacing w:after="0" w:line="9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work to reform state regulation in various areas, including comprehensive reforms relating to cyber security regulations, best interest standards, RBC and life insurance reserves.</w:t>
      </w:r>
    </w:p>
    <w:p>
      <w:pPr>
        <w:spacing w:after="0" w:line="4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On June 10, 2016, the NAIC formally approved principle-based reserving for life insurance products with secondary guarantees, with an effective date of January 1, 2017. Effective October 2019, we began replacing our life insurance product portfolio to comply with the new 2017 CSO mortality requirement as well as the principle-based reserve (PBR) requirement. As of January 1, 2020 all life insurance policies sold by F&amp;G are PBR compliant.</w:t>
      </w:r>
    </w:p>
    <w:p>
      <w:pPr>
        <w:spacing w:after="0" w:line="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risk-based capital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“Fiduciary” Rule Proposals</w:t>
      </w:r>
    </w:p>
    <w:p>
      <w:pPr>
        <w:spacing w:after="0" w:line="104"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Although the DOL fiduciary rule has been vacated in total, similar rules proposed by state officials or the SEC may have an adverse effect on sales of annuity products to IRA owners particularly in the independent agent distribution channel. Compliance with such rules may require additional supervision of agents, cause changes to compensation practices and product offerings, and increase litigation risk, all of which could have adverse impact our business, results of operations and/or financial condition. Management will continue to monitor for potential action by state officials or the SEC to implement rules similar to the vacated DOL rule.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 and Cayman Islands Regulation</w:t>
      </w:r>
    </w:p>
    <w:p>
      <w:pPr>
        <w:spacing w:after="0" w:line="104"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8"/>
          <w:szCs w:val="18"/>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62"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In particular, our reinsurance subsidiaries, F&amp;G Life Re and F&amp;G Re, are registered in Bermuda under the Bermuda Insurance Act and subject to the rules and regulations promulgated thereunder. The BMA has sought regulatory equivalency, which enables Bermuda’s commercial insurers to transact business with the EU on a “level playing field.” In connection with its initial efforts to achieve equivalency under the European Union’s Directive (2009/138/EC) (“Solvency II”), the BMA implemented and imposed additional requirements on the companies it regulates. The European Commission (the “EC”) granted Bermuda’s commercial insurers full equivalence in all areas of Solvency II for an indefinite period of time effective March 24, 2016, and applies from January 1, 2016.</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Credit Risk of our Counterparties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the credit risk of our counterparties, including companies with whom we have reinsurance agreements or we have purchased call options.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F&amp;G insurance subsidiaries cede material amounts of insurance and transfer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and results of operations. We regularly monitor the credit rating and performance of our reinsurance parties. Wilton Re represents our largest reinsurance counterparty exposure. We also utilize funds withheld reinsurance counterparty risk. Under funds withheld arrangements, F&amp;G retains possession and legal title to asset backing ceded liabilities.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F&amp;G insurance subsidiaries are also exposed to credit loss in the event of non-performance by our counterparties on call options. We seek to reduce the risk associated with such agreements by purchasing such options from large, well-established financial institutions, and by holding collateral. There can be no assurance we will not suffer losses in the event of counterparty non-performance.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$26.5 billion at December 31, 2020.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Market Conditions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10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24" w:lineRule="exact"/>
        <w:rPr>
          <w:sz w:val="20"/>
          <w:szCs w:val="20"/>
          <w:color w:val="auto"/>
        </w:rPr>
      </w:pPr>
    </w:p>
    <w:p>
      <w:pPr>
        <w:jc w:val="both"/>
        <w:ind w:firstLine="459"/>
        <w:spacing w:after="0" w:line="324" w:lineRule="auto"/>
        <w:rPr>
          <w:sz w:val="20"/>
          <w:szCs w:val="20"/>
          <w:color w:val="auto"/>
        </w:rPr>
      </w:pPr>
      <w:r>
        <w:rPr>
          <w:rFonts w:ascii="Arial" w:cs="Arial" w:eastAsia="Arial" w:hAnsi="Arial"/>
          <w:sz w:val="16"/>
          <w:szCs w:val="16"/>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 volatility could negatively impact our business.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estimated cost of providing GMWB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future policy benefit or policyholder account balance liabilities associated with such products, resulting in a reduction in our revenues and net earnings (loss). The rate of amortization of deferred acquisition costs ("DAC"), deferred sales inducements ("DSI") and value of business acquired ("VOBA") relating to FIA products could also increase if equity market performance is worse than assumed and have a materially adverse impact on our results of operations and financial condition.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are subject to market and credit risks. These risks could be heightened during periods of extreme volatility or disruption in financial and credit markets.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issuers of the fixed-income securities we own to default on either principal or interest payments. Additionally, market price valuations may not accurately reflect the underlying expected cash flows of securities within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0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the mortgage funding supply is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housing inventory is limited or home prices are high or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Declines in the level of real estate activity or the average price of real estate sales are likely to adversely affect our title insurance revenues. The Mortgage Bankers Association's ("MBA") Mortgage Finance Forecast as of February 19, 2021 calculates an approximately $3.7 trillion mortgage origination market for 2020, which would be an increase from 2019 resulting primarily from increased refinance activity. However, the MBA predicts overall mortgage originations in 2020 and 2021 will decrease slightly when compared to 2019. Our revenues in future periods will continue to be subject to these and other factors that are beyond our control and, as a result, are likely to fluctuate. See discussion under 'Business Trends and Conditions' within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Item 7 of Part II of this Annual Report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current market trends.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could adversely affect our business, financial condition, liquidity, results of operations and cash flows.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rate risk is a significant market risk as our F&amp;G business involves issuing interest rate sensitive obligations backed primarily by investments in fixed income assets. For the past several years interest rates have remained at or near historically low levels. The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periods of increasing interest rates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and results of operations. We have developed and maintain ALM programs and procedures designed to mitigate interest rate risk by matching asset cash flows to expected liability cash flows. In addition, we assess surrender charges on withdrawals in excess of allowable penalty-free amounts that occur during the surrender charge period. There can be no assurance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experience spread income compression, and a loss of anticipated earnings, if credited interest rates are increased on renewing contracts in an effort to decrease or manage withdrawal activity. Our expectation for future spread income is an important component in amortization of DAC, deferred sales inducements ("DSI"), and VOBA under U.S. GAAP. Significant reductions in spread income may cause us to accelerate DAC, DSI, and VOBA amortization. In addition, certain statutory capital and reserve requirements are based on formulas or models that consider interest rates and a prolonged period of 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may increase the statutory capital we are required to hold as well as the amount of assets we must maintain to support statutory reserves.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Setting Every Community Up for Retirement Enhancement Act of 2019 may impact our business and the markets in which we compete.</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Setting Every Community Up for Retirement Enhancement Act of 2019, Pub.L. 116-94 (the “SECURE Act”), was signed into law on December 20, 2019 as part of the Further Consolidated Appropriations Act, 2020 and went into effect in certain respects as early as January 1, 2020. The SECURE Act contains provisions that may impact our F&amp;G insurance subsidiaries, including: elimination of the “stretch IRA” (funds from inherited IRAs must now be fully withdrawn by beneficiaries within 10 years of the account owner’s death and, as a result, IRAs may be less desirable to our customers, and our administrative system for handling distributions from IRAs invested in our annuity products may need to be updated to reflect the shortened distribution period for IRA beneficiaries); elimination of age limit for making traditional IRA contributions; raising of the age for required minimum distributions from IRAs from 70½ to 72 (particularly impacting our administrative system for handling distributions from IRAs invested in our annuity products); expansion of 401K plan eligibility for part-time workers; creation of new employer protections for offering annuities, including a fiduciary safe harbor for employer retirement plan sponsors that wish to add in-plan annuity products (particularly impacting how we and our competitors may now sell annuity products to employers or provide certifications necessary to meet the SECURE Act fiduciary safe harbor requirements); and lowering of barriers for offering multiple employer plans. The SECURE Act changes may also affect, to some extent, the length of time that IRA assets remain in our annuity products. While we cannot predict whether, or to what extent, the SECURE Act will ultimately impact us, the SECURE Act may have implications for our business operations and the markets in which we compete. See section titled “F&amp;G - Regulation” in Item 1. Business.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Goodwill aggregated approximately $4,495 million, or 8.9% of our total assets, as of December 31, 2020.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In the year ended December 31, 2018, we recorded $3 million of goodwill impairment related to a real estate brokerage subsidiary in our Corporate and other segment. For the years ended December 31, 2020 and 2019, no goodwill impairment charge was recorded.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pattern of amortizing our DAC, DSI, and VOBA balances relies on assumptions and estimates made by management. Changes in these assumptions and estimates could impact our results of operations and financial condition.</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Amortization of our DAC, DSI and VOBA balances depends on the actual and expected profits generated by the respective lines of business that incurred the expenses. Expected profits are dependent on assumptions regarding a number of factors including investment returns, benefit payments, expenses, mortality, and policy lapse. Due to the uncertainty associated with establishing these assumptions, we cannot, with precision, determine the exact pattern of profit emergence. As a result, amortization of these balances will vary from period to period. Any difference in actual experience versus expected results could require us to, among other things, accelerate the amortization of DAC, DSI and VOBA that would reduce profitability for such lines of business in the current period.</w:t>
      </w:r>
    </w:p>
    <w:p>
      <w:pPr>
        <w:spacing w:after="0" w:line="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additional information, see Item 7 of Part II of this Annual Report, under Management’s Discussion and Analysis of Financial Condition and Results of Operations-Critical Accounting Policies and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losses if our actual experience differs significantly from our reserving assumptions.</w:t>
      </w:r>
    </w:p>
    <w:p>
      <w:pPr>
        <w:spacing w:after="0" w:line="90"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Our profitability depends significantly upon the extent to which our actual experience is consistent with the assumptions used in setting rates for our products and establishing liabilities for future life insurance and annuity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extent that actual experience is less favorable than our underlying assumptions, we could be required to increase our liabilities, which may reduce our profitability and impact our financial strength.</w:t>
      </w:r>
    </w:p>
    <w:p>
      <w:pPr>
        <w:spacing w:after="0" w:line="49"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7"/>
          <w:szCs w:val="17"/>
          <w:color w:val="auto"/>
        </w:rPr>
        <w:t>We have minimal experience to date on policyholder behavior for our GMWB products that we began issuing in 2008. If emerging experience deviates from our assumptions on GMWB utilization, it could have a significant effect on our reserve levels and related results of operations. Based on experience on GMWB utilization, which continues to emerge, we updated our GMWB utilization assumption during 2019, with a favorable impact on reserves. We will continue to monitor the GMWB utilization assumption and update our best estimate as applicable.</w:t>
      </w:r>
    </w:p>
    <w:p>
      <w:pPr>
        <w:spacing w:after="0" w:line="2" w:lineRule="exact"/>
        <w:rPr>
          <w:sz w:val="20"/>
          <w:szCs w:val="20"/>
          <w:color w:val="auto"/>
        </w:rPr>
      </w:pPr>
    </w:p>
    <w:p>
      <w:pPr>
        <w:jc w:val="both"/>
        <w:ind w:firstLine="459"/>
        <w:spacing w:after="0" w:line="243" w:lineRule="auto"/>
        <w:rPr>
          <w:sz w:val="20"/>
          <w:szCs w:val="20"/>
          <w:color w:val="auto"/>
        </w:rPr>
      </w:pPr>
      <w:r>
        <w:rPr>
          <w:rFonts w:ascii="Arial" w:cs="Arial" w:eastAsia="Arial" w:hAnsi="Arial"/>
          <w:sz w:val="18"/>
          <w:szCs w:val="18"/>
          <w:color w:val="auto"/>
        </w:rPr>
        <w:t>See Item 7 of Part II of this Annual Report, under. Management’s Discussion and Analysis of Financial Condition and Results of Operations-Critical Accounting Policies and Estimates.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10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2021, our title insurers may pay dividends or make distributions to us of approximately $551 million; however, insurance regulators have the authority to prohibit the payment of ordinary dividends or other payments by our title insurers to us if they determine that such payment could be adverse to our policyholders.</w:t>
      </w:r>
    </w:p>
    <w:p>
      <w:pPr>
        <w:spacing w:after="0" w:line="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interrupted or compromised if we experience difficulties arising from outsourcing relationships.</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results of operations. In addition, our reliance on third-party service providers that we do not control does not relieve us of our responsibilities and requirements. Any failure or negligence by such third-party service providers in carrying out their contractual duties may result in us becoming subjected to liability to parties who are harmed and ensuing litigation. Any litigation relating to such matters could be costly, expensive and time-consuming, and the outcome of any such litigation may be uncertain. Moreover, any adverse publicity arising from such litigation, even if the litigation is not successful, could adversely affect our reputation and sales of our products.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section titled "Outsourcing” in Item 1. Business for functions we outsource to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national marketing organizations and independent agents, sales of our products may be reduced.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our F&amp;G operating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large insurance entity and a publicly traded company, we have always had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claim loss prevention procedures fail, we could incur significant claim losses.</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ordinary course of our title insurance business, we assume risks related to insuring clear title to residential and commercial properties. We have established procedures to mitigate the risk of loss from title claims, including extensive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independent agents for a significant amount of our title insurance policies could adversely impact the frequency and severity of title claims.</w:t>
      </w:r>
    </w:p>
    <w:p>
      <w:pPr>
        <w:spacing w:after="0" w:line="1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respond to rapid changes in technology could adversely affect our results of operations or financial condition.</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Rapidly evolving technologies and innovations in software and financial technology could drive changes in how real estate transactions are recorded and processed throughout the mortgage life cycle. There is no guarantee that we will be able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effectively adapt to and utilize changing technology. Existing or new competitors may be able to utilize or create technology more effectively than us, which could result in the loss of market share.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annuity products compete with fixed indexed, fixed rate and variable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compete is dependent upon, among other things, our ability to develop competitive and profitable products, our ability to maintain low unit costs, and our maintenance of adequate financial strength ratings from rating agencies. Our ability to compete is also dependent upon, among other things, our ability to attract and retain distribution channels to market our products, the competition for which is vigorous.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the subject of various legal proceedings that could have a material adverse effect on our results of operations.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our Consolidated Financial Statements included in Item 8 of Part II of this Annual Report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litigation and regulatory matters and our related accrual.</w:t>
      </w:r>
    </w:p>
    <w:p>
      <w:pPr>
        <w:spacing w:after="0" w:line="3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corporate headquarters are in Jacksonville, Florida in owned facilities. Our F&amp;G headquarters are in Des Moines, Iowa in leased facilities.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majority of our branch offices are leased from third parties. See Note S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our Consolidated Financial Statements included in Item 8 of Part</w:t>
      </w:r>
    </w:p>
    <w:p>
      <w:pPr>
        <w:spacing w:after="0" w:line="46" w:lineRule="exact"/>
        <w:rPr>
          <w:sz w:val="20"/>
          <w:szCs w:val="20"/>
          <w:color w:val="auto"/>
        </w:rPr>
      </w:pPr>
    </w:p>
    <w:p>
      <w:pPr>
        <w:ind w:firstLine="8"/>
        <w:spacing w:after="0" w:line="260" w:lineRule="auto"/>
        <w:tabs>
          <w:tab w:leader="none" w:pos="1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this Annual Report for further information on our outstanding leases. Our subsidiaries conduct their business operations primarily in leased office space in 45 states, Washington, DC, Canada and India.</w:t>
      </w:r>
    </w:p>
    <w:p>
      <w:pPr>
        <w:spacing w:after="0" w:line="3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7"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color w:val="auto"/>
        </w:rPr>
        <w:t xml:space="preserve">For a description of our legal proceedings see discussion of </w:t>
      </w:r>
      <w:r>
        <w:rPr>
          <w:rFonts w:ascii="Arial" w:cs="Arial" w:eastAsia="Arial" w:hAnsi="Arial"/>
          <w:sz w:val="17"/>
          <w:szCs w:val="17"/>
          <w:i w:val="1"/>
          <w:iCs w:val="1"/>
          <w:color w:val="auto"/>
        </w:rPr>
        <w:t>Legal and Regulatory Contingencies</w:t>
      </w:r>
      <w:r>
        <w:rPr>
          <w:rFonts w:ascii="Arial" w:cs="Arial" w:eastAsia="Arial" w:hAnsi="Arial"/>
          <w:sz w:val="17"/>
          <w:szCs w:val="17"/>
          <w:color w:val="auto"/>
        </w:rPr>
        <w:t xml:space="preserve"> in Note H.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in Item 8 of Part II of this Annual Report, which is incorporated by reference into this Item 3 of 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340" w:right="2180" w:hanging="323"/>
        <w:spacing w:after="0" w:line="260"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i w:val="1"/>
          <w:iCs w:val="1"/>
          <w:color w:val="auto"/>
        </w:rPr>
        <w:t xml:space="preserve">Market for Registrant's Common Equity, Related Stockholder Matters and Issuer Purchases of Equity Securities </w:t>
      </w:r>
      <w:r>
        <w:rPr>
          <w:rFonts w:ascii="Arial" w:cs="Arial" w:eastAsia="Arial" w:hAnsi="Arial"/>
          <w:sz w:val="18"/>
          <w:szCs w:val="18"/>
          <w:color w:val="auto"/>
        </w:rPr>
        <w:t>Our common stock trades on the New York Stock Exchange under the trading symbol "FNF".</w:t>
      </w:r>
    </w:p>
    <w:p>
      <w:pPr>
        <w:spacing w:after="0" w:line="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29, 2021, the last reported sale price of our common stock on the New York Stock Exchange was $36.30. We had approximately 6,325 shareholders of record on January 29, 2021.</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Refer to Note W.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2020.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2015,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52070</wp:posOffset>
            </wp:positionV>
            <wp:extent cx="5648960" cy="4920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040" w:type="dxa"/>
            <w:vAlign w:val="bottom"/>
            <w:tcBorders>
              <w:top w:val="single" w:sz="8" w:color="auto"/>
              <w:bottom w:val="single" w:sz="8" w:color="auto"/>
            </w:tcBorders>
          </w:tcPr>
          <w:p>
            <w:pPr>
              <w:spacing w:after="0"/>
              <w:rPr>
                <w:sz w:val="17"/>
                <w:szCs w:val="17"/>
                <w:color w:val="auto"/>
              </w:rPr>
            </w:pPr>
          </w:p>
        </w:tc>
        <w:tc>
          <w:tcPr>
            <w:tcW w:w="22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12/31/2015</w:t>
            </w:r>
          </w:p>
        </w:tc>
        <w:tc>
          <w:tcPr>
            <w:tcW w:w="12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12/31/2016</w:t>
            </w:r>
          </w:p>
        </w:tc>
        <w:tc>
          <w:tcPr>
            <w:tcW w:w="12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12/31/2017</w:t>
            </w: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12/31/2018</w:t>
            </w: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12/31/2019</w:t>
            </w:r>
          </w:p>
        </w:tc>
        <w:tc>
          <w:tcPr>
            <w:tcW w:w="11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12/31/2020</w:t>
            </w:r>
          </w:p>
        </w:tc>
      </w:tr>
      <w:tr>
        <w:trPr>
          <w:trHeight w:val="253"/>
        </w:trPr>
        <w:tc>
          <w:tcPr>
            <w:tcW w:w="3040" w:type="dxa"/>
            <w:vAlign w:val="bottom"/>
          </w:tcPr>
          <w:p>
            <w:pPr>
              <w:ind w:left="2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100.51</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164.87</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136.44</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202.95</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182.30</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111.96</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136.40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130.42</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171.49</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203.04</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109.11</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157.67</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133.55</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172.50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164.66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on our common stock for the two most recent fiscal years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7980" w:type="dxa"/>
            <w:vAlign w:val="bottom"/>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2720" w:type="dxa"/>
            <w:vAlign w:val="bottom"/>
            <w:gridSpan w:val="3"/>
          </w:tcPr>
          <w:p>
            <w:pPr>
              <w:ind w:left="820"/>
              <w:spacing w:after="0"/>
              <w:rPr>
                <w:sz w:val="20"/>
                <w:szCs w:val="20"/>
                <w:color w:val="auto"/>
              </w:rPr>
            </w:pPr>
            <w:r>
              <w:rPr>
                <w:rFonts w:ascii="Arial" w:cs="Arial" w:eastAsia="Arial" w:hAnsi="Arial"/>
                <w:sz w:val="14"/>
                <w:szCs w:val="14"/>
                <w:b w:val="1"/>
                <w:bCs w:val="1"/>
                <w:color w:val="auto"/>
              </w:rPr>
              <w:t>Cash Dividends per Share</w:t>
            </w:r>
          </w:p>
        </w:tc>
        <w:tc>
          <w:tcPr>
            <w:tcW w:w="520" w:type="dxa"/>
            <w:vAlign w:val="bottom"/>
          </w:tcPr>
          <w:p>
            <w:pPr>
              <w:spacing w:after="0"/>
              <w:rPr>
                <w:sz w:val="15"/>
                <w:szCs w:val="15"/>
                <w:color w:val="auto"/>
              </w:rPr>
            </w:pPr>
          </w:p>
        </w:tc>
      </w:tr>
      <w:tr>
        <w:trPr>
          <w:trHeight w:val="231"/>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1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04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0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0.33</w:t>
            </w:r>
          </w:p>
        </w:tc>
      </w:tr>
    </w:tbl>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17, 2021, our Board of Directors formally declared a $0.36 per FNF share cash dividend that is payable on March 31, 2021 to FNF shareholders of record as of March 17, 2021.</w:t>
      </w:r>
    </w:p>
    <w:p>
      <w:pPr>
        <w:spacing w:after="0" w:line="3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2020, $2,559 million of our net assets are restricted from dividend payments without prior approval from the Departments of Insurance in the states where our title insurance subsidiaries are domiciled. During 2021, our directly owned title insurance subsidiaries can pay dividends or make distributions to us of approximately $551 million without prior approval. The limits placed on such subsidiaries’ abilities to pay dividends affect our ability to pay dividends.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July 17, 2018, our Board of Directors approved a new three-year stock repurchase program effective August 1, 2018 (the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2020, we repurchased a total of 7,450,000 FNF common shares for an aggregate amount of $244 million or an average of $32.75 per share. Subsequent to December 31, 2020 and through market close on February 19, 2021, we repurchased a total of 400,000 shares for $16 million, or an average of $40.00 under this program. Since the original commencement of the 2018 Repurchase Program, we repurchased a total of 10,630,000 FNF common shares for an aggregate amount of $366 million, or an average of $34.43 per share. On October 28, 2020, we announced that we intend to purchase approximately $500 million of FNF common shares over the following 12 months,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year ended December 31, 2020:</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040" w:type="dxa"/>
            <w:vAlign w:val="bottom"/>
            <w:vMerge w:val="restart"/>
          </w:tcPr>
          <w:p>
            <w:pPr>
              <w:jc w:val="center"/>
              <w:ind w:left="1108"/>
              <w:spacing w:after="0"/>
              <w:rPr>
                <w:sz w:val="20"/>
                <w:szCs w:val="20"/>
                <w:color w:val="auto"/>
              </w:rPr>
            </w:pPr>
            <w:r>
              <w:rPr>
                <w:rFonts w:ascii="Arial" w:cs="Arial" w:eastAsia="Arial" w:hAnsi="Arial"/>
                <w:sz w:val="14"/>
                <w:szCs w:val="14"/>
                <w:b w:val="1"/>
                <w:bCs w:val="1"/>
                <w:color w:val="auto"/>
                <w:w w:val="92"/>
              </w:rPr>
              <w:t>Total Number of Shares</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204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4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204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r>
        <w:trPr>
          <w:trHeight w:val="186"/>
        </w:trPr>
        <w:tc>
          <w:tcPr>
            <w:tcW w:w="1800" w:type="dxa"/>
            <w:vAlign w:val="bottom"/>
            <w:vMerge w:val="continue"/>
          </w:tcPr>
          <w:p>
            <w:pPr>
              <w:spacing w:after="0"/>
              <w:rPr>
                <w:sz w:val="16"/>
                <w:szCs w:val="16"/>
                <w:color w:val="auto"/>
              </w:rPr>
            </w:pPr>
          </w:p>
        </w:tc>
        <w:tc>
          <w:tcPr>
            <w:tcW w:w="3040" w:type="dxa"/>
            <w:vAlign w:val="bottom"/>
          </w:tcPr>
          <w:p>
            <w:pPr>
              <w:jc w:val="center"/>
              <w:ind w:left="1128"/>
              <w:spacing w:after="0"/>
              <w:rPr>
                <w:sz w:val="20"/>
                <w:szCs w:val="20"/>
                <w:color w:val="auto"/>
              </w:rPr>
            </w:pPr>
            <w:r>
              <w:rPr>
                <w:rFonts w:ascii="Arial" w:cs="Arial" w:eastAsia="Arial" w:hAnsi="Arial"/>
                <w:sz w:val="14"/>
                <w:szCs w:val="14"/>
                <w:b w:val="1"/>
                <w:bCs w:val="1"/>
                <w:color w:val="auto"/>
                <w:w w:val="89"/>
              </w:rPr>
              <w:t>Purchased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4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line="220" w:lineRule="auto"/>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1" w:lineRule="exact"/>
        <w:rPr>
          <w:sz w:val="20"/>
          <w:szCs w:val="20"/>
          <w:color w:val="auto"/>
        </w:rPr>
      </w:pPr>
    </w:p>
    <w:p>
      <w:pPr>
        <w:sectPr>
          <w:pgSz w:w="11900" w:h="16838" w:orient="portrait"/>
          <w:cols w:equalWidth="0" w:num="2">
            <w:col w:w="8880" w:space="240"/>
            <w:col w:w="2120"/>
          </w:cols>
          <w:pgMar w:left="320" w:top="125" w:right="339" w:bottom="1440" w:gutter="0" w:footer="0" w:header="0"/>
        </w:sectPr>
      </w:pPr>
    </w:p>
    <w:tbl>
      <w:tblPr>
        <w:tblLayout w:type="fixed"/>
        <w:tblInd w:w="260" w:type="dxa"/>
        <w:tblCellMar>
          <w:top w:w="0" w:type="dxa"/>
          <w:left w:w="0" w:type="dxa"/>
          <w:bottom w:w="0" w:type="dxa"/>
          <w:right w:w="0" w:type="dxa"/>
        </w:tblCellMar>
      </w:tblPr>
      <w:tr>
        <w:trPr>
          <w:trHeight w:val="22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1/1/2020 - 1/31/2020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22,220,000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2/1/2020 - 2/29/2020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22,070,000</w:t>
            </w: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3/1/2020 - 3/31/2020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18,970,000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4/1/2020 - 4/30/2020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18,570,000</w:t>
            </w: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5/1/2020 - 5/31/2020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18,570,000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6/1/2020 - 6/30/2020</w:t>
            </w:r>
          </w:p>
        </w:tc>
        <w:tc>
          <w:tcPr>
            <w:tcW w:w="10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18,570,000</w:t>
            </w: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7/1/2020 - 7/31/2020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18,570,000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8/1/2020 - 8/31/2020</w:t>
            </w:r>
          </w:p>
        </w:tc>
        <w:tc>
          <w:tcPr>
            <w:tcW w:w="10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18,570,000</w:t>
            </w: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9/1/2020 - 9/30/2020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18,570,000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10/1/2020 - 10/31/2020</w:t>
            </w:r>
          </w:p>
        </w:tc>
        <w:tc>
          <w:tcPr>
            <w:tcW w:w="10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18,570,000</w:t>
            </w: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11/1/2020 - 11/30/2020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16,970,000</w:t>
            </w:r>
          </w:p>
        </w:tc>
      </w:tr>
      <w:tr>
        <w:trPr>
          <w:trHeight w:val="229"/>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12/1/2020 - 12/31/2020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2,200,000</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2,200,000</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14,770,000</w:t>
            </w:r>
          </w:p>
        </w:tc>
      </w:tr>
      <w:tr>
        <w:trPr>
          <w:trHeight w:val="223"/>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7,450,000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980" w:hanging="648"/>
        <w:spacing w:after="0" w:line="277" w:lineRule="auto"/>
        <w:tabs>
          <w:tab w:leader="none" w:pos="7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July 17, 2018, our Board of Directors approved a three-year stock repurchase program effective August 1, 2018. Under the stock repurchase program, we may repurchase up to 25 million shares of our FNF common stock through July 31, 2021.</w:t>
      </w:r>
    </w:p>
    <w:p>
      <w:pPr>
        <w:spacing w:after="0" w:line="35" w:lineRule="exact"/>
        <w:rPr>
          <w:rFonts w:ascii="Arial" w:cs="Arial" w:eastAsia="Arial" w:hAnsi="Arial"/>
          <w:sz w:val="18"/>
          <w:szCs w:val="18"/>
          <w:color w:val="auto"/>
        </w:rPr>
      </w:pPr>
    </w:p>
    <w:p>
      <w:pPr>
        <w:ind w:left="720" w:hanging="38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Annual Report. Certain reclassifications have been made to the prior year amounts to conform with the 2020 presentation.</w:t>
      </w:r>
    </w:p>
    <w:p>
      <w:pPr>
        <w:spacing w:after="0" w:line="6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November 17, 2017 we completed the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results of FNFV are presented as discontinued operations in the following tables.</w:t>
      </w:r>
    </w:p>
    <w:p>
      <w:pPr>
        <w:spacing w:after="0" w:line="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29, 2017 we completed our tax-free distribution to FNF Group shareholders, of all 83.3 million shares of New BKH Corp. ("New BKH") common stock that we previously owned (the “BK Distribution”). The results of Black Knight are presented as discontinued operations in the following tables.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November 17, 2017, our common stock was comprised of two tracking stocks, FNF Group common stock and FNFV Group common stock.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right="13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&amp; other policy reserve changes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20" w:type="dxa"/>
            <w:vAlign w:val="bottom"/>
          </w:tcPr>
          <w:p>
            <w:pPr>
              <w:ind w:left="20"/>
              <w:spacing w:after="0" w:line="156" w:lineRule="exact"/>
              <w:rPr>
                <w:sz w:val="20"/>
                <w:szCs w:val="20"/>
                <w:color w:val="auto"/>
              </w:rPr>
            </w:pPr>
            <w:r>
              <w:rPr>
                <w:rFonts w:ascii="Arial" w:cs="Arial" w:eastAsia="Arial" w:hAnsi="Arial"/>
                <w:sz w:val="18"/>
                <w:szCs w:val="18"/>
                <w:color w:val="auto"/>
                <w:w w:val="94"/>
              </w:rPr>
              <w:t>Earnings before income taxes, equity in earnings of unconsolidated affiliates,</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and noncontrolling interest</w:t>
            </w: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Earnings before equity in earnings of unconsolidated affiliates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Earnings from continuing operations, net of tax</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net of tax</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earnings attributable to FNF common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5540"/>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5"/>
          </w:tcPr>
          <w:p>
            <w:pPr>
              <w:jc w:val="center"/>
              <w:ind w:right="21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rPr>
              <w:t>Basic net earnings per share attributable to FNF Group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91"/>
              <w:spacing w:after="0"/>
              <w:rPr>
                <w:sz w:val="20"/>
                <w:szCs w:val="20"/>
                <w:color w:val="auto"/>
              </w:rPr>
            </w:pPr>
            <w:r>
              <w:rPr>
                <w:rFonts w:ascii="Arial" w:cs="Arial" w:eastAsia="Arial" w:hAnsi="Arial"/>
                <w:sz w:val="18"/>
                <w:szCs w:val="18"/>
                <w:color w:val="auto"/>
              </w:rPr>
              <w:t>5.02</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54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1"/>
              <w:spacing w:after="0"/>
              <w:rPr>
                <w:sz w:val="20"/>
                <w:szCs w:val="20"/>
                <w:color w:val="auto"/>
              </w:rPr>
            </w:pPr>
            <w:r>
              <w:rPr>
                <w:rFonts w:ascii="Arial" w:cs="Arial" w:eastAsia="Arial" w:hAnsi="Arial"/>
                <w:sz w:val="18"/>
                <w:szCs w:val="18"/>
                <w:color w:val="auto"/>
              </w:rPr>
              <w:t>2.30</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1"/>
              <w:spacing w:after="0"/>
              <w:rPr>
                <w:sz w:val="20"/>
                <w:szCs w:val="20"/>
                <w:color w:val="auto"/>
              </w:rPr>
            </w:pPr>
            <w:r>
              <w:rPr>
                <w:rFonts w:ascii="Arial" w:cs="Arial" w:eastAsia="Arial" w:hAnsi="Arial"/>
                <w:sz w:val="18"/>
                <w:szCs w:val="18"/>
                <w:color w:val="auto"/>
              </w:rPr>
              <w:t>2.44</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3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Basic net earnings (loss) per share attributable to FNFV Group common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1.68</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w w:val="99"/>
              </w:rPr>
              <w:t>Diluted net earnings per share attributable to FNF Group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91"/>
              <w:spacing w:after="0"/>
              <w:rPr>
                <w:sz w:val="20"/>
                <w:szCs w:val="20"/>
                <w:color w:val="auto"/>
              </w:rPr>
            </w:pPr>
            <w:r>
              <w:rPr>
                <w:rFonts w:ascii="Arial" w:cs="Arial" w:eastAsia="Arial" w:hAnsi="Arial"/>
                <w:sz w:val="18"/>
                <w:szCs w:val="18"/>
                <w:color w:val="auto"/>
              </w:rPr>
              <w:t>4.99</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54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1"/>
              <w:spacing w:after="0"/>
              <w:rPr>
                <w:sz w:val="20"/>
                <w:szCs w:val="20"/>
                <w:color w:val="auto"/>
              </w:rPr>
            </w:pPr>
            <w:r>
              <w:rPr>
                <w:rFonts w:ascii="Arial" w:cs="Arial" w:eastAsia="Arial" w:hAnsi="Arial"/>
                <w:sz w:val="18"/>
                <w:szCs w:val="18"/>
                <w:color w:val="auto"/>
              </w:rPr>
              <w:t>2.26</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1"/>
              <w:spacing w:after="0"/>
              <w:rPr>
                <w:sz w:val="20"/>
                <w:szCs w:val="20"/>
                <w:color w:val="auto"/>
              </w:rPr>
            </w:pPr>
            <w:r>
              <w:rPr>
                <w:rFonts w:ascii="Arial" w:cs="Arial" w:eastAsia="Arial" w:hAnsi="Arial"/>
                <w:sz w:val="18"/>
                <w:szCs w:val="18"/>
                <w:color w:val="auto"/>
              </w:rPr>
              <w:t>2.38</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3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net earnings (loss) per share attributable to FNFV Group</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1.63</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diluted basis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1.35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1.02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Investments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35,047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4,384</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3,549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3,371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2,719</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50,455</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10,677</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9,301</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9,151</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2,662</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Reserve for title claim losses</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1,623</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1,509</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1,490</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NCI</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8,392</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5,365</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4,628</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4,467</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28.80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18.05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Book value per share FNFV Group (3)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4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2,066</w:t>
            </w:r>
          </w:p>
        </w:tc>
        <w:tc>
          <w:tcPr>
            <w:tcW w:w="54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2,052</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1,315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w w:val="93"/>
              </w:rPr>
              <w:t>Provision for title insurance claim losses as a percent of title insurance</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300" w:type="dxa"/>
            <w:vAlign w:val="bottom"/>
          </w:tcPr>
          <w:p>
            <w:pPr>
              <w:spacing w:after="0"/>
              <w:rPr>
                <w:sz w:val="15"/>
                <w:szCs w:val="15"/>
                <w:color w:val="auto"/>
              </w:rPr>
            </w:pPr>
          </w:p>
        </w:tc>
        <w:tc>
          <w:tcPr>
            <w:tcW w:w="1200" w:type="dxa"/>
            <w:vAlign w:val="bottom"/>
            <w:gridSpan w:val="2"/>
            <w:vMerge w:val="restart"/>
          </w:tcPr>
          <w:p>
            <w:pPr>
              <w:jc w:val="right"/>
              <w:ind w:right="294"/>
              <w:spacing w:after="0"/>
              <w:rPr>
                <w:sz w:val="20"/>
                <w:szCs w:val="20"/>
                <w:color w:val="auto"/>
              </w:rPr>
            </w:pPr>
            <w:r>
              <w:rPr>
                <w:rFonts w:ascii="Arial" w:cs="Arial" w:eastAsia="Arial" w:hAnsi="Arial"/>
                <w:sz w:val="18"/>
                <w:szCs w:val="18"/>
                <w:color w:val="auto"/>
              </w:rPr>
              <w:t>4.5 %</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4.9 %</w:t>
            </w:r>
          </w:p>
        </w:tc>
        <w:tc>
          <w:tcPr>
            <w:tcW w:w="3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premiums (4)</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right="20" w:hanging="328"/>
        <w:spacing w:after="0" w:line="26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as of December 31, 2020, 2019, 2018, 2017, and 2016, include securities pledged to secured trust deposits of $456 million, $422 million, $426 million, $367 million, and $544 million, respectively.</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cash equivalents as of December 31, 2020, 2019, 2018, 2017, and 2016 include cash pledged to secured trust deposits of $270 million, $384 million, $412 million, $475 million, and $331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48"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effects of the release of $97 million of excess reserves in the quarter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7640"/>
        <w:spacing w:after="0"/>
        <w:rPr>
          <w:sz w:val="20"/>
          <w:szCs w:val="20"/>
          <w:color w:val="auto"/>
        </w:rPr>
      </w:pPr>
      <w:r>
        <w:rPr>
          <w:rFonts w:ascii="Arial" w:cs="Arial" w:eastAsia="Arial" w:hAnsi="Arial"/>
          <w:sz w:val="16"/>
          <w:szCs w:val="16"/>
          <w:b w:val="1"/>
          <w:bCs w:val="1"/>
          <w:color w:val="auto"/>
        </w:rPr>
        <w:t>Selected Quarterly Financial Data (Unaudited)</w:t>
      </w:r>
    </w:p>
    <w:p>
      <w:pPr>
        <w:spacing w:after="0" w:line="198" w:lineRule="exact"/>
        <w:rPr>
          <w:sz w:val="20"/>
          <w:szCs w:val="20"/>
          <w:color w:val="auto"/>
        </w:rPr>
      </w:pPr>
    </w:p>
    <w:p>
      <w:pPr>
        <w:jc w:val="right"/>
        <w:ind w:right="7640"/>
        <w:spacing w:after="0"/>
        <w:rPr>
          <w:sz w:val="20"/>
          <w:szCs w:val="20"/>
          <w:color w:val="auto"/>
        </w:rPr>
      </w:pPr>
      <w:r>
        <w:rPr>
          <w:rFonts w:ascii="Arial" w:cs="Arial" w:eastAsia="Arial" w:hAnsi="Arial"/>
          <w:sz w:val="17"/>
          <w:szCs w:val="17"/>
          <w:color w:val="auto"/>
        </w:rPr>
        <w:t>Selected quarterly financial data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1,612</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(Loss) earnings from continuing operations before income taxes, equity in earnings of</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affiliates, and noncontrolling interest</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(loss) earnings attributable to FNF common shareholders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earnings per share attributable to FNF common shareholders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Diluted (loss) earnings per share attributable to FNF common shareholders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per share FNF common stock</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Arial" w:cs="Arial" w:eastAsia="Arial" w:hAnsi="Arial"/>
                <w:sz w:val="18"/>
                <w:szCs w:val="18"/>
                <w:color w:val="auto"/>
                <w:w w:val="99"/>
              </w:rPr>
              <w:t>Earnings from continuing operations before income taxes, equity in earnings of</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5"/>
                <w:szCs w:val="15"/>
                <w:color w:val="auto"/>
              </w:rPr>
            </w:pPr>
          </w:p>
        </w:tc>
        <w:tc>
          <w:tcPr>
            <w:tcW w:w="1140" w:type="dxa"/>
            <w:vAlign w:val="bottom"/>
            <w:vMerge w:val="restart"/>
          </w:tcPr>
          <w:p>
            <w:pPr>
              <w:jc w:val="right"/>
              <w:ind w:right="91"/>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unconsolidated affiliates, and noncontrolling interest</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FNF common shareholders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FNF common shareholders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Dividends paid per share FNF common stock</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877"/>
        </w:trPr>
        <w:tc>
          <w:tcPr>
            <w:tcW w:w="6280" w:type="dxa"/>
            <w:vAlign w:val="bottom"/>
          </w:tcPr>
          <w:p>
            <w:pPr>
              <w:ind w:left="55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F&amp;G</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1, 2020, we completed the acquisition of F&amp;G for approximately $2.7 billion pursuant to the Agreement and Plan of Merger, dated February 7, 2020, as amended (the "Merger Agreement").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our acquisition of F&amp;G refer to Note B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that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cannot predict the severity and duration of the negative impacts related to the outbreak of COVID-19, the most recent forecast of the MBA, as of February 19, 2021, estimated (actual for fiscal year 2019) the size of the U.S. residential mortgage originations market as shown in the following table for 2019 - 2023 in its "Mortgage Finance Forecast" (in trillions):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 transactions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20, 2021, the MBA expects residential purchase transactions to steadily increase in 2021 and beyond from 2020 levels. Additionally the MBA expects residential refinance transactions to steadily decrease in 2021 and beyond as interest rates are expected to rise. The MBA expects overall mortgage originations to decrease in 2021 and thereafter.</w:t>
      </w:r>
    </w:p>
    <w:p>
      <w:pPr>
        <w:spacing w:after="0" w:line="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Through the year ended December 31, 2020, mortgage interest rates continued to decline to below 3.0%. Concerns over a slowing global economy and the impact of a prolonged trade war, now combined with the worldwide COVID-19 pandemic, have resulted in significant uncertainty in the economic outlook. However, existing-home sales climbed month-over-month and year-over-year between September 2020 and December 2020, showing strong signs of a market turnaround after three consecutive months of sales declines caused primarily by the ongoing pandemic, according to the National Association of Realtors.</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economic indicators used to measure the health of the U.S. economy, including the unemployment rate and consumer confidence, indicated that the U.S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as of December 31, 2020, the unemployment rate had risen to 6.7%. Additionally, the Conference Board's monthly Consumer Confidence Index remained at high levels through February 2020 before falling as a result of the COVID-19 outbreak. As of December 31, 2020, the Consumer Confidence Index had fallen by 33% from its February 2020 highs.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2019, total originations were reflective of a strong residential real estate market driven by increasing home prices and low mortgage interest rates. Concerns over a slowing global economy and the impact of a prolonged trade war resulted in interest rate cuts in the second half of the year, which significantly increased refinance transactions and slightly increased purchase transactions when compared to 2018. Additionally, existing home sales increased in each quarter of 2019. Average interest rates on 30-year fixed rate mortgages, averaged 4.4% in the first quarter of 2019 but subsequently decreased in the following three quarters to an average of 3.7% in the fourth quarter of 2019.</w:t>
      </w:r>
    </w:p>
    <w:p>
      <w:pPr>
        <w:spacing w:after="0" w:line="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experienced strong demand in commercial real estate markets and from 2015 through 2019, we experienced historically high volumes and fee-per-file in our commercial business. In 2020, we have experienced decreases in commercial volumes and commercial fee-per-file as a result of the outbreak of COVID-19. While COVID-19 will likely have an impact on the timing and volume of commercial real estate transactions in the short term as the logistics of transactions evolve and some buyers move to the sidelines until the pandemic is resolved, we believe that refinance activity will likely remain elevated in response to the recent Federal rate cuts.</w:t>
      </w:r>
    </w:p>
    <w:p>
      <w:pPr>
        <w:spacing w:after="0" w:line="20" w:lineRule="exact"/>
        <w:rPr>
          <w:sz w:val="20"/>
          <w:szCs w:val="20"/>
          <w:color w:val="auto"/>
        </w:rPr>
      </w:pPr>
    </w:p>
    <w:p>
      <w:pPr>
        <w:jc w:val="both"/>
        <w:ind w:right="20" w:firstLine="324"/>
        <w:spacing w:after="0" w:line="231" w:lineRule="auto"/>
        <w:rPr>
          <w:sz w:val="20"/>
          <w:szCs w:val="20"/>
          <w:color w:val="auto"/>
        </w:rPr>
      </w:pPr>
      <w:r>
        <w:rPr>
          <w:rFonts w:ascii="Arial" w:cs="Arial" w:eastAsia="Arial" w:hAnsi="Arial"/>
          <w:sz w:val="18"/>
          <w:szCs w:val="18"/>
          <w:color w:val="auto"/>
        </w:rPr>
        <w:t>We cannot be certain how the outbreak of COVID-19 and the steps taken to attempt to mitigate its spread will impact our future results of operations. 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 of this Annual Report for further discussion of risk factors related to COVID-19.</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fluctuations in the real estate industry. The first calendar quarter 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deviated from historical patterns due to COVID-19. We have noted short-term fluctuations through recent years in resale and refinance transactions as a result of changes in interest rates.</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Geographic Operations. </w:t>
      </w:r>
      <w:r>
        <w:rPr>
          <w:rFonts w:ascii="Arial" w:cs="Arial" w:eastAsia="Arial" w:hAnsi="Arial"/>
          <w:sz w:val="16"/>
          <w:szCs w:val="16"/>
          <w:color w:val="auto"/>
        </w:rPr>
        <w:t>Our direct title operations are divided into approximately 180 profit centers. Each profit center processes title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within its geographical area, which is usually identified by a county, a group of counties forming a region, or a state, depending on the management structure in that part of the country. We also transact title insurance business through a network of approximately 5,400 agents, primarily in those areas in which agents are the more prevalent title insurance provider. Substantially all of our revenues are generated in the United States.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93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4"/>
                <w:szCs w:val="14"/>
                <w:b w:val="1"/>
                <w:bCs w:val="1"/>
                <w:color w:val="auto"/>
                <w:w w:val="89"/>
              </w:rPr>
              <w:t>2018</w:t>
            </w:r>
          </w:p>
        </w:tc>
      </w:tr>
      <w:tr>
        <w:trPr>
          <w:trHeight w:val="183"/>
        </w:trPr>
        <w:tc>
          <w:tcPr>
            <w:tcW w:w="3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w:t>
            </w:r>
          </w:p>
        </w:tc>
      </w:tr>
      <w:tr>
        <w:trPr>
          <w:trHeight w:val="183"/>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w:t>
            </w:r>
          </w:p>
        </w:tc>
        <w:tc>
          <w:tcPr>
            <w:tcW w:w="1340" w:type="dxa"/>
            <w:vAlign w:val="bottom"/>
            <w:gridSpan w:val="3"/>
          </w:tcPr>
          <w:p>
            <w:pPr>
              <w:jc w:val="right"/>
              <w:ind w:right="130"/>
              <w:spacing w:after="0"/>
              <w:rPr>
                <w:sz w:val="20"/>
                <w:szCs w:val="20"/>
                <w:color w:val="auto"/>
              </w:rPr>
            </w:pPr>
            <w:r>
              <w:rPr>
                <w:rFonts w:ascii="Arial" w:cs="Arial" w:eastAsia="Arial" w:hAnsi="Arial"/>
                <w:sz w:val="18"/>
                <w:szCs w:val="18"/>
                <w:color w:val="auto"/>
              </w:rPr>
              <w:t>14.4</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Illinois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340" w:type="dxa"/>
            <w:vAlign w:val="bottom"/>
            <w:gridSpan w:val="3"/>
          </w:tcPr>
          <w:p>
            <w:pPr>
              <w:jc w:val="right"/>
              <w:ind w:right="130"/>
              <w:spacing w:after="0"/>
              <w:rPr>
                <w:sz w:val="20"/>
                <w:szCs w:val="20"/>
                <w:color w:val="auto"/>
              </w:rPr>
            </w:pPr>
            <w:r>
              <w:rPr>
                <w:rFonts w:ascii="Arial" w:cs="Arial" w:eastAsia="Arial" w:hAnsi="Arial"/>
                <w:sz w:val="18"/>
                <w:szCs w:val="18"/>
                <w:color w:val="auto"/>
              </w:rPr>
              <w:t>5.5</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All others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2,768</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2,510</w:t>
            </w:r>
          </w:p>
        </w:tc>
        <w:tc>
          <w:tcPr>
            <w:tcW w:w="1340" w:type="dxa"/>
            <w:vAlign w:val="bottom"/>
            <w:gridSpan w:val="3"/>
          </w:tcPr>
          <w:p>
            <w:pPr>
              <w:jc w:val="right"/>
              <w:ind w:right="130"/>
              <w:spacing w:after="0"/>
              <w:rPr>
                <w:sz w:val="20"/>
                <w:szCs w:val="20"/>
                <w:color w:val="auto"/>
              </w:rPr>
            </w:pPr>
            <w:r>
              <w:rPr>
                <w:rFonts w:ascii="Arial" w:cs="Arial" w:eastAsia="Arial" w:hAnsi="Arial"/>
                <w:sz w:val="18"/>
                <w:szCs w:val="18"/>
                <w:color w:val="auto"/>
              </w:rPr>
              <w:t>51.1</w:t>
            </w:r>
          </w:p>
        </w:tc>
      </w:tr>
      <w:tr>
        <w:trPr>
          <w:trHeight w:val="248"/>
        </w:trPr>
        <w:tc>
          <w:tcPr>
            <w:tcW w:w="3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acquired F&amp;G on June 1, 2020. 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While continuously evolving, the COVID-19 pandemic has caused significant economic and financial turmoil in the U.S. and around the world, and has fueled concerns that it will lead to a global recession. These conditions may continue or worsen in the near term. At this time, it is not possible to estimate the longer term-effects the COVID-19 pandemic could have on our F&amp;G segment or our consolidated financial statements. Increased economic uncertainty and increased unemployment resulting from the economic impacts of the spread of COVID-19 may result in F&amp;G policyholders seeking sources of liquidity and withdrawing at rates greater than was previously expected. If policyholder lapse and surrender rates significantly exceed expectations, it could have an adverse effect on our F&amp;G segment's, financial condition, results of operations, liquidity and cash flows. Such events or conditions could also have an adverse effect on its sales of new policies. F&amp;G is monitoring the impact of COVID-19 on its investment portfolio and the potential for ratings changes caused by the sudden slowdown of economic activity. The extent to which the COVID-19 pandemic impacts our F&amp;G segment's, results of operations, financial condition, liquidity or prospects will depend on future developments which cannot be predicted.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this Annual Report for further discussion of risk factors that could affect market conditions.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Environment</w:t>
      </w:r>
    </w:p>
    <w:p>
      <w:pPr>
        <w:spacing w:after="0" w:line="117"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Some of our products include guaranteed minimum crediting rates, most notably our fixed rate annuities. As of December 31, 2020, the Company's reserves, net of reinsurance, and average crediting rate on our fixed rate annuities were $4.0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4" w:lineRule="exact"/>
        <w:rPr>
          <w:sz w:val="20"/>
          <w:szCs w:val="20"/>
          <w:color w:val="auto"/>
        </w:rPr>
      </w:pPr>
    </w:p>
    <w:p>
      <w:pPr>
        <w:ind w:left="340" w:right="1880"/>
        <w:spacing w:after="0" w:line="367" w:lineRule="auto"/>
        <w:rPr>
          <w:sz w:val="20"/>
          <w:szCs w:val="20"/>
          <w:color w:val="auto"/>
        </w:rPr>
      </w:pPr>
      <w:r>
        <w:rPr>
          <w:rFonts w:ascii="Arial" w:cs="Arial" w:eastAsia="Arial" w:hAnsi="Arial"/>
          <w:sz w:val="18"/>
          <w:szCs w:val="18"/>
          <w:color w:val="auto"/>
        </w:rPr>
        <w:t xml:space="preserve">See “Item 7A. Quantitative and Qualitative Disclosure about Market Risk” for a more detailed discussion of interest rate risk. </w:t>
      </w:r>
      <w:r>
        <w:rPr>
          <w:rFonts w:ascii="Arial" w:cs="Arial" w:eastAsia="Arial" w:hAnsi="Arial"/>
          <w:sz w:val="18"/>
          <w:szCs w:val="18"/>
          <w:b w:val="1"/>
          <w:bCs w:val="1"/>
          <w:i w:val="1"/>
          <w:iCs w:val="1"/>
          <w:color w:val="auto"/>
        </w:rPr>
        <w:t>Aging of the U.S. Population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Factors and Trends Affecting Our Results of Operations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Demographics and macroeconomic factors are increasing the demand for our FIA and IUL products. Over 10,000 people will turn 65 each day in the United States over the next 15 years, and according to the U.S. Census Bureau, the proportion of the U.S. population over the age of 65 is expected to grow from 17% in 2020 to 21% in 2035.</w:t>
      </w:r>
    </w:p>
    <w:p>
      <w:pPr>
        <w:spacing w:after="0" w:line="4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 to appreciate the “sleep at night protection” that annuities such as our FIA products afford. Accordingly, the FIA market grew from nearly $12 billion of sales in 2002 to $73 billion of sales in 2019. Additionally, this market demand has positively impacted the IUL market as it has expanded from $100 million of annual premiums in 2002 to $4 billion of annual premiums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Arial" w:cs="Arial" w:eastAsia="Arial" w:hAnsi="Arial"/>
          <w:sz w:val="18"/>
          <w:szCs w:val="18"/>
          <w:i w:val="1"/>
          <w:iCs w:val="1"/>
          <w:color w:val="auto"/>
        </w:rPr>
        <w:t>Business and Summary of Significant Accounting Policies</w:t>
      </w:r>
      <w:r>
        <w:rPr>
          <w:rFonts w:ascii="Arial" w:cs="Arial" w:eastAsia="Arial" w:hAnsi="Arial"/>
          <w:sz w:val="18"/>
          <w:szCs w:val="18"/>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2020</w:t>
            </w: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r>
      <w:tr>
        <w:trPr>
          <w:trHeight w:val="186"/>
        </w:trPr>
        <w:tc>
          <w:tcPr>
            <w:tcW w:w="5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32"/>
        </w:trPr>
        <w:tc>
          <w:tcPr>
            <w:tcW w:w="5440" w:type="dxa"/>
            <w:vAlign w:val="bottom"/>
          </w:tcPr>
          <w:p>
            <w:pPr>
              <w:ind w:left="2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88.3</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subtracting actual paid claims, resulting in an amount that management then compares to the range of reasonable estimates provided by the actuarial calculation.</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recorded our loss provision rate at 4.5% for the year ended December 31, 2020. Our average loss provision rate was 4.5% for the years ended December 31, 2020, 2019 and 2018. Of such annual loss provision rates, 4.5%, for each of the years ended December 31, 2020, 2019 and 2018, respectively, related to losses on policies written in the current year, and the remainder, if any related to developments on prior year policies. The provision rate in 2020, 2019, and 2018 is supported by stability in payments for prior policy years, and qualitative factors that would indicate consistency, including consistency in lender underwriting standards, extension of credit to quality borrowers, a high proportion of refinance activity, better claims expense management, better mechanic’s lien underwriting practices, and better fraud awareness by lenders, title insurers and settlement agents.</w:t>
      </w:r>
    </w:p>
    <w:p>
      <w:pPr>
        <w:spacing w:after="0" w:line="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Change in reinsurance recoverable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loss provision related to:</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title claim loss provision</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Title premiums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6,298</w:t>
            </w:r>
          </w:p>
        </w:tc>
        <w:tc>
          <w:tcPr>
            <w:tcW w:w="12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5,342</w:t>
            </w:r>
          </w:p>
        </w:tc>
        <w:tc>
          <w:tcPr>
            <w:tcW w:w="100" w:type="dxa"/>
            <w:vAlign w:val="bottom"/>
          </w:tcPr>
          <w:p>
            <w:pPr>
              <w:spacing w:after="0"/>
              <w:rPr>
                <w:sz w:val="17"/>
                <w:szCs w:val="17"/>
                <w:color w:val="auto"/>
              </w:rPr>
            </w:pPr>
          </w:p>
        </w:tc>
        <w:tc>
          <w:tcPr>
            <w:tcW w:w="240" w:type="dxa"/>
            <w:vAlign w:val="bottom"/>
          </w:tcPr>
          <w:p>
            <w:pPr>
              <w:jc w:val="right"/>
              <w:ind w:right="30"/>
              <w:spacing w:after="0" w:line="204"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419"/>
        </w:trPr>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59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title insurance claim losses as a percentage of title insurance premiums: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Prior years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provision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3880"/>
          </w:cols>
          <w:pgMar w:left="320" w:top="125"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consist of loss payments and claims management expenses offset by recoupments and were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Claims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Management</w:t>
            </w: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Recoupments</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Payments</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and 2019, our recorded reserves were $1,623 million and $1,509 million, respectively, which we determined were reasonable and represented our best estimate and these recorded amounts were within a reasonable range of the central estimates provided by our actuaries. Our recorded reserves were $62 million above the mid-point of the provided range of $1.4 billion to $1.8 billion of our actuarial estimates as of December 31, 2020. Our recorded reserves were $34 million above the mid-point of the provided range of our actuarial estimates of $1.3 billion to $1.7 billion as of December 31, 2019.</w:t>
      </w:r>
    </w:p>
    <w:p>
      <w:pPr>
        <w:spacing w:after="0" w:line="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During 2020, 2019, and 2018, payment patterns were consistent with our actuaries' and management's expectations. Also, compared to prior years we have seen a leveling off of the ultimate loss ratios in more mature policy years, particularly 2005-2008. While we still see claims opened on these policy years, the proportion of our claims inventory represented by these policy years has continued to decrease. Additionally, we continued to see positive development relating to the 2009 through 2020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11,800 claims at December 31, 2019 to approximately 10,700 claims at December 31, 2020.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approximate $63 million increase (decrease) in our annualized provision for title claim losses would occur if our loss provision rate were 1% higher (lower), based on 2020 title premiums of $6,298 million. A 10% increase (decrease) in our reserve for title claim losses, as of December 31, 2020, would result in an increase (decrease) in our provision for title claim losses of approximately $162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 for Future Policy Benefits and Product Guarantees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determination of future policy benefit reserves is dependent on actuarial assumptions. The principal assumptions used to establish liabilities for future policy benefits are based on our experience. These assumptions are established at issue of the contract and include mortality, morbidity, contract full and partial surrenders, investment returns, annuitization rates and expenses. The assumptions used require considerable judgment. We review overall policyholder experience at least annually and update these assumptions when deemed necessary based on additional information that becomes available. For traditional life and immediate annuity products, assumptions used in the reserve calculation can only be changed if the reserve is deemed to be insufficient. For all other insurance products, changes in assumptions will be used to calculate reserves. These changes in assumptions will also incorporate changes in risk free rates and option market values. Changes in, or deviations from, the assumptions previously used can significantly affect our reserve levels and related results of operations.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Mortality is the incidence of death amongst policyholders triggering the payment of underlying insurance coverage by the insurer. In addition, mortality also refers to the ceasing of payments on life-contingent annuities due to the death of the annuitant. We utilize a combination of actual and industry experience when setting our mortality assumptions.</w:t>
      </w:r>
    </w:p>
    <w:p>
      <w:pPr>
        <w:spacing w:after="0" w:line="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 surrender rate is the percentage of account value surrendered by the policyholder. A lapse rate is the percentage of account value canceled by us due to nonpayment of premiums. We make estimates of expected full and partial surrenders of our fixed annuity products. Our surrender rate experience in the period ended December 31, 2020 on the fixed annuity products averaged 4%, which is within our assumed ranges. Management’s best estimate of surrender behavior incorporates actual experience over the entire period, as we believe that, over the duration of the policies, we will experience the full range of policyholder behavior and market conditions. If actual surrender rates are significantly different from those assumed, such differences could have a significant effect on our reserve levels and related results of operations.</w:t>
      </w:r>
    </w:p>
    <w:p>
      <w:pPr>
        <w:spacing w:after="0" w:line="4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assumptions used to establish the liabilities for our product guarantees require considerable judgment and are established as management’s best estimate of future outcomes. We periodically review these assumptions and, if necessary, update them based on additional information that becomes available. Changes in or deviations from the assumptions used can significantly affect our reserve levels and related results of operations.</w:t>
      </w:r>
    </w:p>
    <w:p>
      <w:pPr>
        <w:spacing w:after="0" w:line="1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At issue, and at each subsequent valuation, we determine the present value of the cost of the GMWB rider benefits and certain GMDB riders in excess of benefits that are funded by the account value. We also calculate the present value of total expected policy assessments, including investment margins, if applicable. We accumulate a reserve equal to the portion of these assessments that would be required to fund the future benefits less benefits paid to date. In making these projections, a number of assumptions are made and we update these assumptions as experience emerges, and determined necessary. We began issuing our GMWB products in 2008, and future experience could lead to significant changes in our assumptions. If emerging experience deviates from our assumptions on GMWB utilizations, such deviations could have a significant effect on our reserve levels and related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aggregate reserves for contractholder funds, future policy benefits and product guarantees on a direct and net basis as of December 31, 2020 are summarized as follows: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Direct</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Reinsurance</w:t>
            </w:r>
          </w:p>
        </w:tc>
        <w:tc>
          <w:tcPr>
            <w:tcW w:w="320" w:type="dxa"/>
            <w:vAlign w:val="bottom"/>
          </w:tcPr>
          <w:p>
            <w:pPr>
              <w:spacing w:after="0"/>
              <w:rPr>
                <w:sz w:val="14"/>
                <w:szCs w:val="14"/>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7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Recoverable</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indexed annuities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Fixed rate annuities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annuities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Universal life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Traditional life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FIA and UL products contain an embedded derivative; a feature that permits the holder to elect an interest rate return or an equity-index linked component, where interest credited to the contract is linked to the performance of various equity indices. The FIA embedded derivative is valued at fair value and included in the liability for contractholder funds in our Consolidated Balance Sheets with changes in fair value included as a component of Benefits and other changes in policy reserves in our Consolidated Statements of Earnings.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Fixed Maturity, Preferred and Equity Securities, and Derivatives and Reinsurance Recoverable.</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fixed maturity securities have been designated as available-for-sale and are carried at fair value, net of allowance for expected credit losses, with unrealized gains and losses included in AOCI, net of associated adjustments for DAC, VOBA, DSI, UREV, SOP 03-1 reserves, and deferred income taxes. Our equity securities are carried at fair value with unrealized gains and losses included in net income (loss). Realized gains and losses on the sale of investments are determined on the basis of the cost of the specific investments sold and are credited or charged to income on a trade date basis.</w:t>
      </w:r>
    </w:p>
    <w:p>
      <w:pPr>
        <w:spacing w:after="0" w:line="2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Consolidated Financial Statements included in Item 8 of Part II of this Annual Report.</w:t>
      </w:r>
    </w:p>
    <w:p>
      <w:pPr>
        <w:spacing w:after="0" w:line="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The fair value of derivative assets and liabilities is based upon valuation pricing models and represents what we would expect to receive or pay at the balance sheet date if we canceled the options, entered into offsetting positions, or exercised the options. Fair values for these instruments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at the balance sheet date represents the cumulative unsettled variation margin (open trade equity net of cash settlements). The fair values of the embedded derivatives in our FIA contracts are derived using market value of options, use of current and budgeted option cost, swap rates, mortality rates, surrender rates, partial withdrawals, and non-performance spread and are classified as Level 3. The discount rate used to determine the fair value of our FIA embedded derivative liabilities includes an adjustment to reflect the risk that these obligations will not be fulfilled (“non-performance risk”). For the period ended December 31, 2020, our non-performance risk adjustment was based on the expected loss due to default in debt obligations for similarly rated financial companies. See Note D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of Financial Instruments </w:t>
      </w:r>
      <w:r>
        <w:rPr>
          <w:rFonts w:ascii="Arial" w:cs="Arial" w:eastAsia="Arial" w:hAnsi="Arial"/>
          <w:sz w:val="17"/>
          <w:szCs w:val="17"/>
          <w:color w:val="auto"/>
        </w:rPr>
        <w:t>and Note F</w:t>
      </w:r>
      <w:r>
        <w:rPr>
          <w:rFonts w:ascii="Arial" w:cs="Arial" w:eastAsia="Arial" w:hAnsi="Arial"/>
          <w:sz w:val="17"/>
          <w:szCs w:val="17"/>
          <w:i w:val="1"/>
          <w:iCs w:val="1"/>
          <w:color w:val="auto"/>
        </w:rPr>
        <w:t xml:space="preserve"> Derivative Financial Instruments </w:t>
      </w:r>
      <w:r>
        <w:rPr>
          <w:rFonts w:ascii="Arial" w:cs="Arial" w:eastAsia="Arial" w:hAnsi="Arial"/>
          <w:sz w:val="17"/>
          <w:szCs w:val="17"/>
          <w:color w:val="auto"/>
        </w:rPr>
        <w:t>to our Consolidated Financial Statements included in Item 8 of Part II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w:t>
      </w:r>
    </w:p>
    <w:p>
      <w:pPr>
        <w:spacing w:after="0" w:line="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discussed in Note P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of our Consolidated Financial Statements included in Item 8 of Part II of this Report, FGL Insurance entered into a reinsurance agreement with Kubera effective December 31, 2018, to cede certain multi-year guaranteed annuities ("MYGA") and deferred annuity statutory reserve on a coinsurance funds withheld basis, net of applicable existing reinsurance. Fair value movements in the funds withheld balances associated with this arrangement create an obligation for FGL Insurance to pay Kubera at a later date, which results in an embedded derivative. This embedded derivative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 reinsurance related embedded derivative is reported in Accounts payable and accrued liabilities on the Consolidated Balance Sheets and the related gains or losses are reported in Recognized gains and losses, net on the Consolidated Statements of Earnings.</w:t>
      </w:r>
    </w:p>
    <w:p>
      <w:pPr>
        <w:spacing w:after="0" w:line="5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and hierarchy level as of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1"/>
                <w:szCs w:val="11"/>
                <w:color w:val="auto"/>
              </w:rPr>
            </w:pPr>
          </w:p>
        </w:tc>
        <w:tc>
          <w:tcPr>
            <w:tcW w:w="15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400" w:type="dxa"/>
            <w:vAlign w:val="bottom"/>
          </w:tcPr>
          <w:p>
            <w:pPr>
              <w:spacing w:after="0"/>
              <w:rPr>
                <w:sz w:val="11"/>
                <w:szCs w:val="11"/>
                <w:color w:val="auto"/>
              </w:rPr>
            </w:pPr>
          </w:p>
        </w:tc>
        <w:tc>
          <w:tcPr>
            <w:tcW w:w="128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Identical Assets</w:t>
            </w: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5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6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Fixed maturity securities available-for-sale and equity</w:t>
            </w:r>
          </w:p>
        </w:tc>
        <w:tc>
          <w:tcPr>
            <w:tcW w:w="2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Prices via third party pricing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24,883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27,873</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Priced via independent broker quotations</w:t>
            </w:r>
          </w:p>
        </w:tc>
        <w:tc>
          <w:tcPr>
            <w:tcW w:w="20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Priced via other methods</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color w:val="auto"/>
              </w:rPr>
              <w:t>24,883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29,973</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Total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have made acquisitions that have resulted in a significant amount of goodwill. As of December 31, 2020 and 2019, goodwill was $4,495 million and $2,727 million, respectively. The majority of our goodwill as of December 31, 2020 relates to goodwill recorded in connection with the Chicago Title merger in 2000, our acquisition of ServiceLink in 2014 and our acquisition of F&amp;G in 2020. Refer to Note N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to our Consolidated Financial Statements included in Item 8 of Part II of this Annual Report for a summary of recent changes in our Goodwill balance.</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As a result of our analysis, $3 million of goodwill impairment related to a real estate brokerage subsidiary in our Corporate and other segment was recorded in the year ended December 31, 2018. For the years ended December 31, 2020 and 2019, we determined there were no events or circumstances that indicated that the carrying value exceeded the fair value. As of December 31, 2020, we have determined that our title segment goodwill has a fair value, which substantially exceeds its carrying value. On June 1, 2020 we acquired our F&amp;G segment, resulting in additional goodwill of $1,751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VOBA, DAC and DSI</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intangible assets include an intangible asset reflecting the value of insurance and reinsurance contracts acquired (VOBA), DAC, and DSI.</w:t>
      </w:r>
    </w:p>
    <w:p>
      <w:pPr>
        <w:spacing w:after="0" w:line="10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w:t>
      </w:r>
    </w:p>
    <w:p>
      <w:pPr>
        <w:spacing w:after="0" w:line="4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DAC consists principally of commissions. Additionally, acquisition costs that are incremental, direct costs of successful contract acquisition are capitalized as DAC. Indirect or unsuccessful acquisition costs, maintenance, product development and overhead expenses are charged to expense as incurred. DSI consists of contract enhancements such as premium and interest bonuses credited to policyholder account balances.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DAC, DSI, and VOBA are subject to loss recognition testing on a quarterly basis or when an event occurs that may warrant loss recognition.</w:t>
      </w:r>
    </w:p>
    <w:p>
      <w:pPr>
        <w:spacing w:after="0" w:line="10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For annuity and IUL products, DAC, DSI and VOBA are generally being amortized in proportion to estimated gross profits from net investment spread margins, surrender charges and other product fees, policy benefits, maintenance expenses, mortality, and recognized gains and losses on investments. Current and future period gross profits for FIA contracts also include the impact of amounts recorded for the change in fair value of derivatives and the change in fair value of embedded derivatives. At each valuation date, the most recent quarter’s estimated gross profits are updated with actual gross profits and the assumptions underlying future estimated gross profits are evaluated for continued reasonableness. If the update of assumptions causes estimated gross profits to increase, DAC, DSI and VOBA amortization will decrease, resulting in lower amortization expense in the period. The opposite result occurs when the assumption update causes estimated gross profits to decrease. Current period amortization is adjusted retrospectively through an unlocking process when estimates of current or future gross profits (including the impact of recognized investment gains and losses) to be realized from a group of products are revised. Our estimates of future gross profits are based on actuarial assumptions related to the underlying policies’ terms, lives of the policies, duration of contract, yield on investments supporting the liabilities, cost to fund policy obligations, and level of expenses necessary to maintain the polices over their entire lives.</w:t>
      </w:r>
    </w:p>
    <w:p>
      <w:pPr>
        <w:spacing w:after="0" w:line="4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Changes in assumptions can have a significant impact on DAC, DSI and VOBA, amortization rates and results of operations. Assumptions are management’s best estimate of future outcomes, and require considerable judgment. We periodically review assumptions against actual experience, and update our assumptions based on historical results and our best estimates of future experience when additional information becomes available.</w:t>
      </w:r>
    </w:p>
    <w:p>
      <w:pPr>
        <w:spacing w:after="0" w:line="30" w:lineRule="exact"/>
        <w:rPr>
          <w:sz w:val="20"/>
          <w:szCs w:val="20"/>
          <w:color w:val="auto"/>
        </w:rPr>
      </w:pPr>
    </w:p>
    <w:p>
      <w:pPr>
        <w:jc w:val="both"/>
        <w:ind w:firstLine="184"/>
        <w:spacing w:after="0" w:line="275" w:lineRule="auto"/>
        <w:rPr>
          <w:sz w:val="20"/>
          <w:szCs w:val="20"/>
          <w:color w:val="auto"/>
        </w:rPr>
      </w:pPr>
      <w:r>
        <w:rPr>
          <w:rFonts w:ascii="Arial" w:cs="Arial" w:eastAsia="Arial" w:hAnsi="Arial"/>
          <w:sz w:val="17"/>
          <w:szCs w:val="17"/>
          <w:color w:val="auto"/>
        </w:rPr>
        <w:t>Estimated future gross profits are sensitive to changes in interest rates, which are the most significant component of gross profits. Assumptions related to interest rate spreads and credit losses also impact estimated gross profits for products with credited rates. These assumptions are based on the current investment portfolio yields and credit quality, estimated future crediting rates, capital markets, and estimates of future interest rates and defaults. Significant assumptions also include policyholder behavior assumptions, such as surrender, lapse, and annuitization rates. We use a combination of actual and industry experience when setting and updating our policyholder behavior assumptions.</w:t>
      </w:r>
    </w:p>
    <w:p>
      <w:pPr>
        <w:spacing w:after="0" w:line="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perform sensitivity analyses to assess the impact that certain assumptions have on DAC, DSI and VOBA. The following table presents the estimated instantaneous net impact to income before income taxes of various assumption changes on our DAC, DSI and VOBA. The effects, increase or (decrease), presented are not representative of the aggregate impacts that could result if a combination of such changes to interest rates and other assumptions occurred.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As of December 31, 2020</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change to the long-term interest rate assumption of -50 basis points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A change to the long-term interest rate assumption of +50 basis points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 assumed 10% increase in surrender rate</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Assumptions regarding shifts in market factors may be overly simplistic and not indicative of actual market behavior in stress scenarios.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Lower assumed interest rates or higher assumed annuity surrender rates tend to decrease the balances of DAC, DSI and VOBA, thus decreasing income before income taxes. Higher assumed interest rates or lower assumed annuity surrender rates tend to increase the balances of DAC, DSI and VOBA, thus increasing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other intangible assets, not including goodwill, VOBA, DAC or DSI that consist primarily of customer relationships and contracts, the value of distribution network acquired ("VODA"), trademarks and tradenames, state licenses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Contractual relationships are generally amortized over their contractual life. VODA is an intangible asset that represents the value of an existing distribution network and is amortized using the sum of years digits method. Trademarks and tradenames are generally amortized over ten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recorded no impairment expense to other intangible assets during the years ended December 31, 2020 and 2019. We recorded $3 million in impairment expense to other intangible assets during the year ended December 31, 2018. The impairment in 2018 primarily relates to an acquired customer relationship asset in our Title segment.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V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183"/>
        </w:trPr>
        <w:tc>
          <w:tcPr>
            <w:tcW w:w="7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Escrow, title-related and other fees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2,615</w:t>
            </w: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gains and losses, net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other changes in policy reserves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5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revenues increased by $2,309 million in 2020 compared to 2019, primarily attributable to increases in both direct and agency premiums, increases in escrow title-related and other fees and increases in interest and investment income and recognized gains on our investment holdings. Total revenue in 2019 increased $875 million compared to 2018, primarily attributable to increases in both our direct and agency premiums, increases in interest and investment income, and non-cash valuation gains on our equity and preferred investment holdings, partially offset by a decrease in escrow, title-related and other fees.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Note L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our Consolidated Financial Statements included in Item 8 of Part II of this Annual Report for a breakout of our consolidated revenues.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earnings from continuing operations increased by $401 million in 2020 compared to 2019, and increased by $441 million in 2019 compared to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was $900 million, $225 million, and $177 million for the years ended December 31, 2020, 2019, and 2018, respectively. The increase in 2020 as compared to 2019 is primarily attributable to the addition of our F&amp;G segment, partially offset by decreased interest income from lower average balances of cash and cash equivalents and short term investments, and lower investment yields as a result of declining interest rates year-over-year. The increase in 2019 as compared to 2018 is primarily attributable to increased fixed maturity interest income due to an increased average fixed maturity portfolio balance, increased interest income from our tax-deferred property exchange business,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increased interest income from a higher average balance of cash and cash equivalents and short term investments portfolio balance compared to the prior year, partially offset by lower investment yields as a result of declining interest rates year-over-year. The effective return on average invested assets, excluding realized gains and losses, was 4.1%, 5.5%, and 5.1% for the years ended December 31, 2020, 2019, and 2018, respectively.</w:t>
      </w:r>
    </w:p>
    <w:p>
      <w:pPr>
        <w:spacing w:after="0" w:line="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Recognized gains and (losses), net totaled $488 million, $318 million, and $(109) million for the years ended December 31, 2020, 2019, and 2018, respectively. Recognized gains and (losses), net for the year ended December 31, 2020 are primarily attributable to non-cash valuation gains on equity and preferred security holdings of $208 million, realized gains on derivatives of $192 million, gains on sales of fixed maturity, preferred and equity securities of $148 million, losses on other assets of $25 million and losses on mortgage loans of $32 million. Recognized gains and losses, net for the year ended December 31, 2019 are primarily attributable to non-cash valuation gains on equity and preferred security holdings of $316 million, non-cash valuation gains on other long-term investments of $11 million, gains on sales of equity securities of $10 million, partially offset by impairments of lease assets of $8 million, net realized losses of $5 million on sales and maturities of fixed maturity investment securities, and $7 million of other net realized losses. Recognized gains and losses, net for the year ended December 31, 2018 are primarily attributable to non-cash valuation losses on equity and preferred security holdings of $95 million, losses on sales of equity securities of $21 million, and asset impairments of $7 million, partially offset by net realized gains of $3 million on sales and maturities of preferred and fixed maturity investment securities and $9 million of other realized gains.</w:t>
      </w:r>
    </w:p>
    <w:p>
      <w:pPr>
        <w:spacing w:after="0" w:line="6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Consolidated Financial Statements included in Item 8 of Part II of this Annual Report for a breakout of our consolidated interest and investment income and realized gains and losses.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Agent commissions represent the portion of premiums retained by our third-party agents pursuant to the terms of their respective agency contracts.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Income tax expense was $322 million, $308 million,and $120 million for the years ended December 31, 2020, 2019, and 2018 respectively. Income tax expense as a percentage of earnings before income taxes was 18.0%, 22.5%, and 16.0% in the years ended December 31, 2020, 2019, and 2018 respectively. The decrease in income tax expense as a percentage of earnings before taxes in 2020 when compared to 2019 is primarily attributable to valuation allowance releases and the tax status change recorded by F&amp;G in 2020. The increase in income tax expense as a percentage of earnings before taxes in 2019 when compared to 2018 is primarily attributable to the residual impacts of the Tax Cuts and Jobs Act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our Title segment for the years indicated: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title insurance premiums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156"/>
        </w:trPr>
        <w:tc>
          <w:tcPr>
            <w:tcW w:w="7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Earnings from continuing operations, before income taxes and equity in earnings of unconsolidated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affiliates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2,950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2,066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Fee per file (in 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revenues for the Title segment increased by $1,115 million, or 14%, in the year ended December 31, 2020 when compared to 2019. Total revenues increased by $1,084 million or 15% in the year ended December 31, 2019 when compared to 2018. The increase in the year ended December 31, 2020 as compared to 2019 is primarily attributable to increases in both our direct and agency premiums, and increases in escrow, title-related and other fees, partially offset by decreases in interest and investment income, and non-cash valuation gains on our equity and preferred investment holdings. The increase in the year ended December 31, 2019 as compared to 2018 is primarily attributable to increases in both our direct and agency premiums, increases in escrow, title-related and other fees, increases in interest and investment income, and non-cash valuation gains on our equity and preferred investment holdings.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1800"/>
        <w:spacing w:after="0" w:line="325" w:lineRule="auto"/>
        <w:rPr>
          <w:sz w:val="20"/>
          <w:szCs w:val="20"/>
          <w:color w:val="auto"/>
        </w:rPr>
      </w:pPr>
      <w:r>
        <w:rPr>
          <w:rFonts w:ascii="Arial" w:cs="Arial" w:eastAsia="Arial" w:hAnsi="Arial"/>
          <w:sz w:val="16"/>
          <w:szCs w:val="16"/>
          <w:color w:val="auto"/>
        </w:rPr>
        <w:t>Title premiums from direct operations Title premiums from agency operations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title premiums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89"/>
              </w:rPr>
              <w:t>2018</w:t>
            </w:r>
          </w:p>
        </w:tc>
      </w:tr>
      <w:tr>
        <w:trPr>
          <w:trHeight w:val="183"/>
        </w:trPr>
        <w:tc>
          <w:tcPr>
            <w:tcW w:w="140" w:type="dxa"/>
            <w:vAlign w:val="bottom"/>
          </w:tcPr>
          <w:p>
            <w:pPr>
              <w:spacing w:after="0"/>
              <w:rPr>
                <w:sz w:val="15"/>
                <w:szCs w:val="15"/>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w:t>
            </w:r>
          </w:p>
        </w:tc>
      </w:tr>
      <w:tr>
        <w:trPr>
          <w:trHeight w:val="181"/>
        </w:trPr>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200"/>
              <w:spacing w:after="0"/>
              <w:rPr>
                <w:sz w:val="20"/>
                <w:szCs w:val="20"/>
                <w:color w:val="auto"/>
              </w:rPr>
            </w:pPr>
            <w:r>
              <w:rPr>
                <w:rFonts w:ascii="Arial" w:cs="Arial" w:eastAsia="Arial" w:hAnsi="Arial"/>
                <w:sz w:val="18"/>
                <w:szCs w:val="18"/>
                <w:color w:val="auto"/>
                <w:w w:val="93"/>
              </w:rPr>
              <w:t>2,381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45.2 %</w:t>
            </w:r>
          </w:p>
        </w:tc>
      </w:tr>
      <w:tr>
        <w:trPr>
          <w:trHeight w:val="230"/>
        </w:trPr>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w w:val="93"/>
              </w:rPr>
              <w:t>2,961</w:t>
            </w:r>
          </w:p>
        </w:tc>
        <w:tc>
          <w:tcPr>
            <w:tcW w:w="1100" w:type="dxa"/>
            <w:vAlign w:val="bottom"/>
            <w:gridSpan w:val="3"/>
          </w:tcPr>
          <w:p>
            <w:pPr>
              <w:jc w:val="right"/>
              <w:ind w:right="1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2,690</w:t>
            </w:r>
          </w:p>
        </w:tc>
        <w:tc>
          <w:tcPr>
            <w:tcW w:w="1100" w:type="dxa"/>
            <w:vAlign w:val="bottom"/>
            <w:gridSpan w:val="3"/>
          </w:tcPr>
          <w:p>
            <w:pPr>
              <w:jc w:val="right"/>
              <w:ind w:right="130"/>
              <w:spacing w:after="0"/>
              <w:rPr>
                <w:sz w:val="20"/>
                <w:szCs w:val="20"/>
                <w:color w:val="auto"/>
              </w:rPr>
            </w:pPr>
            <w:r>
              <w:rPr>
                <w:rFonts w:ascii="Arial" w:cs="Arial" w:eastAsia="Arial" w:hAnsi="Arial"/>
                <w:sz w:val="18"/>
                <w:szCs w:val="18"/>
                <w:color w:val="auto"/>
              </w:rPr>
              <w:t>54.8</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3"/>
              </w:rPr>
              <w:t>5,342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-479425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-187960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25" w:right="339" w:bottom="1440" w:gutter="0" w:footer="0" w:header="0"/>
          <w:type w:val="continuous"/>
        </w:sect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premiums increased by 18% in the year ended December 31, 2020 as compared to 2019. The increase is comprised of an increase in Title premiums from direct operations of $318 million, or 13%, and an increase in Title premiums from agency operations of $638 million, or 22%. Title premiums increased 9% in the year ended December 31, 2019 as compared to 2018. The increase was a result of an increase in premiums from direct operations of $160 million, or 7%, and an increase in premiums from agency operations of $271 million, or 10%.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060" w:type="dxa"/>
            <w:vAlign w:val="bottom"/>
            <w:tcBorders>
              <w:bottom w:val="single" w:sz="8" w:color="auto"/>
            </w:tcBorders>
            <w:gridSpan w:val="5"/>
          </w:tcPr>
          <w:p>
            <w:pPr>
              <w:ind w:left="124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6"/>
        </w:trPr>
        <w:tc>
          <w:tcPr>
            <w:tcW w:w="7100" w:type="dxa"/>
            <w:vAlign w:val="bottom"/>
          </w:tcPr>
          <w:p>
            <w:pPr>
              <w:spacing w:after="0"/>
              <w:rPr>
                <w:sz w:val="16"/>
                <w:szCs w:val="16"/>
                <w:color w:val="auto"/>
              </w:rPr>
            </w:pPr>
          </w:p>
        </w:tc>
        <w:tc>
          <w:tcPr>
            <w:tcW w:w="13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Opened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68.5 %</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Opened title insurance orders from refinance transactions (1)</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31.5</w:t>
            </w:r>
          </w:p>
        </w:tc>
      </w:tr>
      <w:tr>
        <w:trPr>
          <w:trHeight w:val="223"/>
        </w:trPr>
        <w:tc>
          <w:tcPr>
            <w:tcW w:w="7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Closed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68.2 %</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 title insurance orders from refinance transactions (1)</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31.8</w:t>
            </w:r>
          </w:p>
        </w:tc>
      </w:tr>
      <w:tr>
        <w:trPr>
          <w:trHeight w:val="223"/>
        </w:trPr>
        <w:tc>
          <w:tcPr>
            <w:tcW w:w="7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7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Title premiums from direct operations increased in the year ended December 31, 2020 as compared to 2019. The increase is primarily attributable to an increase in total closed order volume, driven by an increase in refinance order volume, partially offset by a decline in total fee per file. Title premiums from direct operations increased in 2019, primarily due to an increase in closed order volumes, partially offset by a decrease in the average fee per file. The residential refinance market has considerably lower fees per closed order than commercial or residential purchase transactions.</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experienced an increase in closed title insurance order volumes from purchase transactions and refinance transactions in the year ended December 31, 2020 as compared to 2019. Total closed order volumes were 2,052,000 in the year ended December 31, 2020 compared to 1,448,000 in the year ended December 31, 2019, an overall increase of 41.7%. The increase in refinance transactions in the 2020 is primarily due to lower average interest rates when compared to 2019. Closed order volumes were 1,448,000 in the year ended December 31, 2019 compared with 1,315,000 in the year ended December 31, 2018, an increase of 10.1%. The increase in closed order volumes was primarily attributable to increased residential refinance activity as a result of lower mortgage interest rates in the year ended December 31, 2019 compared to 2018.</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opened title insurance order volumes increased in the year ended December 31, 2020, as compared to 2019. The increase in the year ended 2020 was attributable to increased opened title orders from purchase and refinance transactions.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average fee per file in our direct operations was $2,067 in the year ended December 31, 2020, compared to $2,511 in the year ended December 31, 2019. The decrease in average fee per file in 2020 as compared to 2019 reflects an increased proportion of refinance transactions relative to total closed orders and a weaker commercial market compared to the corresponding prior year period.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The average fee per file in our direct operations in the year ended December 31, 2018 was $2,585. The decrease in the year ended 2019 as compared to 2018 reflects the increase in residential refinance activity in 2018, partially offset by an increase in the average fee per file in both commercial and residential purchase transactions.</w:t>
      </w:r>
    </w:p>
    <w:p>
      <w:pPr>
        <w:spacing w:after="0" w:line="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Title premiums from agency operations increased $638 million, or 22%, in the year ended December 31, 2020 as compared to 2019, and increased $271 million, or 10%, in the year ended December 31, 2019 as compared to 2018. The current trends in the agency business reflect an improving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5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Escrow, title-related and other fees increased by $393 million, or 16%, in the year ended December 31, 2020 as compared to 2019, and increased by $185 million, or 8%, in the year ended December 31, 2019 as compared to 2018. Escrow fees, which are more closely related to our direct operations, increased by $271 million, or 30%, in the year ended December 31, 2020, as compared to 2019, and increased $72 million, or 9%, in the year ended December 31, 2019 as compared to 2018 . The increases in the year ended December 31, 2020 as compared to 2019 is primarily due to stronger residential refinance revenue, which has relatively higher escrow fees than residential purchase and commercial transactions. The increase in the year ended December 31, 2019 as compared to 2018 is primarily driven by the related increase in direct title premiums. Other fees in the Title segment, excluding escrow fees, increased by $122 million, or 8%, in the year ended December 31, 2020 as compared to 2019,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increased $113 million, or 8%, in the year ended December 31, 2019 compared to 2018. The increase in Other fees in the year ended December 31, 2020 as compared to 2019 was primarily driven by an increase in revenue related to our ServiceLink business in addition to increases in various individually immaterial items. The change in both escrow fees and other fees is directionally consistent with the change in title premiums from direct operations.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decreased $51 million, or 25%, in the year ended December 31, 2020, as compared to 2019, and increased $32 million in the year ended December 31, 2019 as compared to 2018. The decrease in the year ended December 31, 2020 as compared to 2019 was primarily driven by a decline in interest income related to the Company's tax-deferred property exchange business and a decline in interest on cash and short-term investments, due to a decline in short-term rates in 2020 as compared to 2019. The increase in the year ended December 31, 2019 as compared to 2018 was primarily attributable to increased fixed maturity interest income due to an increased average fixed maturity portfolio balance, increased interest income from our tax-deferred property exchange business, and increased yield on our cash and cash equivalents and short term investments.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Recognized gains and losses, net, decreased $183 million in the year ended December 31, 2020 as compared to 2019, and increased $436 million in the year ended December 31, 2019 as compared to 2018. The decrease in the year ended December 31, 2020 as compared to 2019, and the increase in the year ended December 31, 2019 as compared to 2018 are primarily attributable to fluctuations in non-cash valuation changes on our equity and preferred security holdings in addition to various other individually immaterial items.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$216 million, or 8%, in the year ended December 31, 2020, as compared to 2019, and increased $118 million, or 5% in the year ended December 31, 2019 as compared to 2018. The increases in the year ended December 31, 2020 as compared to 2019, and the year ended December 31, 2019 as compared to 2018 are primarily attributable to increased commissions driven by the increases in year-over-year closed title order volumes. Personnel costs as a percentage of total revenues from direct title premiums and escrow, title-related and other fees were 51%, 54% and 55% for the years ended December 31, 2020, 2019 and 2018, respectively. Average employee count in the Title segment was 24,638, 23,484 and 23, 165 in the years ended December 31, 2020, 2019 and 2018, respectively.</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increased by $27 million, or 2%, in the year ended December 31, 2020 as compared to 2019, and increased $88 million, or 6%, in the year ended December 31, 2019 compared to 2018. Other operating expenses as a percentage of total revenue excluding agency premiums, interest and investment income, and recognized gains and losses were 28%, 32% and 32% in the years ended December 31, 2020, 2019 and 2018, respectively.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w w:val="89"/>
              </w:rPr>
              <w:t>2018</w:t>
            </w:r>
          </w:p>
        </w:tc>
      </w:tr>
      <w:tr>
        <w:trPr>
          <w:trHeight w:val="187"/>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w:t>
            </w:r>
          </w:p>
        </w:tc>
      </w:tr>
      <w:tr>
        <w:trPr>
          <w:trHeight w:val="183"/>
        </w:trPr>
        <w:tc>
          <w:tcPr>
            <w:tcW w:w="49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1"/>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Agent commissions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2,258</w:t>
            </w:r>
          </w:p>
        </w:tc>
        <w:tc>
          <w:tcPr>
            <w:tcW w:w="1160" w:type="dxa"/>
            <w:vAlign w:val="bottom"/>
            <w:gridSpan w:val="3"/>
          </w:tcPr>
          <w:p>
            <w:pPr>
              <w:jc w:val="right"/>
              <w:ind w:right="1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2,059</w:t>
            </w:r>
          </w:p>
        </w:tc>
        <w:tc>
          <w:tcPr>
            <w:tcW w:w="1140" w:type="dxa"/>
            <w:vAlign w:val="bottom"/>
            <w:gridSpan w:val="3"/>
          </w:tcPr>
          <w:p>
            <w:pPr>
              <w:jc w:val="right"/>
              <w:ind w:right="150"/>
              <w:spacing w:after="0"/>
              <w:rPr>
                <w:sz w:val="20"/>
                <w:szCs w:val="20"/>
                <w:color w:val="auto"/>
              </w:rPr>
            </w:pPr>
            <w:r>
              <w:rPr>
                <w:rFonts w:ascii="Arial" w:cs="Arial" w:eastAsia="Arial" w:hAnsi="Arial"/>
                <w:sz w:val="18"/>
                <w:szCs w:val="18"/>
                <w:color w:val="auto"/>
              </w:rPr>
              <w:t>76.5</w:t>
            </w:r>
          </w:p>
        </w:tc>
      </w:tr>
      <w:tr>
        <w:trPr>
          <w:trHeight w:val="248"/>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retained agent premiums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claim loss provision for title insurance was $283 million, $240 million, and $221 million for the years ended December 31, 2020, 2019, and 2018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FIAs provide for pre-retirement wealth accumulation and post-retirement income management. Our IUL products provide wealth protection and transfer opportunities. Life and annuity products are primarily distributed through Independent Marketing Organizations ("IMOs") and independent insurance agents, and beginning in 2020, independent broker dealers and banks.</w:t>
      </w:r>
    </w:p>
    <w:p>
      <w:pPr>
        <w:spacing w:after="0" w:line="4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Annuity and Life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Annuity and IUL sales are recorded as deposit liabilities (i.e. contractholder funds) within the Company's Consolidated Financial Statements included in Item 8 of Part II of this Annual Report in accordance with GAAP.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Historical Results of Operations</w:t>
      </w:r>
    </w:p>
    <w:p>
      <w:pPr>
        <w:spacing w:after="0" w:line="14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Under U.S. GAAP, premium collections for fixed indexed annuities, fixed rate annuities, and immediate annuities without life contingency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Through our insurance subsidiaries, we issue a broad portfolio of deferred annuities (fixed indexed and fixed rate annuities), indexed universal life insurance and immediate annuities.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5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recorded as part of the change in fair value of derivatives, and are largely offset by an expense for index credits earned on annuity contractholder fund balances.</w:t>
      </w:r>
    </w:p>
    <w:p>
      <w:pPr>
        <w:spacing w:after="0" w:line="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FIAs or IULs. We analyze returns on average assets under management ("AAUM" - see Non-GAAP Financial Measures section) pre-and post-DAC, DSI and VOBA as well as pre- and post-tax to measure our profitability in terms of growth and improved earnings.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if a comparable GAAP measure exists, are included herein.</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Net Earnings is a non-GAAP economic measure we use to evaluate financial performance each period. Adjusted net earnings is calculated by adjusting net earnings (loss) from continuing operations to eliminate:</w:t>
      </w:r>
    </w:p>
    <w:p>
      <w:pPr>
        <w:spacing w:after="0" w:line="35" w:lineRule="exact"/>
        <w:rPr>
          <w:sz w:val="20"/>
          <w:szCs w:val="20"/>
          <w:color w:val="auto"/>
        </w:rPr>
      </w:pPr>
    </w:p>
    <w:p>
      <w:pPr>
        <w:jc w:val="both"/>
        <w:ind w:left="260" w:hanging="9"/>
        <w:spacing w:after="0" w:line="255" w:lineRule="auto"/>
        <w:tabs>
          <w:tab w:leader="none" w:pos="4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 w:lineRule="exact"/>
        <w:rPr>
          <w:rFonts w:ascii="Arial" w:cs="Arial" w:eastAsia="Arial" w:hAnsi="Arial"/>
          <w:sz w:val="18"/>
          <w:szCs w:val="18"/>
          <w:color w:val="auto"/>
        </w:rPr>
      </w:pPr>
    </w:p>
    <w:p>
      <w:pPr>
        <w:ind w:left="220"/>
        <w:spacing w:after="0" w:line="265" w:lineRule="auto"/>
        <w:rPr>
          <w:rFonts w:ascii="Arial" w:cs="Arial" w:eastAsia="Arial" w:hAnsi="Arial"/>
          <w:sz w:val="18"/>
          <w:szCs w:val="18"/>
          <w:color w:val="auto"/>
        </w:rPr>
      </w:pPr>
      <w:r>
        <w:rPr>
          <w:rFonts w:ascii="Arial" w:cs="Arial" w:eastAsia="Arial" w:hAnsi="Arial"/>
          <w:sz w:val="17"/>
          <w:szCs w:val="17"/>
          <w:color w:val="auto"/>
        </w:rPr>
        <w:t>(ii) Indexed product related derivatives: the impacts related to changes in the fair value, including both realized and unrealized gains and losses, of index product related derivatives and embedded derivatives, net of hedging cost, and the fair value accounting impact of assumed reinsurance,</w:t>
      </w:r>
    </w:p>
    <w:p>
      <w:pPr>
        <w:ind w:left="220"/>
        <w:spacing w:after="0" w:line="250" w:lineRule="auto"/>
        <w:rPr>
          <w:rFonts w:ascii="Arial" w:cs="Arial" w:eastAsia="Arial" w:hAnsi="Arial"/>
          <w:sz w:val="18"/>
          <w:szCs w:val="18"/>
          <w:color w:val="auto"/>
        </w:rPr>
      </w:pPr>
      <w:r>
        <w:rPr>
          <w:rFonts w:ascii="Arial" w:cs="Arial" w:eastAsia="Arial" w:hAnsi="Arial"/>
          <w:sz w:val="18"/>
          <w:szCs w:val="18"/>
          <w:color w:val="auto"/>
        </w:rPr>
        <w:t>(iii) Purchase price amortization: the impacts related to the amortization of certain intangibles (internally developed software, trademarks and value of distribution asset (VODA)) recognized as a result of acquisition activities, and</w:t>
      </w:r>
    </w:p>
    <w:p>
      <w:pPr>
        <w:ind w:left="220"/>
        <w:spacing w:after="0"/>
        <w:rPr>
          <w:rFonts w:ascii="Arial" w:cs="Arial" w:eastAsia="Arial" w:hAnsi="Arial"/>
          <w:sz w:val="18"/>
          <w:szCs w:val="18"/>
          <w:color w:val="auto"/>
        </w:rPr>
      </w:pPr>
      <w:r>
        <w:rPr>
          <w:rFonts w:ascii="Arial" w:cs="Arial" w:eastAsia="Arial" w:hAnsi="Arial"/>
          <w:sz w:val="18"/>
          <w:szCs w:val="18"/>
          <w:color w:val="auto"/>
        </w:rPr>
        <w:t>(iv) Transaction costs: the impacts related to acquisition, integration and merger related items.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Adjusted Net Earnings should not be used as a substitute for net earnings (loss). However, we believe the adjustments made to net earnings (loss) in order to derive adjusted net earnings provide an understanding of our overall results of operations. 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3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related derivatives, embedded derivatives and hedging costs has been removed from net earnings (loss) in calculating adjusted net earnings.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AAUM is a non-GAAP measure we use to assess the rate of return on assets available for reinvestment. AAUM is calculated as the sum of:</w:t>
      </w:r>
    </w:p>
    <w:p>
      <w:pPr>
        <w:spacing w:after="0" w:line="102" w:lineRule="exact"/>
        <w:rPr>
          <w:sz w:val="20"/>
          <w:szCs w:val="20"/>
          <w:color w:val="auto"/>
        </w:rPr>
      </w:pPr>
    </w:p>
    <w:p>
      <w:pPr>
        <w:ind w:left="540" w:hanging="208"/>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w:t>
      </w:r>
    </w:p>
    <w:p>
      <w:pPr>
        <w:spacing w:after="0" w:line="90" w:lineRule="exact"/>
        <w:rPr>
          <w:rFonts w:ascii="Arial" w:cs="Arial" w:eastAsia="Arial" w:hAnsi="Arial"/>
          <w:sz w:val="18"/>
          <w:szCs w:val="18"/>
          <w:color w:val="auto"/>
        </w:rPr>
      </w:pPr>
    </w:p>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90" w:lineRule="exact"/>
        <w:rPr>
          <w:rFonts w:ascii="Arial" w:cs="Arial" w:eastAsia="Arial" w:hAnsi="Arial"/>
          <w:sz w:val="18"/>
          <w:szCs w:val="18"/>
          <w:color w:val="auto"/>
        </w:rPr>
      </w:pPr>
    </w:p>
    <w:p>
      <w:pPr>
        <w:ind w:left="340" w:hanging="8"/>
        <w:spacing w:after="0" w:line="277" w:lineRule="auto"/>
        <w:tabs>
          <w:tab w:leader="none" w:pos="6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 at the beginning of the period and the end of each month in the period, divided by the total number of months in the period plus one.</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F&amp;G Results of Operations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results of operations of our F&amp;G segment for the period presented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3"/>
              <w:spacing w:after="0"/>
              <w:rPr>
                <w:sz w:val="20"/>
                <w:szCs w:val="20"/>
                <w:color w:val="auto"/>
              </w:rPr>
            </w:pPr>
            <w:r>
              <w:rPr>
                <w:rFonts w:ascii="Arial" w:cs="Arial" w:eastAsia="Arial" w:hAnsi="Arial"/>
                <w:sz w:val="13"/>
                <w:szCs w:val="13"/>
                <w:b w:val="1"/>
                <w:bCs w:val="1"/>
                <w:color w:val="auto"/>
                <w:w w:val="86"/>
              </w:rPr>
              <w:t>Period from June 1 to</w:t>
            </w:r>
          </w:p>
        </w:tc>
        <w:tc>
          <w:tcPr>
            <w:tcW w:w="0" w:type="dxa"/>
            <w:vAlign w:val="bottom"/>
          </w:tcPr>
          <w:p>
            <w:pPr>
              <w:spacing w:after="0"/>
              <w:rPr>
                <w:sz w:val="1"/>
                <w:szCs w:val="1"/>
                <w:color w:val="auto"/>
              </w:rPr>
            </w:pP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21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40" w:type="dxa"/>
            <w:vAlign w:val="bottom"/>
          </w:tcPr>
          <w:p>
            <w:pPr>
              <w:ind w:left="240"/>
              <w:spacing w:after="0"/>
              <w:rPr>
                <w:sz w:val="20"/>
                <w:szCs w:val="20"/>
                <w:color w:val="auto"/>
              </w:rPr>
            </w:pPr>
            <w:r>
              <w:rPr>
                <w:rFonts w:ascii="Arial" w:cs="Arial" w:eastAsia="Arial" w:hAnsi="Arial"/>
                <w:sz w:val="18"/>
                <w:szCs w:val="18"/>
                <w:color w:val="auto"/>
              </w:rPr>
              <w:t>Life insurance premiums and other fees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Recognized gains and losses, net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Benefits and other changes in policy reserves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9840" w:type="dxa"/>
            <w:vAlign w:val="bottom"/>
          </w:tcPr>
          <w:p>
            <w:pPr>
              <w:ind w:left="240"/>
              <w:spacing w:after="0"/>
              <w:rPr>
                <w:sz w:val="20"/>
                <w:szCs w:val="20"/>
                <w:color w:val="auto"/>
              </w:rPr>
            </w:pPr>
            <w:r>
              <w:rPr>
                <w:rFonts w:ascii="Arial" w:cs="Arial" w:eastAsia="Arial" w:hAnsi="Arial"/>
                <w:sz w:val="18"/>
                <w:szCs w:val="18"/>
                <w:color w:val="auto"/>
              </w:rPr>
              <w:t>Personnel costs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9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98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9840" w:type="dxa"/>
            <w:vAlign w:val="bottom"/>
          </w:tcPr>
          <w:p>
            <w:pPr>
              <w:ind w:left="240"/>
              <w:spacing w:after="0"/>
              <w:rPr>
                <w:sz w:val="20"/>
                <w:szCs w:val="20"/>
                <w:color w:val="auto"/>
              </w:rPr>
            </w:pPr>
            <w:r>
              <w:rPr>
                <w:rFonts w:ascii="Arial" w:cs="Arial" w:eastAsia="Arial" w:hAnsi="Arial"/>
                <w:sz w:val="18"/>
                <w:szCs w:val="18"/>
                <w:color w:val="auto"/>
              </w:rPr>
              <w:t>Federal income tax (expense) benefit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840" w:type="dxa"/>
            <w:vAlign w:val="bottom"/>
          </w:tcPr>
          <w:p>
            <w:pPr>
              <w:ind w:left="40"/>
              <w:spacing w:after="0"/>
              <w:rPr>
                <w:sz w:val="20"/>
                <w:szCs w:val="20"/>
                <w:color w:val="auto"/>
              </w:rPr>
            </w:pPr>
            <w:r>
              <w:rPr>
                <w:rFonts w:ascii="Arial" w:cs="Arial" w:eastAsia="Arial" w:hAnsi="Arial"/>
                <w:sz w:val="18"/>
                <w:szCs w:val="18"/>
                <w:color w:val="auto"/>
              </w:rPr>
              <w:t>Net earnings (loss) attributable to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9840" w:type="dxa"/>
            <w:vAlign w:val="bottom"/>
            <w:vMerge w:val="restart"/>
          </w:tcPr>
          <w:p>
            <w:pPr>
              <w:ind w:left="20"/>
              <w:spacing w:after="0"/>
              <w:rPr>
                <w:sz w:val="20"/>
                <w:szCs w:val="20"/>
                <w:color w:val="auto"/>
              </w:rPr>
            </w:pPr>
            <w:r>
              <w:rPr>
                <w:rFonts w:ascii="Arial" w:cs="Arial" w:eastAsia="Arial" w:hAnsi="Arial"/>
                <w:sz w:val="14"/>
                <w:szCs w:val="14"/>
                <w:color w:val="auto"/>
              </w:rPr>
              <w:t>(a) Included within Escrow, title-related and other fees in Consolidated Statements of Earnings</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9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sales by product type of our F&amp;G segment for the period presented (in millions):</w:t>
      </w:r>
    </w:p>
    <w:p>
      <w:pPr>
        <w:spacing w:after="0" w:line="167" w:lineRule="exact"/>
        <w:rPr>
          <w:sz w:val="20"/>
          <w:szCs w:val="20"/>
          <w:color w:val="auto"/>
        </w:rPr>
      </w:pPr>
    </w:p>
    <w:p>
      <w:pPr>
        <w:jc w:val="center"/>
        <w:ind w:left="9820"/>
        <w:spacing w:after="0"/>
        <w:rPr>
          <w:sz w:val="20"/>
          <w:szCs w:val="20"/>
          <w:color w:val="auto"/>
        </w:rPr>
      </w:pPr>
      <w:r>
        <w:rPr>
          <w:rFonts w:ascii="Arial" w:cs="Arial" w:eastAsia="Arial" w:hAnsi="Arial"/>
          <w:sz w:val="13"/>
          <w:szCs w:val="13"/>
          <w:b w:val="1"/>
          <w:bCs w:val="1"/>
          <w:color w:val="auto"/>
        </w:rPr>
        <w:t>Period from June 1 to</w:t>
      </w:r>
    </w:p>
    <w:p>
      <w:pPr>
        <w:jc w:val="center"/>
        <w:ind w:left="9820"/>
        <w:spacing w:after="0"/>
        <w:rPr>
          <w:sz w:val="20"/>
          <w:szCs w:val="20"/>
          <w:color w:val="auto"/>
        </w:rPr>
      </w:pPr>
      <w:r>
        <w:rPr>
          <w:rFonts w:ascii="Arial" w:cs="Arial" w:eastAsia="Arial" w:hAnsi="Arial"/>
          <w:sz w:val="13"/>
          <w:szCs w:val="13"/>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10795</wp:posOffset>
            </wp:positionV>
            <wp:extent cx="8826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index annuities ("FIA")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Fixed rate annuities ("MYGA")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Institutional spread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annuity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Index universal life ("IUL")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Flow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893" w:hanging="893"/>
        <w:spacing w:after="0"/>
        <w:tabs>
          <w:tab w:leader="none" w:pos="893" w:val="left"/>
        </w:tabs>
        <w:numPr>
          <w:ilvl w:val="0"/>
          <w:numId w:val="37"/>
        </w:numPr>
        <w:rPr>
          <w:rFonts w:ascii="Arial" w:cs="Arial" w:eastAsia="Arial" w:hAnsi="Arial"/>
          <w:sz w:val="15"/>
          <w:szCs w:val="15"/>
          <w:color w:val="auto"/>
        </w:rPr>
      </w:pPr>
      <w:r>
        <w:rPr>
          <w:rFonts w:ascii="Arial" w:cs="Arial" w:eastAsia="Arial" w:hAnsi="Arial"/>
          <w:sz w:val="15"/>
          <w:szCs w:val="15"/>
          <w:color w:val="auto"/>
        </w:rPr>
        <w:t>2,006</w:t>
      </w:r>
    </w:p>
    <w:p>
      <w:pPr>
        <w:spacing w:after="0" w:line="57" w:lineRule="exact"/>
        <w:rPr>
          <w:rFonts w:ascii="Arial" w:cs="Arial" w:eastAsia="Arial" w:hAnsi="Arial"/>
          <w:sz w:val="15"/>
          <w:szCs w:val="15"/>
          <w:color w:val="auto"/>
        </w:rPr>
      </w:pPr>
    </w:p>
    <w:p>
      <w:pPr>
        <w:ind w:left="1033"/>
        <w:spacing w:after="0"/>
        <w:rPr>
          <w:rFonts w:ascii="Arial" w:cs="Arial" w:eastAsia="Arial" w:hAnsi="Arial"/>
          <w:sz w:val="15"/>
          <w:szCs w:val="15"/>
          <w:color w:val="auto"/>
        </w:rPr>
      </w:pPr>
      <w:r>
        <w:rPr>
          <w:rFonts w:ascii="Arial" w:cs="Arial" w:eastAsia="Arial" w:hAnsi="Arial"/>
          <w:sz w:val="15"/>
          <w:szCs w:val="15"/>
          <w:color w:val="auto"/>
        </w:rPr>
        <w:t>629</w:t>
      </w:r>
    </w:p>
    <w:p>
      <w:pPr>
        <w:spacing w:after="0" w:line="57" w:lineRule="exact"/>
        <w:rPr>
          <w:rFonts w:ascii="Arial" w:cs="Arial" w:eastAsia="Arial" w:hAnsi="Arial"/>
          <w:sz w:val="15"/>
          <w:szCs w:val="15"/>
          <w:color w:val="auto"/>
        </w:rPr>
      </w:pPr>
    </w:p>
    <w:p>
      <w:pPr>
        <w:ind w:left="1033"/>
        <w:spacing w:after="0"/>
        <w:rPr>
          <w:rFonts w:ascii="Arial" w:cs="Arial" w:eastAsia="Arial" w:hAnsi="Arial"/>
          <w:sz w:val="15"/>
          <w:szCs w:val="15"/>
          <w:color w:val="auto"/>
        </w:rPr>
      </w:pPr>
      <w:r>
        <w:rPr>
          <w:rFonts w:ascii="Arial" w:cs="Arial" w:eastAsia="Arial" w:hAnsi="Arial"/>
          <w:sz w:val="15"/>
          <w:szCs w:val="15"/>
          <w:color w:val="auto"/>
        </w:rPr>
        <w:t>100</w:t>
      </w:r>
    </w:p>
    <w:p>
      <w:pPr>
        <w:spacing w:after="0" w:line="70" w:lineRule="exact"/>
        <w:rPr>
          <w:sz w:val="20"/>
          <w:szCs w:val="20"/>
          <w:color w:val="auto"/>
        </w:rPr>
      </w:pPr>
    </w:p>
    <w:p>
      <w:pPr>
        <w:ind w:left="893" w:hanging="893"/>
        <w:spacing w:after="0"/>
        <w:tabs>
          <w:tab w:leader="none" w:pos="893" w:val="left"/>
        </w:tabs>
        <w:numPr>
          <w:ilvl w:val="0"/>
          <w:numId w:val="38"/>
        </w:numPr>
        <w:rPr>
          <w:rFonts w:ascii="Arial" w:cs="Arial" w:eastAsia="Arial" w:hAnsi="Arial"/>
          <w:sz w:val="15"/>
          <w:szCs w:val="15"/>
          <w:color w:val="auto"/>
        </w:rPr>
      </w:pPr>
      <w:r>
        <w:rPr>
          <w:rFonts w:ascii="Arial" w:cs="Arial" w:eastAsia="Arial" w:hAnsi="Arial"/>
          <w:sz w:val="15"/>
          <w:szCs w:val="15"/>
          <w:color w:val="auto"/>
        </w:rPr>
        <w:t>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882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40" w:lineRule="exact"/>
        <w:rPr>
          <w:sz w:val="20"/>
          <w:szCs w:val="20"/>
          <w:color w:val="auto"/>
        </w:rPr>
      </w:pPr>
    </w:p>
    <w:p>
      <w:pPr>
        <w:ind w:left="1113" w:hanging="1113"/>
        <w:spacing w:after="0"/>
        <w:tabs>
          <w:tab w:leader="none" w:pos="1113" w:val="left"/>
        </w:tabs>
        <w:numPr>
          <w:ilvl w:val="0"/>
          <w:numId w:val="39"/>
        </w:numPr>
        <w:rPr>
          <w:rFonts w:ascii="Arial" w:cs="Arial" w:eastAsia="Arial" w:hAnsi="Arial"/>
          <w:sz w:val="16"/>
          <w:szCs w:val="16"/>
          <w:color w:val="auto"/>
        </w:rPr>
      </w:pPr>
      <w:r>
        <w:rPr>
          <w:rFonts w:ascii="Arial" w:cs="Arial" w:eastAsia="Arial" w:hAnsi="Arial"/>
          <w:sz w:val="16"/>
          <w:szCs w:val="16"/>
          <w:color w:val="auto"/>
        </w:rPr>
        <w:t>31</w:t>
      </w:r>
    </w:p>
    <w:p>
      <w:pPr>
        <w:spacing w:after="0" w:line="261" w:lineRule="exact"/>
        <w:rPr>
          <w:rFonts w:ascii="Arial" w:cs="Arial" w:eastAsia="Arial" w:hAnsi="Arial"/>
          <w:sz w:val="16"/>
          <w:szCs w:val="16"/>
          <w:color w:val="auto"/>
        </w:rPr>
      </w:pPr>
    </w:p>
    <w:p>
      <w:pPr>
        <w:ind w:left="1033" w:hanging="1033"/>
        <w:spacing w:after="0"/>
        <w:tabs>
          <w:tab w:leader="none" w:pos="1033" w:val="left"/>
        </w:tabs>
        <w:numPr>
          <w:ilvl w:val="0"/>
          <w:numId w:val="39"/>
        </w:numPr>
        <w:rPr>
          <w:rFonts w:ascii="Arial" w:cs="Arial" w:eastAsia="Arial" w:hAnsi="Arial"/>
          <w:sz w:val="15"/>
          <w:szCs w:val="15"/>
          <w:color w:val="auto"/>
        </w:rPr>
      </w:pPr>
      <w:r>
        <w:rPr>
          <w:rFonts w:ascii="Arial" w:cs="Arial" w:eastAsia="Arial" w:hAnsi="Arial"/>
          <w:sz w:val="15"/>
          <w:szCs w:val="15"/>
          <w:color w:val="auto"/>
        </w:rPr>
        <w:t>122</w:t>
      </w:r>
    </w:p>
    <w:p>
      <w:pPr>
        <w:spacing w:after="0" w:line="151" w:lineRule="exact"/>
        <w:rPr>
          <w:sz w:val="20"/>
          <w:szCs w:val="20"/>
          <w:color w:val="auto"/>
        </w:rPr>
      </w:pPr>
    </w:p>
    <w:p>
      <w:pPr>
        <w:sectPr>
          <w:pgSz w:w="11900" w:h="16838" w:orient="portrait"/>
          <w:cols w:equalWidth="0" w:num="2">
            <w:col w:w="9147" w:space="720"/>
            <w:col w:w="1373"/>
          </w:cols>
          <w:pgMar w:left="320" w:top="125" w:right="339" w:bottom="1440" w:gutter="0" w:footer="0" w:header="0"/>
          <w:type w:val="continuous"/>
        </w:sect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FIA sales were strong during the seven months ended December 31, 2020 and reflect disciplined pricing to achieve profit and capital targets.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MYGA sales during the seven months ended December 31, 2020 were driven by the low interest rate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Institutional spread based products reflect funding agreements with Federal Home Loan Bank, under an investment strategy.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premiums and other fees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Life insurance premiums and other fees primarily reflect insurance premiums for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Consolidated Statements of Earnings for the period presented (in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8"/>
              <w:spacing w:after="0"/>
              <w:rPr>
                <w:sz w:val="20"/>
                <w:szCs w:val="20"/>
                <w:color w:val="auto"/>
              </w:rPr>
            </w:pPr>
            <w:r>
              <w:rPr>
                <w:rFonts w:ascii="Arial" w:cs="Arial" w:eastAsia="Arial" w:hAnsi="Arial"/>
                <w:sz w:val="13"/>
                <w:szCs w:val="13"/>
                <w:b w:val="1"/>
                <w:bCs w:val="1"/>
                <w:color w:val="auto"/>
                <w:w w:val="86"/>
              </w:rPr>
              <w:t>Period from June 1 to</w:t>
            </w:r>
          </w:p>
        </w:tc>
      </w:tr>
      <w:tr>
        <w:trPr>
          <w:trHeight w:val="169"/>
        </w:trPr>
        <w:tc>
          <w:tcPr>
            <w:tcW w:w="9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Traditional life insurance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Life-contingent immediate annuity</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Surrender charges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insurance fees and 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Life insurance premiums and other fees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9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Traditional life insurance premiums for the seven months ended December 31, 2020 are primarily related to the return of premium riders on traditional life contracts. FGL Insurance has ceded the majority of its traditional life business to unaffiliated third party reinsurers. While the base contract has been reinsured, we continue to retain the return of rider.</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 annuity premiums for the seven months ended December 31, 2020 reflect policyholder behavior for annuitizations as well as FGL Insurance's reinsurance agreement with Kubera Insurance (SAC) Ltd. ("Kubera").</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of insurance fees and other income for the seven months ended December 31, 2020 primarily reflect GMWB rider fees of $72 million and COI charges on IUL policies of $49 million, partially offset by unearned revenue deferrals. GMWB rider fees are based on the policyholder's benefit base and are collected at the end of the policy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investment income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interest and investment income for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86"/>
              </w:rPr>
              <w:t>Period from June 1 to</w:t>
            </w: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investment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net investment spread and AAUM for the period presented are summarized as follows (annualized)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ind w:right="97"/>
              <w:spacing w:after="0"/>
              <w:rPr>
                <w:sz w:val="20"/>
                <w:szCs w:val="20"/>
                <w:color w:val="auto"/>
              </w:rPr>
            </w:pPr>
            <w:r>
              <w:rPr>
                <w:rFonts w:ascii="Arial" w:cs="Arial" w:eastAsia="Arial" w:hAnsi="Arial"/>
                <w:sz w:val="13"/>
                <w:szCs w:val="13"/>
                <w:b w:val="1"/>
                <w:bCs w:val="1"/>
                <w:color w:val="auto"/>
                <w:w w:val="89"/>
              </w:rPr>
              <w:t>Period from June 1 to</w:t>
            </w:r>
          </w:p>
        </w:tc>
        <w:tc>
          <w:tcPr>
            <w:tcW w:w="0" w:type="dxa"/>
            <w:vAlign w:val="bottom"/>
          </w:tcPr>
          <w:p>
            <w:pPr>
              <w:spacing w:after="0"/>
              <w:rPr>
                <w:sz w:val="1"/>
                <w:szCs w:val="1"/>
                <w:color w:val="auto"/>
              </w:rPr>
            </w:pPr>
          </w:p>
        </w:tc>
      </w:tr>
      <w:tr>
        <w:trPr>
          <w:trHeight w:val="170"/>
        </w:trPr>
        <w:tc>
          <w:tcPr>
            <w:tcW w:w="9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229"/>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Yield on AAUM (at amortized cost)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0" w:type="dxa"/>
            <w:vAlign w:val="bottom"/>
          </w:tcPr>
          <w:p>
            <w:pPr>
              <w:spacing w:after="0"/>
              <w:rPr>
                <w:sz w:val="1"/>
                <w:szCs w:val="1"/>
                <w:color w:val="auto"/>
              </w:rPr>
            </w:pPr>
          </w:p>
        </w:tc>
      </w:tr>
      <w:tr>
        <w:trPr>
          <w:trHeight w:val="22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Alternative investment yield adjustment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23"/>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yield on AAUM</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r>
        <w:trPr>
          <w:trHeight w:val="223"/>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 credited and option cost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8"/>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investment spread</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AAUM</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700" w:type="dxa"/>
            <w:vAlign w:val="bottom"/>
            <w:vMerge w:val="continue"/>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7"/>
              <w:spacing w:after="0" w:line="204" w:lineRule="exact"/>
              <w:rPr>
                <w:sz w:val="20"/>
                <w:szCs w:val="20"/>
                <w:color w:val="auto"/>
              </w:rPr>
            </w:pPr>
            <w:r>
              <w:rPr>
                <w:rFonts w:ascii="Arial" w:cs="Arial" w:eastAsia="Arial" w:hAnsi="Arial"/>
                <w:sz w:val="18"/>
                <w:szCs w:val="18"/>
                <w:color w:val="auto"/>
              </w:rPr>
              <w:t>27,322</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AAUM for the seven months ended December 31, 2020 reflect net new business asset flows.</w:t>
      </w:r>
    </w:p>
    <w:p>
      <w:pPr>
        <w:spacing w:after="0" w:line="130"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$743 million NII for the seven months ended December 31, 2020 was primarily driven by $643 million in fixed maturity securities, $84 million in other investments and $50 million in mortgage loans, partially offset by $(76) million in investment expenses.</w:t>
      </w:r>
    </w:p>
    <w:p>
      <w:pPr>
        <w:spacing w:after="0" w:line="51"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investment spread for the seven month period ended December 31, 2020 is in line with pre-merger historical trends.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Recognized gains and losses, net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recognized gains and losses, net for the period presented (in millions):</w:t>
      </w:r>
    </w:p>
    <w:p>
      <w:pPr>
        <w:spacing w:after="0" w:line="302" w:lineRule="exact"/>
        <w:rPr>
          <w:sz w:val="20"/>
          <w:szCs w:val="20"/>
          <w:color w:val="auto"/>
        </w:rPr>
      </w:pPr>
    </w:p>
    <w:p>
      <w:pPr>
        <w:jc w:val="center"/>
        <w:ind w:left="9840"/>
        <w:spacing w:after="0"/>
        <w:rPr>
          <w:sz w:val="20"/>
          <w:szCs w:val="20"/>
          <w:color w:val="auto"/>
        </w:rPr>
      </w:pPr>
      <w:r>
        <w:rPr>
          <w:rFonts w:ascii="Arial" w:cs="Arial" w:eastAsia="Arial" w:hAnsi="Arial"/>
          <w:sz w:val="10"/>
          <w:szCs w:val="10"/>
          <w:b w:val="1"/>
          <w:bCs w:val="1"/>
          <w:color w:val="auto"/>
        </w:rPr>
        <w:t>Period from June 1 to</w:t>
      </w:r>
    </w:p>
    <w:p>
      <w:pPr>
        <w:spacing w:after="0" w:line="21" w:lineRule="exact"/>
        <w:rPr>
          <w:sz w:val="20"/>
          <w:szCs w:val="20"/>
          <w:color w:val="auto"/>
        </w:rPr>
      </w:pPr>
    </w:p>
    <w:p>
      <w:pPr>
        <w:jc w:val="center"/>
        <w:ind w:left="9840"/>
        <w:spacing w:after="0"/>
        <w:rPr>
          <w:sz w:val="20"/>
          <w:szCs w:val="20"/>
          <w:color w:val="auto"/>
        </w:rPr>
      </w:pPr>
      <w:r>
        <w:rPr>
          <w:rFonts w:ascii="Arial" w:cs="Arial" w:eastAsia="Arial" w:hAnsi="Arial"/>
          <w:sz w:val="13"/>
          <w:szCs w:val="13"/>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right="307"/>
        <w:spacing w:after="0" w:line="266" w:lineRule="auto"/>
        <w:rPr>
          <w:sz w:val="20"/>
          <w:szCs w:val="20"/>
          <w:color w:val="auto"/>
        </w:rPr>
      </w:pPr>
      <w:r>
        <w:rPr>
          <w:rFonts w:ascii="Arial" w:cs="Arial" w:eastAsia="Arial" w:hAnsi="Arial"/>
          <w:sz w:val="18"/>
          <w:szCs w:val="18"/>
          <w:color w:val="auto"/>
        </w:rPr>
        <w:t>Net realized and unrealized gains on fixed maturity available-for-sale securities, equity securities and other invested assets Change in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realized and unrealized gains on certain derivatives instruments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of reinsurance related embedded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of other derivatives and embedded derivatives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33" w:hanging="1033"/>
        <w:spacing w:after="0"/>
        <w:tabs>
          <w:tab w:leader="none" w:pos="10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179</w:t>
      </w:r>
    </w:p>
    <w:p>
      <w:pPr>
        <w:spacing w:after="0" w:line="23" w:lineRule="exact"/>
        <w:rPr>
          <w:rFonts w:ascii="Arial" w:cs="Arial" w:eastAsia="Arial" w:hAnsi="Arial"/>
          <w:sz w:val="18"/>
          <w:szCs w:val="18"/>
          <w:color w:val="auto"/>
        </w:rPr>
      </w:pPr>
    </w:p>
    <w:p>
      <w:pPr>
        <w:ind w:left="1053"/>
        <w:spacing w:after="0"/>
        <w:rPr>
          <w:rFonts w:ascii="Arial" w:cs="Arial" w:eastAsia="Arial" w:hAnsi="Arial"/>
          <w:sz w:val="18"/>
          <w:szCs w:val="18"/>
          <w:color w:val="auto"/>
        </w:rPr>
      </w:pPr>
      <w:r>
        <w:rPr>
          <w:rFonts w:ascii="Arial" w:cs="Arial" w:eastAsia="Arial" w:hAnsi="Arial"/>
          <w:sz w:val="16"/>
          <w:szCs w:val="16"/>
          <w:color w:val="auto"/>
        </w:rPr>
        <w:t>(19)</w:t>
      </w:r>
    </w:p>
    <w:p>
      <w:pPr>
        <w:spacing w:after="0" w:line="45" w:lineRule="exact"/>
        <w:rPr>
          <w:rFonts w:ascii="Arial" w:cs="Arial" w:eastAsia="Arial" w:hAnsi="Arial"/>
          <w:sz w:val="18"/>
          <w:szCs w:val="18"/>
          <w:color w:val="auto"/>
        </w:rPr>
      </w:pPr>
    </w:p>
    <w:p>
      <w:pPr>
        <w:ind w:left="1033"/>
        <w:spacing w:after="0"/>
        <w:rPr>
          <w:rFonts w:ascii="Arial" w:cs="Arial" w:eastAsia="Arial" w:hAnsi="Arial"/>
          <w:sz w:val="18"/>
          <w:szCs w:val="18"/>
          <w:color w:val="auto"/>
        </w:rPr>
      </w:pPr>
      <w:r>
        <w:rPr>
          <w:rFonts w:ascii="Arial" w:cs="Arial" w:eastAsia="Arial" w:hAnsi="Arial"/>
          <w:sz w:val="18"/>
          <w:szCs w:val="18"/>
          <w:color w:val="auto"/>
        </w:rPr>
        <w:t>237</w:t>
      </w:r>
    </w:p>
    <w:p>
      <w:pPr>
        <w:spacing w:after="0" w:line="22" w:lineRule="exact"/>
        <w:rPr>
          <w:rFonts w:ascii="Arial" w:cs="Arial" w:eastAsia="Arial" w:hAnsi="Arial"/>
          <w:sz w:val="18"/>
          <w:szCs w:val="18"/>
          <w:color w:val="auto"/>
        </w:rPr>
      </w:pPr>
    </w:p>
    <w:p>
      <w:pPr>
        <w:ind w:left="1053"/>
        <w:spacing w:after="0"/>
        <w:rPr>
          <w:rFonts w:ascii="Arial" w:cs="Arial" w:eastAsia="Arial" w:hAnsi="Arial"/>
          <w:sz w:val="18"/>
          <w:szCs w:val="18"/>
          <w:color w:val="auto"/>
        </w:rPr>
      </w:pPr>
      <w:r>
        <w:rPr>
          <w:rFonts w:ascii="Arial" w:cs="Arial" w:eastAsia="Arial" w:hAnsi="Arial"/>
          <w:sz w:val="16"/>
          <w:szCs w:val="16"/>
          <w:color w:val="auto"/>
        </w:rPr>
        <w:t>(53)</w:t>
      </w:r>
    </w:p>
    <w:p>
      <w:pPr>
        <w:spacing w:after="0" w:line="45" w:lineRule="exact"/>
        <w:rPr>
          <w:rFonts w:ascii="Arial" w:cs="Arial" w:eastAsia="Arial" w:hAnsi="Arial"/>
          <w:sz w:val="18"/>
          <w:szCs w:val="18"/>
          <w:color w:val="auto"/>
        </w:rPr>
      </w:pPr>
    </w:p>
    <w:p>
      <w:pPr>
        <w:ind w:left="1213"/>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826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5" w:lineRule="exact"/>
        <w:rPr>
          <w:sz w:val="20"/>
          <w:szCs w:val="20"/>
          <w:color w:val="auto"/>
        </w:rPr>
      </w:pPr>
    </w:p>
    <w:p>
      <w:pPr>
        <w:ind w:left="1033" w:hanging="1033"/>
        <w:spacing w:after="0"/>
        <w:tabs>
          <w:tab w:leader="none" w:pos="10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82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82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7" w:space="720"/>
            <w:col w:w="1373"/>
          </w:cols>
          <w:pgMar w:left="320" w:top="125" w:right="339" w:bottom="1440" w:gutter="0" w:footer="0" w:header="0"/>
          <w:type w:val="continuous"/>
        </w:sectPr>
      </w:pPr>
    </w:p>
    <w:p>
      <w:pPr>
        <w:spacing w:after="0" w:line="349"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seven months ended December 31, 2020, net realized gains on fixed maturity available-for-sale securities, equity securities and other invested assets is primarily the result of trading gains and mark-to-market movement on our equity securities.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Allowance for expected credit losses increased during the period, primarily related to residential mortgage loans.</w:t>
      </w:r>
    </w:p>
    <w:p>
      <w:pPr>
        <w:spacing w:after="0" w:line="13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value of reinsurance related embedded derivative is based on the change in fair value of the underlying assets held in the funds withheld ("FWH") portfolio.</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seven months ended December 31, 2020, net realized and unrealized gains on certain derivative instruments primarily relates to the realized and unrealized losses on futures and options used to hedge FIA and IUL products. See the table below for primary drivers of gains (losses) on certain derivatives.</w:t>
      </w:r>
    </w:p>
    <w:p>
      <w:pPr>
        <w:spacing w:after="0" w:line="10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components of the realized and unrealized gains (losses) on certain derivative instruments hedging our indexed annuity and universal life products are summarized in the table below for the period presented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96"/>
              <w:spacing w:after="0"/>
              <w:rPr>
                <w:sz w:val="20"/>
                <w:szCs w:val="20"/>
                <w:color w:val="auto"/>
              </w:rPr>
            </w:pPr>
            <w:r>
              <w:rPr>
                <w:rFonts w:ascii="Arial" w:cs="Arial" w:eastAsia="Arial" w:hAnsi="Arial"/>
                <w:sz w:val="13"/>
                <w:szCs w:val="13"/>
                <w:b w:val="1"/>
                <w:bCs w:val="1"/>
                <w:color w:val="auto"/>
                <w:w w:val="88"/>
              </w:rPr>
              <w:t>Period from June 1 to</w:t>
            </w:r>
          </w:p>
        </w:tc>
      </w:tr>
      <w:tr>
        <w:trPr>
          <w:trHeight w:val="170"/>
        </w:trPr>
        <w:tc>
          <w:tcPr>
            <w:tcW w:w="9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93"/>
              </w:rPr>
              <w:t>December 31, 2020</w:t>
            </w:r>
          </w:p>
        </w:tc>
      </w:tr>
      <w:tr>
        <w:trPr>
          <w:trHeight w:val="21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Options: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9720" w:type="dxa"/>
            <w:vAlign w:val="bottom"/>
          </w:tcPr>
          <w:p>
            <w:pPr>
              <w:ind w:left="220"/>
              <w:spacing w:after="0"/>
              <w:rPr>
                <w:sz w:val="20"/>
                <w:szCs w:val="20"/>
                <w:color w:val="auto"/>
              </w:rPr>
            </w:pPr>
            <w:r>
              <w:rPr>
                <w:rFonts w:ascii="Arial" w:cs="Arial" w:eastAsia="Arial" w:hAnsi="Arial"/>
                <w:sz w:val="18"/>
                <w:szCs w:val="18"/>
                <w:color w:val="auto"/>
              </w:rPr>
              <w:t>Gains on option expiration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62</w:t>
            </w:r>
          </w:p>
        </w:tc>
      </w:tr>
      <w:tr>
        <w:trPr>
          <w:trHeight w:val="230"/>
        </w:trPr>
        <w:tc>
          <w:tcPr>
            <w:tcW w:w="9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unrealized gains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Futures contracts: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9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futures contracts expiration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w:t>
            </w:r>
          </w:p>
        </w:tc>
      </w:tr>
      <w:tr>
        <w:trPr>
          <w:trHeight w:val="230"/>
        </w:trPr>
        <w:tc>
          <w:tcPr>
            <w:tcW w:w="9720" w:type="dxa"/>
            <w:vAlign w:val="bottom"/>
          </w:tcPr>
          <w:p>
            <w:pPr>
              <w:ind w:left="220"/>
              <w:spacing w:after="0"/>
              <w:rPr>
                <w:sz w:val="20"/>
                <w:szCs w:val="20"/>
                <w:color w:val="auto"/>
              </w:rPr>
            </w:pPr>
            <w:r>
              <w:rPr>
                <w:rFonts w:ascii="Arial" w:cs="Arial" w:eastAsia="Arial" w:hAnsi="Arial"/>
                <w:sz w:val="18"/>
                <w:szCs w:val="18"/>
                <w:color w:val="auto"/>
              </w:rPr>
              <w:t>Change in unrealized losses</w:t>
            </w:r>
          </w:p>
        </w:tc>
        <w:tc>
          <w:tcPr>
            <w:tcW w:w="140" w:type="dxa"/>
            <w:vAlign w:val="bottom"/>
          </w:tcPr>
          <w:p>
            <w:pPr>
              <w:spacing w:after="0"/>
              <w:rPr>
                <w:sz w:val="19"/>
                <w:szCs w:val="19"/>
                <w:color w:val="auto"/>
              </w:rPr>
            </w:pP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(6)</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on foreign currency forward</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change in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237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Point-to-Point Change in S&amp;P 500 Index during the period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148" w:lineRule="exact"/>
        <w:rPr>
          <w:sz w:val="20"/>
          <w:szCs w:val="20"/>
          <w:color w:val="auto"/>
        </w:rPr>
      </w:pPr>
    </w:p>
    <w:p>
      <w:pPr>
        <w:jc w:val="both"/>
        <w:ind w:left="660" w:hanging="328"/>
        <w:spacing w:after="0" w:line="311"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the seven months ended December 31, 2020 on options settled during the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unrealized gains and losses due to fair value of call options are primarily driven by the underlying performance of the S&amp;P 500 Index during each respective year relative to the S&amp;P 500 Index on the policyholder buy dates.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net change in fair value of the call options and futures contracts for the seven months ended December 31, 2020 was primarily driven by movements in the S&amp;P 500 Index relative to the policyholder buy dates.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average index credits to policyholders are as follows for the period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3"/>
                <w:szCs w:val="13"/>
                <w:color w:val="auto"/>
              </w:rPr>
            </w:pPr>
          </w:p>
        </w:tc>
        <w:tc>
          <w:tcPr>
            <w:tcW w:w="1520" w:type="dxa"/>
            <w:vAlign w:val="bottom"/>
          </w:tcPr>
          <w:p>
            <w:pPr>
              <w:jc w:val="right"/>
              <w:ind w:right="98"/>
              <w:spacing w:after="0"/>
              <w:rPr>
                <w:sz w:val="20"/>
                <w:szCs w:val="20"/>
                <w:color w:val="auto"/>
              </w:rPr>
            </w:pPr>
            <w:r>
              <w:rPr>
                <w:rFonts w:ascii="Arial" w:cs="Arial" w:eastAsia="Arial" w:hAnsi="Arial"/>
                <w:sz w:val="13"/>
                <w:szCs w:val="13"/>
                <w:b w:val="1"/>
                <w:bCs w:val="1"/>
                <w:color w:val="auto"/>
                <w:w w:val="98"/>
              </w:rPr>
              <w:t>Period from June 1 to</w:t>
            </w:r>
          </w:p>
        </w:tc>
      </w:tr>
      <w:tr>
        <w:trPr>
          <w:trHeight w:val="170"/>
        </w:trPr>
        <w:tc>
          <w:tcPr>
            <w:tcW w:w="97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December 31, 2020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Crediting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520" w:type="dxa"/>
            <w:vAlign w:val="bottom"/>
          </w:tcPr>
          <w:p>
            <w:pPr>
              <w:spacing w:after="0"/>
              <w:rPr>
                <w:sz w:val="19"/>
                <w:szCs w:val="19"/>
                <w:color w:val="auto"/>
              </w:rPr>
            </w:pPr>
          </w:p>
        </w:tc>
      </w:tr>
      <w:tr>
        <w:trPr>
          <w:trHeight w:val="229"/>
        </w:trPr>
        <w:tc>
          <w:tcPr>
            <w:tcW w:w="9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Point-to-point strategy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9720" w:type="dxa"/>
            <w:vAlign w:val="bottom"/>
          </w:tcPr>
          <w:p>
            <w:pPr>
              <w:ind w:left="220"/>
              <w:spacing w:after="0"/>
              <w:rPr>
                <w:sz w:val="20"/>
                <w:szCs w:val="20"/>
                <w:color w:val="auto"/>
              </w:rPr>
            </w:pPr>
            <w:r>
              <w:rPr>
                <w:rFonts w:ascii="Arial" w:cs="Arial" w:eastAsia="Arial" w:hAnsi="Arial"/>
                <w:sz w:val="18"/>
                <w:szCs w:val="18"/>
                <w:color w:val="auto"/>
              </w:rPr>
              <w:t>Monthly average strategy</w:t>
            </w:r>
          </w:p>
        </w:tc>
        <w:tc>
          <w:tcPr>
            <w:tcW w:w="15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9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Monthly point-to-point strategy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720" w:type="dxa"/>
            <w:vAlign w:val="bottom"/>
          </w:tcPr>
          <w:p>
            <w:pPr>
              <w:ind w:left="220"/>
              <w:spacing w:after="0"/>
              <w:rPr>
                <w:sz w:val="20"/>
                <w:szCs w:val="20"/>
                <w:color w:val="auto"/>
              </w:rPr>
            </w:pPr>
            <w:r>
              <w:rPr>
                <w:rFonts w:ascii="Arial" w:cs="Arial" w:eastAsia="Arial" w:hAnsi="Arial"/>
                <w:sz w:val="18"/>
                <w:szCs w:val="18"/>
                <w:color w:val="auto"/>
              </w:rPr>
              <w:t>3 year high water mark</w:t>
            </w:r>
          </w:p>
        </w:tc>
        <w:tc>
          <w:tcPr>
            <w:tcW w:w="152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28" w:lineRule="exact"/>
        <w:rPr>
          <w:sz w:val="20"/>
          <w:szCs w:val="20"/>
          <w:color w:val="auto"/>
        </w:rPr>
      </w:pPr>
    </w:p>
    <w:p>
      <w:pPr>
        <w:ind w:left="660" w:hanging="328"/>
        <w:spacing w:after="0" w:line="342" w:lineRule="auto"/>
        <w:tabs>
          <w:tab w:leader="none" w:pos="6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w:t>
      </w:r>
    </w:p>
    <w:p>
      <w:pPr>
        <w:spacing w:after="0" w:line="42"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credits for the seven months ended December 31, 2020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the major components included in Benefits and other changes in policy reserves for the period presented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18"/>
              <w:spacing w:after="0"/>
              <w:rPr>
                <w:sz w:val="20"/>
                <w:szCs w:val="20"/>
                <w:color w:val="auto"/>
              </w:rPr>
            </w:pPr>
            <w:r>
              <w:rPr>
                <w:rFonts w:ascii="Arial" w:cs="Arial" w:eastAsia="Arial" w:hAnsi="Arial"/>
                <w:sz w:val="13"/>
                <w:szCs w:val="13"/>
                <w:b w:val="1"/>
                <w:bCs w:val="1"/>
                <w:color w:val="auto"/>
                <w:w w:val="86"/>
              </w:rPr>
              <w:t>Period from June 1 to</w:t>
            </w: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FIA embedded derivative impact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Index credits, interest credited &amp; bonuses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Annuity payments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policy benefits and reserve movements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48"/>
        </w:trPr>
        <w:tc>
          <w:tcPr>
            <w:tcW w:w="9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benefits and other changes in policy reserves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660" w:hanging="328"/>
        <w:spacing w:after="0" w:line="296"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FIA fair value option liability increased, driven by the changes in the equity markets, change in non-performance spread, and risk free rates during the period. The change in non-performance spread increased the FIA embedded derivative liability by $205 million during the seven months ended December 31, 2020, partially offset by a $63 million decrease in the liability due to movement of risk-free rates in both periods. The remaining change in the market value of the derivative assets hedging our FIA policies was driven by equity market impacts. See table in the net investment gains/losses discussion above for summary and discussion of net unrealized gains (losses) on certain derivative instruments.</w:t>
      </w:r>
    </w:p>
    <w:p>
      <w:pPr>
        <w:spacing w:after="0" w:line="6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The index credits, interest credited &amp; bonuses were primarily due to index credits on FIA policies. Refer to average policyholder index discussion above for details on drivers.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Personnel Costs and Other Operating Expenses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Personnel Costs and Other Operating Expenses for the period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21"/>
              <w:spacing w:after="0"/>
              <w:rPr>
                <w:sz w:val="20"/>
                <w:szCs w:val="20"/>
                <w:color w:val="auto"/>
              </w:rPr>
            </w:pPr>
            <w:r>
              <w:rPr>
                <w:rFonts w:ascii="Arial" w:cs="Arial" w:eastAsia="Arial" w:hAnsi="Arial"/>
                <w:sz w:val="13"/>
                <w:szCs w:val="13"/>
                <w:b w:val="1"/>
                <w:bCs w:val="1"/>
                <w:color w:val="auto"/>
                <w:w w:val="86"/>
              </w:rPr>
              <w:t>Period from June 1 to</w:t>
            </w: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65</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75</w:t>
            </w:r>
          </w:p>
        </w:tc>
      </w:tr>
      <w:tr>
        <w:trPr>
          <w:trHeight w:val="248"/>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personnel costs and other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Personnel costs for the seven months ended December 31, 2020 primarily reflect employee-related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operating expenses during the period reflect certain operating expenses other than personnel costs and non-deferred acquisition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depreciation and amortization for the period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8"/>
              <w:spacing w:after="0"/>
              <w:rPr>
                <w:sz w:val="20"/>
                <w:szCs w:val="20"/>
                <w:color w:val="auto"/>
              </w:rPr>
            </w:pPr>
            <w:r>
              <w:rPr>
                <w:rFonts w:ascii="Arial" w:cs="Arial" w:eastAsia="Arial" w:hAnsi="Arial"/>
                <w:sz w:val="13"/>
                <w:szCs w:val="13"/>
                <w:b w:val="1"/>
                <w:bCs w:val="1"/>
                <w:color w:val="auto"/>
                <w:w w:val="86"/>
              </w:rPr>
              <w:t>Period from June 1 to</w:t>
            </w: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DAC, VOBA, and DSI</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Unlocking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other intangible assets and other depreciation</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30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Amortization of DAC, VOBA, and DSI is based on current and future expected gross margins (pre-tax operating income before amortization). The amortization for the seven months ended December 31, 2020 is the result of actual gross profits ("AGPs") in the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affecting net earnings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income tax expense (benefit) for the period presented (dollars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98"/>
              <w:spacing w:after="0"/>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9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3"/>
              </w:rPr>
              <w:t>December 31, 2020</w:t>
            </w:r>
          </w:p>
        </w:tc>
        <w:tc>
          <w:tcPr>
            <w:tcW w:w="0" w:type="dxa"/>
            <w:vAlign w:val="bottom"/>
          </w:tcPr>
          <w:p>
            <w:pPr>
              <w:spacing w:after="0"/>
              <w:rPr>
                <w:sz w:val="1"/>
                <w:szCs w:val="1"/>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62"/>
        </w:trPr>
        <w:tc>
          <w:tcPr>
            <w:tcW w:w="9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before valuation allowance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Effective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60" w:right="260" w:hanging="328"/>
        <w:spacing w:after="0" w:line="342" w:lineRule="auto"/>
        <w:tabs>
          <w:tab w:leader="none" w:pos="655"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Income tax benefit for the period ended December 31, 2020 was $75 million. The income tax benefit was primarily driven by various valuation allowance releases as a result of merger activity, partially offset by taxes on income. See "Note V - 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(See Non-GAAP Financial Measures section)</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 below shows the adjustments made to reconcile Net earnings from continuing operations attributable to common shareholders to Adjusted net earnings from continuing operations attributable to common shareholders for the period presented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86"/>
              </w:rPr>
              <w:t>Period from June 1 to</w:t>
            </w:r>
          </w:p>
        </w:tc>
      </w:tr>
      <w:tr>
        <w:trPr>
          <w:trHeight w:val="170"/>
        </w:trPr>
        <w:tc>
          <w:tcPr>
            <w:tcW w:w="9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2"/>
              </w:rPr>
              <w:t>December 31, 2020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from continuing operations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9840" w:type="dxa"/>
            <w:vAlign w:val="bottom"/>
          </w:tcPr>
          <w:p>
            <w:pPr>
              <w:ind w:left="140"/>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Recognized gains and losses,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840" w:type="dxa"/>
            <w:vAlign w:val="bottom"/>
          </w:tcPr>
          <w:p>
            <w:pPr>
              <w:ind w:left="240"/>
              <w:spacing w:after="0"/>
              <w:rPr>
                <w:sz w:val="20"/>
                <w:szCs w:val="20"/>
                <w:color w:val="auto"/>
              </w:rPr>
            </w:pPr>
            <w:r>
              <w:rPr>
                <w:rFonts w:ascii="Arial" w:cs="Arial" w:eastAsia="Arial" w:hAnsi="Arial"/>
                <w:sz w:val="18"/>
                <w:szCs w:val="18"/>
                <w:color w:val="auto"/>
              </w:rPr>
              <w:t>Indexed product related derivatives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price amortization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840" w:type="dxa"/>
            <w:vAlign w:val="bottom"/>
          </w:tcPr>
          <w:p>
            <w:pPr>
              <w:ind w:left="240"/>
              <w:spacing w:after="0"/>
              <w:rPr>
                <w:sz w:val="20"/>
                <w:szCs w:val="20"/>
                <w:color w:val="auto"/>
              </w:rPr>
            </w:pPr>
            <w:r>
              <w:rPr>
                <w:rFonts w:ascii="Arial" w:cs="Arial" w:eastAsia="Arial" w:hAnsi="Arial"/>
                <w:sz w:val="18"/>
                <w:szCs w:val="18"/>
                <w:color w:val="auto"/>
              </w:rPr>
              <w:t>Transaction costs and other nonrecurring items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on non-GAAP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9840" w:type="dxa"/>
            <w:vAlign w:val="bottom"/>
          </w:tcPr>
          <w:p>
            <w:pPr>
              <w:ind w:left="40"/>
              <w:spacing w:after="0"/>
              <w:rPr>
                <w:sz w:val="20"/>
                <w:szCs w:val="20"/>
                <w:color w:val="auto"/>
              </w:rPr>
            </w:pPr>
            <w:r>
              <w:rPr>
                <w:rFonts w:ascii="Arial" w:cs="Arial" w:eastAsia="Arial" w:hAnsi="Arial"/>
                <w:sz w:val="18"/>
                <w:szCs w:val="18"/>
                <w:color w:val="auto"/>
              </w:rPr>
              <w:t>Adjusted net earnings from continuing operations attributable to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
        </w:trPr>
        <w:tc>
          <w:tcPr>
            <w:tcW w:w="9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20" w:hanging="328"/>
        <w:spacing w:after="0" w:line="236" w:lineRule="auto"/>
        <w:tabs>
          <w:tab w:leader="none" w:pos="621" w:val="left"/>
        </w:tabs>
        <w:numPr>
          <w:ilvl w:val="0"/>
          <w:numId w:val="53"/>
        </w:numPr>
        <w:rPr>
          <w:rFonts w:ascii="Arial" w:cs="Arial" w:eastAsia="Arial" w:hAnsi="Arial"/>
          <w:sz w:val="20"/>
          <w:szCs w:val="20"/>
          <w:color w:val="auto"/>
        </w:rPr>
      </w:pPr>
      <w:r>
        <w:rPr>
          <w:rFonts w:ascii="Arial" w:cs="Arial" w:eastAsia="Arial" w:hAnsi="Arial"/>
          <w:sz w:val="18"/>
          <w:szCs w:val="18"/>
          <w:color w:val="auto"/>
        </w:rPr>
        <w:t>Adjusted net earnings for the seven months ended December 31, 2020 primarily reflects net investment income for the period, partially offset by changes in benefits and other policy reserves and other expenses. Adjusted net earnings includes $14 million of net favorable actual to expected mortality within the single premium immediate annuity ("SPIA") line of business and $72 million of other notable items primarily related to a favorable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investment portfolio is designed to contribute stable earnings and balance risk across diverse asset classes and is primarily invested in high quality fixed income securities.</w:t>
      </w:r>
    </w:p>
    <w:p>
      <w:pPr>
        <w:spacing w:after="0" w:line="8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December 31, 2020, the fair value of our investment portfolio was approximately $31 billion and was divided among the following asset class and sectors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Percent</w:t>
            </w:r>
          </w:p>
        </w:tc>
      </w:tr>
      <w:tr>
        <w:trPr>
          <w:trHeight w:val="211"/>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8360" w:type="dxa"/>
            <w:vAlign w:val="bottom"/>
          </w:tcPr>
          <w:p>
            <w:pPr>
              <w:ind w:left="200"/>
              <w:spacing w:after="0"/>
              <w:rPr>
                <w:sz w:val="20"/>
                <w:szCs w:val="20"/>
                <w:color w:val="auto"/>
              </w:rPr>
            </w:pPr>
            <w:r>
              <w:rPr>
                <w:rFonts w:ascii="Arial" w:cs="Arial" w:eastAsia="Arial" w:hAnsi="Arial"/>
                <w:sz w:val="18"/>
                <w:szCs w:val="18"/>
                <w:color w:val="auto"/>
              </w:rPr>
              <w:t>United States Government full faith and credit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sponsored entities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360" w:type="dxa"/>
            <w:vAlign w:val="bottom"/>
          </w:tcPr>
          <w:p>
            <w:pPr>
              <w:ind w:left="200"/>
              <w:spacing w:after="0"/>
              <w:rPr>
                <w:sz w:val="20"/>
                <w:szCs w:val="20"/>
                <w:color w:val="auto"/>
              </w:rPr>
            </w:pPr>
            <w:r>
              <w:rPr>
                <w:rFonts w:ascii="Arial" w:cs="Arial" w:eastAsia="Arial" w:hAnsi="Arial"/>
                <w:sz w:val="18"/>
                <w:szCs w:val="18"/>
                <w:color w:val="auto"/>
              </w:rPr>
              <w:t>United States municipalities, states and territories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Governments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insurance and 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8360" w:type="dxa"/>
            <w:vAlign w:val="bottom"/>
          </w:tcPr>
          <w:p>
            <w:pPr>
              <w:ind w:left="200"/>
              <w:spacing w:after="0"/>
              <w:rPr>
                <w:sz w:val="20"/>
                <w:szCs w:val="20"/>
                <w:color w:val="auto"/>
              </w:rPr>
            </w:pPr>
            <w:r>
              <w:rPr>
                <w:rFonts w:ascii="Arial" w:cs="Arial" w:eastAsia="Arial" w:hAnsi="Arial"/>
                <w:sz w:val="18"/>
                <w:szCs w:val="18"/>
                <w:color w:val="auto"/>
              </w:rPr>
              <w:t>Manufacturing, construction and mining</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Utilities, energy and related sectors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8360" w:type="dxa"/>
            <w:vAlign w:val="bottom"/>
          </w:tcPr>
          <w:p>
            <w:pPr>
              <w:ind w:left="200"/>
              <w:spacing w:after="0"/>
              <w:rPr>
                <w:sz w:val="20"/>
                <w:szCs w:val="20"/>
                <w:color w:val="auto"/>
              </w:rPr>
            </w:pPr>
            <w:r>
              <w:rPr>
                <w:rFonts w:ascii="Arial" w:cs="Arial" w:eastAsia="Arial" w:hAnsi="Arial"/>
                <w:sz w:val="18"/>
                <w:szCs w:val="18"/>
                <w:color w:val="auto"/>
              </w:rPr>
              <w:t>Wholesale/retail trade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media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Hybrid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 residential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fixed maturity available for sale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Commercial mortgage loans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loans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Other (primarily derivatives and limited partnerships)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Includes investment grade non-redeemable preferred stocks ($853 million).</w:t>
      </w:r>
    </w:p>
    <w:p>
      <w:pPr>
        <w:spacing w:after="0" w:line="2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ind w:firstLine="8"/>
        <w:spacing w:after="0" w:line="260" w:lineRule="auto"/>
        <w:tabs>
          <w:tab w:leader="none" w:pos="2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As of December 31, 2020, our fixed maturity available-for-sale ("AFS") securities portfolio was approximately $25 billion. The following table summarizes the credit quality, by NRSRO rating, of our fixed income portfolio (dollars in millions):</w:t>
      </w: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Rating</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w:t>
            </w:r>
          </w:p>
        </w:tc>
      </w:tr>
      <w:tr>
        <w:trPr>
          <w:trHeight w:val="224"/>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AA</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BBB</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rated (b)</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investment grade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 and below (a)</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rated (b)</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below investment grade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$106 million of non-agency RMBS that carry a NAIC 1 designation.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Securities denoted as not-rated by an NRSRO were classified as investment or non-investment grade according to the securities' respective NAIC designation.</w:t>
      </w:r>
    </w:p>
    <w:p>
      <w:pPr>
        <w:spacing w:after="0" w:line="11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NAIC Designation</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7"/>
              </w:rPr>
              <w:t>NRSRO Equivalent Rating</w:t>
            </w:r>
          </w:p>
        </w:tc>
      </w:tr>
      <w:tr>
        <w:trPr>
          <w:trHeight w:val="229"/>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AAA/AA/A</w:t>
            </w:r>
          </w:p>
        </w:tc>
      </w:tr>
      <w:tr>
        <w:trPr>
          <w:trHeight w:val="229"/>
        </w:trPr>
        <w:tc>
          <w:tcPr>
            <w:tcW w:w="5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30"/>
        </w:trPr>
        <w:tc>
          <w:tcPr>
            <w:tcW w:w="5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30"/>
        </w:trPr>
        <w:tc>
          <w:tcPr>
            <w:tcW w:w="5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30"/>
        </w:trPr>
        <w:tc>
          <w:tcPr>
            <w:tcW w:w="5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CCC and lower</w:t>
            </w:r>
          </w:p>
        </w:tc>
      </w:tr>
      <w:tr>
        <w:trPr>
          <w:trHeight w:val="230"/>
        </w:trPr>
        <w:tc>
          <w:tcPr>
            <w:tcW w:w="5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In or near default</w:t>
            </w:r>
          </w:p>
        </w:tc>
      </w:tr>
    </w:tbl>
    <w:p>
      <w:pPr>
        <w:spacing w:after="0" w:line="9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our fixed maturity securities by NAIC designation as of December 31, 2020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December 31, 2020</w:t>
            </w:r>
          </w:p>
        </w:tc>
        <w:tc>
          <w:tcPr>
            <w:tcW w:w="2400" w:type="dxa"/>
            <w:vAlign w:val="bottom"/>
            <w:tcBorders>
              <w:bottom w:val="single" w:sz="8" w:color="auto"/>
            </w:tcBorders>
          </w:tcPr>
          <w:p>
            <w:pPr>
              <w:spacing w:after="0"/>
              <w:rPr>
                <w:sz w:val="16"/>
                <w:szCs w:val="16"/>
                <w:color w:val="auto"/>
              </w:rPr>
            </w:pPr>
          </w:p>
        </w:tc>
      </w:tr>
      <w:tr>
        <w:trPr>
          <w:trHeight w:val="188"/>
        </w:trPr>
        <w:tc>
          <w:tcPr>
            <w:tcW w:w="4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NAIC Designation</w:t>
            </w:r>
          </w:p>
        </w:tc>
        <w:tc>
          <w:tcPr>
            <w:tcW w:w="38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Amortized Cost</w:t>
            </w:r>
          </w:p>
        </w:tc>
        <w:tc>
          <w:tcPr>
            <w:tcW w:w="360" w:type="dxa"/>
            <w:vAlign w:val="bottom"/>
          </w:tcPr>
          <w:p>
            <w:pPr>
              <w:spacing w:after="0"/>
              <w:rPr>
                <w:sz w:val="16"/>
                <w:szCs w:val="16"/>
                <w:color w:val="auto"/>
              </w:rPr>
            </w:pPr>
          </w:p>
        </w:tc>
        <w:tc>
          <w:tcPr>
            <w:tcW w:w="2020" w:type="dxa"/>
            <w:vAlign w:val="bottom"/>
            <w:gridSpan w:val="2"/>
          </w:tcPr>
          <w:p>
            <w:pPr>
              <w:ind w:left="460"/>
              <w:spacing w:after="0"/>
              <w:rPr>
                <w:sz w:val="20"/>
                <w:szCs w:val="20"/>
                <w:color w:val="auto"/>
              </w:rPr>
            </w:pPr>
            <w:r>
              <w:rPr>
                <w:rFonts w:ascii="Arial" w:cs="Arial" w:eastAsia="Arial" w:hAnsi="Arial"/>
                <w:sz w:val="14"/>
                <w:szCs w:val="14"/>
                <w:b w:val="1"/>
                <w:bCs w:val="1"/>
                <w:color w:val="auto"/>
              </w:rPr>
              <w:t>Fair Value</w:t>
            </w:r>
          </w:p>
        </w:tc>
        <w:tc>
          <w:tcPr>
            <w:tcW w:w="2400" w:type="dxa"/>
            <w:vAlign w:val="bottom"/>
          </w:tcPr>
          <w:p>
            <w:pPr>
              <w:jc w:val="right"/>
              <w:ind w:right="292"/>
              <w:spacing w:after="0"/>
              <w:rPr>
                <w:sz w:val="20"/>
                <w:szCs w:val="20"/>
                <w:color w:val="auto"/>
              </w:rPr>
            </w:pPr>
            <w:r>
              <w:rPr>
                <w:rFonts w:ascii="Arial" w:cs="Arial" w:eastAsia="Arial" w:hAnsi="Arial"/>
                <w:sz w:val="14"/>
                <w:szCs w:val="14"/>
                <w:b w:val="1"/>
                <w:bCs w:val="1"/>
                <w:color w:val="auto"/>
              </w:rPr>
              <w:t>Percent of Total Fair Value</w:t>
            </w:r>
          </w:p>
        </w:tc>
      </w:tr>
      <w:tr>
        <w:trPr>
          <w:trHeight w:val="224"/>
        </w:trPr>
        <w:tc>
          <w:tcPr>
            <w:tcW w:w="3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9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10,659</w:t>
            </w:r>
          </w:p>
        </w:tc>
        <w:tc>
          <w:tcPr>
            <w:tcW w:w="1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9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Industry Concentration</w:t>
      </w:r>
    </w:p>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tables below present the top ten industry categories of our fixed maturity and equity securities and FHLB common stock, including the fair value and percent of total fixed maturity and equity securities and FHLB common stock fair value as of December 31, 2020 (dollars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8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Top 10 Industry Concentration</w:t>
            </w:r>
          </w:p>
        </w:tc>
        <w:tc>
          <w:tcPr>
            <w:tcW w:w="22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auto"/>
                <w:w w:val="98"/>
              </w:rPr>
              <w:t>Percent of Total Fair</w:t>
            </w:r>
          </w:p>
        </w:tc>
        <w:tc>
          <w:tcPr>
            <w:tcW w:w="0" w:type="dxa"/>
            <w:vAlign w:val="bottom"/>
          </w:tcPr>
          <w:p>
            <w:pPr>
              <w:spacing w:after="0"/>
              <w:rPr>
                <w:sz w:val="1"/>
                <w:szCs w:val="1"/>
                <w:color w:val="auto"/>
              </w:rPr>
            </w:pPr>
          </w:p>
        </w:tc>
      </w:tr>
      <w:tr>
        <w:trPr>
          <w:trHeight w:val="188"/>
        </w:trPr>
        <w:tc>
          <w:tcPr>
            <w:tcW w:w="8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8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ABS collateralized loan obligation ("CLO")</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Banking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Whole loan collateralized mortgage obligation ("CMO")</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ABS 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insurance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Electric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CMBS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fixed maturity AFS securities by contractual maturities as of December 31, 2020, are shown below. Actual maturities may differ from contractual maturities because issuers may have the right to call or prepay obligations.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8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Fair Value</w:t>
            </w:r>
          </w:p>
        </w:tc>
      </w:tr>
      <w:tr>
        <w:trPr>
          <w:trHeight w:val="170"/>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 Non-structured Hybrids, Municipal and Government securities:</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w:t>
            </w:r>
          </w:p>
        </w:tc>
      </w:tr>
      <w:tr>
        <w:trPr>
          <w:trHeight w:val="223"/>
        </w:trPr>
        <w:tc>
          <w:tcPr>
            <w:tcW w:w="8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15,626</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6,267</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Commercial-mortgage-backed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8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fixed maturity available-for-sale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Non-Agency RMBS Exposure</w:t>
      </w:r>
    </w:p>
    <w:p>
      <w:pPr>
        <w:spacing w:after="0" w:line="13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our investments in subprime and Alt-A RMBS securities was $68 million and $94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summarizes our exposure to subprime and Alt-A RMBS by credit quality using NAIC designations, NRSRO ratings and vintage year as of December 31, 2020 (dollars in millions):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NAIC Designation: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NRSRO: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 rated - Above investment grade (a)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 and below</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c>
          <w:tcPr>
            <w:tcW w:w="14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Percent of Total</w:t>
            </w:r>
          </w:p>
        </w:tc>
      </w:tr>
      <w:tr>
        <w:trPr>
          <w:trHeight w:val="231"/>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153</w:t>
            </w:r>
          </w:p>
        </w:tc>
        <w:tc>
          <w:tcPr>
            <w:tcW w:w="142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4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4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2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-2365375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-2073910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-1782445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-1490980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-1182370</wp:posOffset>
            </wp:positionV>
            <wp:extent cx="713232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-916940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-625475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-334010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8"/>
        </w:trPr>
        <w:tc>
          <w:tcPr>
            <w:tcW w:w="8900" w:type="dxa"/>
            <w:vAlign w:val="bottom"/>
            <w:gridSpan w:val="2"/>
          </w:tcPr>
          <w:p>
            <w:pPr>
              <w:ind w:left="20"/>
              <w:spacing w:after="0"/>
              <w:rPr>
                <w:sz w:val="20"/>
                <w:szCs w:val="20"/>
                <w:color w:val="auto"/>
              </w:rPr>
            </w:pPr>
            <w:r>
              <w:rPr>
                <w:rFonts w:ascii="Arial" w:cs="Arial" w:eastAsia="Arial" w:hAnsi="Arial"/>
                <w:sz w:val="14"/>
                <w:szCs w:val="14"/>
                <w:b w:val="1"/>
                <w:bCs w:val="1"/>
                <w:color w:val="auto"/>
              </w:rPr>
              <w:t>Vintage: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2007</w:t>
            </w: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and prior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3"/>
        </w:trPr>
        <w:tc>
          <w:tcPr>
            <w:tcW w:w="8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 Securities denoted as not-rated by an NRSRO were classified as investment or non-investment grade according to the securities' respective NAIC designation.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 Exposure</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our ABS exposure was largely composed of CLOs, which comprised 68% of all ABS holdings. These exposures are generally senior tranches of CLOs, which have leveraged loans as their underlying collateral. The remainder of our ABS exposure was largely diversified by underlying collateral and issuer type, including automobile and home equity receivables.</w:t>
      </w:r>
    </w:p>
    <w:p>
      <w:pPr>
        <w:spacing w:after="0" w:line="8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December 31, 2020, the non-CLO exposure represents 32% of total ABS assets, or 6% of total invested assets and the CLO and non-CLO positions were trading at a net unrealized gain position of $247 million and $79 million, respectively. The following table summarize our ABS exposure (dollars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Asset Class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Percent</w:t>
            </w:r>
          </w:p>
        </w:tc>
      </w:tr>
      <w:tr>
        <w:trPr>
          <w:trHeight w:val="224"/>
        </w:trPr>
        <w:tc>
          <w:tcPr>
            <w:tcW w:w="8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ABS CLO</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ABS auto</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ABS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Bond Exposure</w:t>
      </w:r>
    </w:p>
    <w:p>
      <w:pPr>
        <w:spacing w:after="0" w:line="3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municipal bond exposure is a combination of general obligation bonds (fair value of $241 million and an amortized cost of $229 million as of December 31, 2020) and special revenue bonds (fair value of $1,067 million and amortized cost of $1,014 million as of December 31, 2020).</w:t>
      </w:r>
    </w:p>
    <w:p>
      <w:pPr>
        <w:spacing w:after="0" w:line="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Across all municipal bonds, the largest issuer represented 9% of the category, less than 1% of the entire portfolio and is rated NAIC 1. Our focus within municipal bonds is on NAIC 1 rated instruments, and 91% of our municipal bond exposure is rated NAIC 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rate all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Consolidated Statements of Earnings.</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LTV and DSC ratios are utilized as part of the review process described above. As of December 31, 2020, our mortgage loans on real estate portfolio had a weighted average DSC ratio of 2.5 times, and a weighted average LTV ratio of 47%. See Note E to the Consolidated Financial Statements included in Item 8 of Part II of this Annual Report for additional information regarding our LTV and DSC ratios.</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F&amp;G's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amortized cost and fair value of the fixed maturity securities and the equity securities that were in an unrealized loss position as of December 31, 2020,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2020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80"/>
              <w:spacing w:after="0"/>
              <w:rPr>
                <w:sz w:val="20"/>
                <w:szCs w:val="20"/>
                <w:color w:val="auto"/>
              </w:rPr>
            </w:pPr>
            <w:r>
              <w:rPr>
                <w:rFonts w:ascii="Arial" w:cs="Arial" w:eastAsia="Arial" w:hAnsi="Arial"/>
                <w:sz w:val="18"/>
                <w:szCs w:val="18"/>
                <w:color w:val="auto"/>
              </w:rPr>
              <w:t>United States Government full faith and credit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300" w:type="dxa"/>
            <w:vAlign w:val="bottom"/>
          </w:tcPr>
          <w:p>
            <w:pPr>
              <w:ind w:left="280"/>
              <w:spacing w:after="0"/>
              <w:rPr>
                <w:sz w:val="20"/>
                <w:szCs w:val="20"/>
                <w:color w:val="auto"/>
              </w:rPr>
            </w:pPr>
            <w:r>
              <w:rPr>
                <w:rFonts w:ascii="Arial" w:cs="Arial" w:eastAsia="Arial" w:hAnsi="Arial"/>
                <w:sz w:val="18"/>
                <w:szCs w:val="18"/>
                <w:color w:val="auto"/>
              </w:rPr>
              <w:t>United States municipalities, states and territories</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securities: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80"/>
              <w:spacing w:after="0"/>
              <w:rPr>
                <w:sz w:val="20"/>
                <w:szCs w:val="20"/>
                <w:color w:val="auto"/>
              </w:rPr>
            </w:pPr>
            <w:r>
              <w:rPr>
                <w:rFonts w:ascii="Arial" w:cs="Arial" w:eastAsia="Arial" w:hAnsi="Arial"/>
                <w:sz w:val="18"/>
                <w:szCs w:val="18"/>
                <w:color w:val="auto"/>
              </w:rPr>
              <w:t>Finance, insurance and real estate</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5300" w:type="dxa"/>
            <w:vAlign w:val="bottom"/>
          </w:tcPr>
          <w:p>
            <w:pPr>
              <w:ind w:left="280"/>
              <w:spacing w:after="0"/>
              <w:rPr>
                <w:sz w:val="20"/>
                <w:szCs w:val="20"/>
                <w:color w:val="auto"/>
              </w:rPr>
            </w:pPr>
            <w:r>
              <w:rPr>
                <w:rFonts w:ascii="Arial" w:cs="Arial" w:eastAsia="Arial" w:hAnsi="Arial"/>
                <w:sz w:val="18"/>
                <w:szCs w:val="18"/>
                <w:color w:val="auto"/>
              </w:rPr>
              <w:t>Wholesale/retail trade</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Services, media and other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Hybrid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 residential mortgage backed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Commercial mortgage backed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fixed maturity available for sale securities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gross unrealized loss position on the fixed maturity available-for-sale fixed and equity portfolio was $38 million as of December 31, 2020. Most components of the portfolio exhibited price appreciation as credit spreads narrowed during the period, offset by increases in treasury rates. The total amortized cost of all securities in an unrealized loss position was $1,601 million as of December 31, 2020. The average market value/book value of the investment category with the largest unrealized loss position was 97% for Asset backed securities as of December 31, 2020. In aggregate, Asset backed securities represented 47% of the total unrealized loss position as of December 31, 2020.</w:t>
      </w:r>
    </w:p>
    <w:p>
      <w:pPr>
        <w:spacing w:after="0" w:line="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amortized cost and fair value of fixed maturity available for sale securities under watch list analysis and the number of months in a loss position with investment grade securities (NRSRO rating of BBB/Baa or higher) as of December 31, 2020, were as follows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0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Allowance for</w:t>
            </w:r>
          </w:p>
        </w:tc>
        <w:tc>
          <w:tcPr>
            <w:tcW w:w="11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5"/>
              </w:rPr>
              <w:t>Gross Unrealized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1020" w:type="dxa"/>
            <w:vAlign w:val="bottom"/>
          </w:tcPr>
          <w:p>
            <w:pPr>
              <w:jc w:val="center"/>
              <w:ind w:left="208"/>
              <w:spacing w:after="0"/>
              <w:rPr>
                <w:sz w:val="20"/>
                <w:szCs w:val="20"/>
                <w:color w:val="auto"/>
              </w:rPr>
            </w:pPr>
            <w:r>
              <w:rPr>
                <w:rFonts w:ascii="Arial" w:cs="Arial" w:eastAsia="Arial" w:hAnsi="Arial"/>
                <w:sz w:val="14"/>
                <w:szCs w:val="14"/>
                <w:b w:val="1"/>
                <w:bCs w:val="1"/>
                <w:color w:val="auto"/>
                <w:w w:val="88"/>
              </w:rPr>
              <w:t>securities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Credit Loss</w:t>
            </w:r>
          </w:p>
        </w:tc>
        <w:tc>
          <w:tcPr>
            <w:tcW w:w="24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grade:</w:t>
            </w:r>
          </w:p>
        </w:tc>
        <w:tc>
          <w:tcPr>
            <w:tcW w:w="10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Less than six months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 months or more and less than twelve months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Twelve months or greater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 grade</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Less than six months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 months or more and less than twelve months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Twelve months or greater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below investment grade</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and Watch List</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December 31, 2020, our watch list included four securities in an unrealized loss position with an amortized cost of $102 million, allowance for expected credit losses of $6 million, unrealized losses of $1 million and a fair value of $95 million. The watch list excludes structured securities due to a revision of processes as a result of ASU 2016-13.</w:t>
      </w:r>
    </w:p>
    <w:p>
      <w:pPr>
        <w:spacing w:after="0" w:line="9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There were 36 structured securities with a fair value of $65 million to which we had potential credit exposure as of December 31, 2020. Our analysis of these structured securities, which included cash flow testing, resulted in allowances for expected credit losses of $3 million as of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Sovereign Debt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portfolio had no direct exposure to European sovereign debt as of December 31, 2020.</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we also had no material exposure risk related to financial investments in Puerto Rico.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discussion regarding our net investment income and net investment gains (losses) refer to Note E to the Consolidated Financial Statements included in Item 8 of Part II of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AFS Securities</w:t>
      </w:r>
    </w:p>
    <w:p>
      <w:pPr>
        <w:spacing w:after="0" w:line="14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December 31, 2020, refer to Note E to the Consolidated Financial Statements included in Item 8 of Part II of this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detail regarding our concentration of financial instruments refer to Item 7A. of Part II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Consolidated Balance Sheets.</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F to the Consolidated Financial Statements included in Item 8 of Part II of this Annual Report for additional information regarding our derivatives and our exposure to credit loss on call options.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our Corporate and Other segment for the years indicated:</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300" w:type="dxa"/>
            <w:vAlign w:val="bottom"/>
          </w:tcPr>
          <w:p>
            <w:pPr>
              <w:spacing w:after="0"/>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Escrow, title-related and other fees</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Recognized gains and losses, net</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3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6"/>
              </w:rPr>
              <w:t>Loss from continuing operations, before income taxes and equity in earnings of unconsolidated</w:t>
            </w:r>
          </w:p>
        </w:tc>
        <w:tc>
          <w:tcPr>
            <w:tcW w:w="740" w:type="dxa"/>
            <w:vAlign w:val="bottom"/>
            <w:vMerge w:val="restart"/>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(180)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affiliates</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Total revenues in the Corporate and Other segment decreased $39 million, or 19% in the year ended December 31, 2020 as compared 2019, and decreased $209 million, or 50%, in the year ended December 31, 2019 compared to 2018. The decrease in the year ended December 31, 2020 as compared to 2019 is primarily attributable to valuation losses associated with our deferred compensation plan assets in 2020 and decreased interest and investment income of $17 million associated with a year-over-year reduction in cash holdings. The decrease in the year ended December 31, 2019 as compared to 2018 is primarily attributable to the sale of a real estate brokerage subsidiary in the third quarter of 2018, partially offset by increased revenue associated with the valuation of deferred compensation assets.</w:t>
      </w:r>
    </w:p>
    <w:p>
      <w:pPr>
        <w:spacing w:after="0" w:line="8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Personnel costs in the Corporate and Other segment decreased $26 million, or 19% in the year ended December 31, 2020 as compared to 2019, and increased $40 million, or 43%, in the year ended December 31, 2019 compared to 2018. The decrease in the year ended December 31, 2020 as compared to 2019 is attributable to the aforementioned decrease in the valuation of deferred compensation plan assets compared to the corresponding period in 2019. The increase in the year ended December 31, 2019 as compared to 2018 is primarily attributable to increased valuation of deferred compensation plan assets, increased costs resulting from growth of our real estate technology subsidiaries, and increased severance expense related to the departure of certain executives.</w:t>
      </w:r>
    </w:p>
    <w:p>
      <w:pPr>
        <w:spacing w:after="0" w:line="8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Other operating expenses in the Corporate and Other segment decreased $24 million, or 14%, in the year ended December 31, 2020 as compared to 2019, and decreased $208 million, or 55% in the year ended December 31, 2019 as compared to 2018. The decrease in the year ended December 31, 2020 as compared to 2019 is primarily attributable to the reverse termination fee paid in 2019 related to the abandoned Stewart Information Services Corporation acquisition, partially offset by F&amp;G acquisition costs in 2020. The decrease in the year ended December 31, 2019 as compared to 2018 is primarily attributable to the sale of a real estate brokerage subsidiary, which is partially offset by the aforementioned reverse termination fee related to the abandoned Stewart Information Services Corporation acquisition of $50 million.</w:t>
      </w:r>
    </w:p>
    <w:p>
      <w:pPr>
        <w:spacing w:after="0" w:line="70"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Interest expense increased $24 million, or 51%, in the year ended December 31, 2020 as compared to 2019, and increased $4 million, or 9%, in the year ended December 31, 2019 as compared to 2018. The increase in the year ended December 31, 2020 as compared to 2019 is primarily attributable to increased average debt outstanding in 2020 associated with the Term Loan Credit Agreement, our 3.40% Notes and our 2.45% Notes. The increase in the year ended December 31, 2019 as compared to 2018 is primarily attributable to interest associated with our 4.50% Notes issued in August 2018.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claim payments, taxes, payments of interest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on our debt, capital expenditures, business acquisitions, stock repurchases and dividends on our common stock. We paid dividends of $1.35 per share in 2020, or approximately $389 million to our common shareholders. On February 17, 2021, our Board of Directors declared cash dividends of $0.36 per share, payable on March 31, 2021, to FNF common shareholders of record as of March 17, 2021. On December 7, 2020 and January 25, 2021, certain of our wholly-owned subsidiaries entered into subscription agreements to purchase in the aggregate $650 million of common stock in two newly incorporated special purpose acquisition companies. These special purpose acquisition companies are expected to consummate their respective initial business combinations in the first half of 2021. For more information related to the subscription agreements, refer to Note A </w:t>
      </w:r>
      <w:r>
        <w:rPr>
          <w:rFonts w:ascii="Arial" w:cs="Arial" w:eastAsia="Arial" w:hAnsi="Arial"/>
          <w:sz w:val="16"/>
          <w:szCs w:val="16"/>
          <w:i w:val="1"/>
          <w:iCs w:val="1"/>
          <w:color w:val="auto"/>
        </w:rPr>
        <w:t>Basis of Financial Statements</w:t>
      </w:r>
      <w:r>
        <w:rPr>
          <w:rFonts w:ascii="Arial" w:cs="Arial" w:eastAsia="Arial" w:hAnsi="Arial"/>
          <w:sz w:val="16"/>
          <w:szCs w:val="16"/>
          <w:color w:val="auto"/>
        </w:rPr>
        <w:t xml:space="preserve"> in Item 8 of Part II of this Annual Report.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6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of December 31, 2020, we had cash and cash equivalents of $2,719 million, short term investments of $769 million and available capacity under our Revolving Credit Facility of $800 million. On April 22, 2020 we entered into the Term Loan Agreement, which provided for a $1.0 billion, 364 day delayed-draw, term loan. On June 1, 2020, in connection with the completion of our F&amp;G acquisition, we drew down the full $1.0 billion in principal to fund a portion of the acquisition. On June 12, 2020 we completed our underwritten public offering of $650 million aggregate principal amount of our 3.40% Notes pursuant to our registration statement on Form S-3 (File No. 333-239002) and the related prospectus supplement. The net proceeds from the registered offering of the 3.40% Notes were approximately $642 million, after deducting underwriting discounts and commissions and offering expenses. We used the net proceeds from the offering to repay $640 million of the outstanding principal amount under the Term Loan. On July 31, 2020, we repaid an additional $100 million of the principal amount under the Term Loan Agreement. On September 15, 2020, we completed our underwritten public offering of $600 million aggregate principal amount of our 2.45% Notes pursuant to our registration statement on Form S-3 (File No. 333-239002) and the related prospectus supplement. The net proceeds from the registered offering of the 2.45% Notes were approximately $593 million, after deducting underwriting discounts and commissions and offering expenses. We used a portion of the net proceeds from the 2.45% Notes offering, consisting of $260 million, to repay all of our outstanding indebtedness under the Term Loan. On July 29, 2020, we purchased for $90 million the outstanding Class A units of ServiceLink held by its minority owners. As of the purchase date ServiceLink is a wholly owned subsidiary of FNF. On October 29, 2020, we entered into the Fifth Restated Credit Agreement for our Amended Revolving Credit Facility. Among other changes, the Fifth Restated Credit Agreement amends the Fourth Restated Credit Agreement to extend the maturity date from April 27, 2022 to October 29, 2025. Additionally, on October 29, 2020, we terminated the F&amp;G Credit Agreement.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Amended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2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2020, $2,559 million of our net assets were restricted from dividend payments without prior approval from the relevant departments of insurance. We anticipate that our title insurance subsidiaries will pay or make dividends to us in 2021 of approximately $551 million. Our underwritten title companies and non-insurance subsidiaries are not regulated to the same extent as our insurance subsidiaries.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years ended December 31, 2020, 2019, 2018 were $1,578 million, $1,121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$943 million respectively. The increase in cash provided by operating activities of $457 million in 2020 as compared to 2019 is primarily attributable to the increase in pre-tax earnings in 2020 and the addition of interest credited to contractholder account balances of $750 million in 2020, partially offset by deferred policy acquisition costs and deferred sales inducements of $266 million in 2020, charges assessed to contactholders for mortality and administration of $100 million in 2020, and the timing of receipts and payments of prepaid assets, payables, receivables and income taxes. The increase in cash provided by operations of $178 million in 2019 as compared to 2018 is primarily attributable to the increase in pre-tax earnings in 2019 and the timing of receipts and payments of payables, partially offset by the timing of receipts and payments of prepaid assets, receivables and income taxes. Included in net earnings in 2019 is the reverse termination fee paid in connection with the abandoned Stewart Information Services Corporation merger of $50 million.</w:t>
      </w:r>
    </w:p>
    <w:p>
      <w:pPr>
        <w:spacing w:after="0" w:line="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used in investing activities for the years ended December 31, 2020, 2019, and 2018 were $2,331 million, $520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$354 million respectively. The increase in cash used in investing activities of $1,811 million in 2020 as compared to 2019 is primarily attributable to the net cash outflow of $1,076 million associated with the F&amp;G acquisition, increased purchases of investment securities of $4.1 billion and additional investments in unconsolidated affiliates of $293 million , partially offset by increased sales, calls, and maturities of investment securities of $2,761 million, sales and maturities of short-term investments of $540 million and increased distributions from unconsolidated affiliates of $195 million. The increased activity related to purchases, sales and calls of investment securities in the 2020 period is primarily associated with our F&amp;G segment. The increase in cash used in investing activities of $166 million in 2019 as compared to 2018 is primarily attributable to a decrease in net cash inflow from proceeds from calls and maturities of investment securities, partially offset by reduced purchases of investment securities.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$110 million, $96 million, and $83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2019, and 2018 respectively.</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provided by (used in) financing activities for the year ended December 31, 2020, 2019, and 2018 were $2,096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$(482) million, and $(442) million respectively. The increase in cash provided by financing activities of $2,578 million as compared to 2019 is primarily attributable to cash inflows from the offerings of our 3.40% Notes of $648 million and 2.45% Notes of $593 million, and increased cash inflows from contractholder account deposits of $2,967 million, partially offset by increased cash outflows from contractholder withdrawals of $1,327 million, increased purchases of treasury stock of $150 million and the purchase of the outstanding Class A units of ServiceLink held by minority owners of $90 million. The increased activity in contractholder deposits and withdrawals in the 2020 period is associated with our F&amp;G segment. The increase in cash used in financing activities of $40 million in the 2019 as compared to 2018 is primarily attributable to increased purchases of treasury stock of $66 million, a decrease in the change in net borrowing activity of $72 million, a decrease in net change of secured trust deposits of $23 million, increased dividends paid of $16 million, and increased other financing activities of $25 million, partially offset by increased exercise of stock options of $20 million and the payment of the equity portion of debt conversions settled in cash of $142 million in the 2018 period.</w:t>
      </w:r>
    </w:p>
    <w:p>
      <w:pPr>
        <w:spacing w:after="0" w:line="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G</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8 of Part II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7 of Part II.</w:t>
      </w:r>
    </w:p>
    <w:p>
      <w:pPr>
        <w:spacing w:after="0" w:line="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required annual payments relating to these contractual obligations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87"/>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 principal repayment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benefit payments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Annuity and universal life products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39,815</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Title claim loss estimated payments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fixed rate notes payable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title insurance reserves of $1,623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6" w:lineRule="exact"/>
        <w:rPr>
          <w:sz w:val="20"/>
          <w:szCs w:val="20"/>
          <w:color w:val="auto"/>
        </w:rPr>
      </w:pPr>
    </w:p>
    <w:p>
      <w:pPr>
        <w:ind w:left="660" w:hanging="328"/>
        <w:spacing w:after="0" w:line="25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ind w:left="660" w:hanging="328"/>
        <w:spacing w:after="0" w:line="250"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0"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We sponsor certain frozen pension and other post-retirement benefit plans. See Note W.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in Item 8 of Part II of this Annual Report for further information.</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17, 2018, our Board of Directors approved a new three-year stock repurchase program effective August 1, 2018</w:t>
      </w:r>
      <w:r>
        <w:rPr>
          <w:rFonts w:ascii="Arial" w:cs="Arial" w:eastAsia="Arial" w:hAnsi="Arial"/>
          <w:sz w:val="17"/>
          <w:szCs w:val="17"/>
          <w:i w:val="1"/>
          <w:iCs w:val="1"/>
          <w:color w:val="auto"/>
        </w:rPr>
        <w:t xml:space="preserve"> </w:t>
      </w:r>
      <w:r>
        <w:rPr>
          <w:rFonts w:ascii="Arial" w:cs="Arial" w:eastAsia="Arial" w:hAnsi="Arial"/>
          <w:sz w:val="17"/>
          <w:szCs w:val="17"/>
          <w:color w:val="auto"/>
        </w:rPr>
        <w:t>(the "2018 Repurchase Program") under which we may purchase up to 25 million shares of our FNF common stock through July 31, 2021. We may make repurchases from time to time in the on market, in block purchases or in privately negotiated transactions, depending on market conditions and other factors. We repurchased 7,450,000 shares of FNF common stock during the year ended December 31, 2020 for approximately $244 million, or an average of $32.75 per share. Subsequent to December 31, 2020 and through market close on February 19, 2021, we repurchased a total of 400,000 shares for $16 million, or an average of $40.00 under this program. Since the original commencement of the 2018 Repurchase Program, we repurchased a total of 10,630,000 FNF common shares for $366 million, or an average of $34.43 per share. On October 28, 2020, we announced that we intend to purchase approximately $500 million of FNF common shares over the following 12 months, based on market conditions. During the period from October 28, 2020 through January 7, 2021, we purchased 4,200,000 FNF common shares for approximately $155 million.</w:t>
      </w:r>
    </w:p>
    <w:p>
      <w:pPr>
        <w:spacing w:after="0" w:line="7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In conducting our operations, we routinely hold customers’ assets in escrow, pending completion of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$26.5 billion and $18.7 billion at December 31, 2020 and 2019, respectively. As a result of holding these customers’ assets in escrow, we have ongoing programs for realizing economic benefits during the year through favorable borrowing and vendor arrangements with various banks.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unfunded investment commitments as of December 31, 2020 based upon the timing of when investments are executed compared to when the actual investments are funded, as some investments require that funding occur over a period of months or years. Please refer to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H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Consolidated Financial Statements included in Item 8 of Part II of this Annual Report for additional details on unfunded investment commitments.</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FHLB Collateral. </w:t>
      </w:r>
      <w:r>
        <w:rPr>
          <w:rFonts w:ascii="Arial" w:cs="Arial" w:eastAsia="Arial" w:hAnsi="Arial"/>
          <w:sz w:val="18"/>
          <w:szCs w:val="18"/>
          <w:color w:val="auto"/>
        </w:rPr>
        <w:t>We are currently a member of the Federal Home Loan Bank of Atlanta (“FHLB”) and are required to maintain a collateral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that backs any funding agreements issued. We use these funding agreements as part of 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and mortgage-backed securities are pledged to the FHLB as collateral. Market value fluctuations resulting from changes in interest rates, spreads and other risk factors for each type of asset are monitored and additional collateral is either pledged or released as needed.</w:t>
      </w:r>
    </w:p>
    <w:p>
      <w:pPr>
        <w:spacing w:after="0" w:line="7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borrowing capacity under these credit facilities does not have an expiration date as long as we maintain a satisfactory level of creditworthiness based on the FHLB’s credit assessment. As of December 31, 2020, we had $1,203 million in non-putable funding agreements included under contract owner account balances on our consolidated balance sheet. As of December 31, 2020, we had assets with a fair value of approximately $1,471 million, which collateralized the FHLB funding agreements. Assets pledged to the FHLB are included in fixed maturities, AFS, on our consolidated balance sheets.</w:t>
      </w:r>
    </w:p>
    <w:p>
      <w:pPr>
        <w:spacing w:after="0" w:line="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Collateral-Derivative Contracts. </w:t>
      </w:r>
      <w:r>
        <w:rPr>
          <w:rFonts w:ascii="Arial" w:cs="Arial" w:eastAsia="Arial" w:hAnsi="Arial"/>
          <w:sz w:val="17"/>
          <w:szCs w:val="17"/>
          <w:color w:val="auto"/>
        </w:rPr>
        <w:t>Under the terms of our ISDA agreements, we may receive from, or deliver to, counterparties collateral to assure that</w:t>
      </w:r>
      <w:r>
        <w:rPr>
          <w:rFonts w:ascii="Arial" w:cs="Arial" w:eastAsia="Arial" w:hAnsi="Arial"/>
          <w:sz w:val="17"/>
          <w:szCs w:val="17"/>
          <w:i w:val="1"/>
          <w:iCs w:val="1"/>
          <w:color w:val="auto"/>
        </w:rPr>
        <w:t xml:space="preserve"> </w:t>
      </w:r>
      <w:r>
        <w:rPr>
          <w:rFonts w:ascii="Arial" w:cs="Arial" w:eastAsia="Arial" w:hAnsi="Arial"/>
          <w:sz w:val="17"/>
          <w:szCs w:val="17"/>
          <w:color w:val="auto"/>
        </w:rPr>
        <w:t>all terms of the ISDA agreements will be met with regard to the Credit Support Annex (“CSA”). The terms of the CSA call for us to pay interest on any cash received equal to the federal funds rate. As of December 31, 2020, $491 million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the normal course of business, we are routinely subject to a variety of risks, as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and in our other filings with the Securities and Exchange Commission. For example, we are exposed to the risk that decreased real estate activity, which depends in part on the level of interest rates, may reduce our revenues.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we had $2,662 million in long-term debt, none of which bears interest at a floating rate. Accordingly, fluctuations in market interest rates will not have a material impact on our resulting interest expense.</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2020, we held $995 million in marketable equity securities (not including our investments in preferred securities of $1,341 million and our investments in unconsolidated affiliates of $1,294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we perform a sensitivity analysis to determine the effects that market risk exposures may have on the fair values of our debt and other financial instruments.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3.9% of total liabilities at December 31, 2020) is not included in the hypothetical effects.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Factors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2020 and December 31, 2019, are as follows: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$1.3 billion as compared with a (decrease) increase of $86 million at December 31, 2019.</w:t>
      </w:r>
    </w:p>
    <w:p>
      <w:pPr>
        <w:spacing w:after="0" w:line="10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2020, a 10% increase (decrease) in market prices, with all other variables held constant, would result in an increase (decrease) in the fair value of our equity securities portfolio of $196 million, as compared with an increase (decrease) of $81 million at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Related to our F&amp;G Segment</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rate risk is the F&amp;G segment's primary market risk exposure. We define interest rate risk as the risk of an economic loss due to adverse changes in interest rates. This risk arises from F&amp;G's holdings in interest sensitive assets and liabilities, primarily as a result of investing life insurance premiums and fixed annuity deposits received in interest-sensitive assets and carrying these funds as interest-sensitive liabilities. Substantial and sustained increases or decreases in market interest rates can affect the profitability of the insurance products and the fair value of our investments, as the majority of F&amp;G's insurance liabilities are backed by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profitability of most of F&amp;G's products depends on the spreads between interest yield on investments and rates credited on insurance liabilities. F&amp;G has the ability to adjust the rates credited, primarily caps and credit rates, on the majority of the annuity liabilities at least annually, subject to minimum guaranteed values. In addition, the majority of the annuity products have surrender and withdrawal penalty provisions designed to encourage persistency and to help ensure targeted spreads are earned. However, competitive factors, including the impact of the level of surrenders and withdrawals, may limit F&amp;G's ability to adjust or maintain crediting rates at the levels necessary to avoid a narrowing of spreads under certain market conditions.</w:t>
      </w:r>
    </w:p>
    <w:p>
      <w:pPr>
        <w:spacing w:after="0" w:line="2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order to meet F&amp;G's policy and contractual obligations, F&amp;G must earn a sufficient return on invested assets. Significant changes in interest rates exposes F&amp;G to the risk of not earning the anticipated spreads between the interest rate earned on its investments and the credited interest rates paid on outstanding policies and contracts. Both rising and declining interest rates can negatively affect interest earnings, spread income and the attractiveness of certain products.</w:t>
      </w:r>
    </w:p>
    <w:p>
      <w:pPr>
        <w:spacing w:after="0" w:line="5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During periods of increasing interest rates, F&amp;G may offer higher crediting rates on interest-sensitive products, such as IUL insurance and fixed annuities, and may increase crediting rates on in-force products to keep these products competitive. A rise in interest rates, in the absence of other countervailing changes, will result in a decline in the market value of F&amp;G's investment portfolio.</w:t>
      </w:r>
    </w:p>
    <w:p>
      <w:pPr>
        <w:spacing w:after="0" w:line="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5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duration of the investment portfolio, excluding cash and cash equivalents, derivatives, policy loans, and common stocks as of December 31, 2020, is summarized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Duration (years)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 of Total</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10-14</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15-19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 Related to our F&amp;G Segment</w:t>
      </w:r>
    </w:p>
    <w:p>
      <w:pPr>
        <w:spacing w:after="0" w:line="1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F&amp;G segment is primarily exposed to equity price risk through certain insurance products, specifically those products with GMWB. F&amp;G offers a variety of FIA contracts with crediting strategies linked to the performance of indices such as the S&amp;P 500 Index, Dow Jones Industrials or the NASDAQ 100 Index. The estimated cost of providing GMWB incorporates various assumptions about the overall performance of equity markets over certain time periods. Periods of significant and sustained downturns in equity markets, increased equity volatility or reduced interest rates could result in an increase in the valuation of the future policy benefit or policyholder account balance liabilities associated with such products, resulting in a reduction in F&amp;G's net earnings. The rate of amortization of intangibles related to FIA products and the cost of providing GMWB could also increase if equity market performance is worse than assumed.</w:t>
      </w:r>
    </w:p>
    <w:p>
      <w:pPr>
        <w:spacing w:after="0" w:line="6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economically hedge the equity returns on these products, F&amp;G purchases derivatives to hedge the FIA equity exposure. The primary way F&amp;G hedges FIA equity exposure is to purchase over the counter equity index call options from broker-dealer derivative counterparties approved by F&amp;G. The second way to hedge FIA equity exposure is by purchasing exchange traded equity index futures contracts. This hedging strategy enables F&amp;G to reduce the overall hedging costs and achieve a high correlation of returns on the call options purchased relative to the index credits earned by the FIA contractholders. The majority of the call options are one-year options purchased to match the funding requirements underlying the FIA contracts. These hedge programs are limited to the current policy term of the FIA contracts, based on current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participation rates. Future returns, which may be reflected in FIA contracts’ credited rates beyond the current policy term, are not hedged. F&amp;G attempts to manage the costs of these purchases through the terms of its FIA contracts, which permit F&amp;G to change caps or participation rates, subject to certain guaranteed minimums that must be maintained.</w:t>
      </w:r>
    </w:p>
    <w:p>
      <w:pPr>
        <w:spacing w:after="0" w:line="4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derivatives are used to fund the FIA contract index credits and the cost of the call options purchased is treated as a component of spread earnings. While the FIA hedging program does not explicitly hedge GAAP income volatility, the FIA hedging program tends to mitigate a significant portion of the GAAP reserve changes associated with movements in the equity market and risk-free rates.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F&amp;G incurs a raw hedging loss.</w:t>
      </w:r>
    </w:p>
    <w:p>
      <w:pPr>
        <w:spacing w:after="0" w:line="4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See Note F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in the Consolidated Financial Statements included in Item 8 of Part II of this Annual Report for additional details on the derivatives portfolio.</w:t>
      </w:r>
    </w:p>
    <w:p>
      <w:pPr>
        <w:spacing w:after="0" w:line="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Fair value changes associated with these investments are intended to, but do not always, substantially offset the increase or decrease in the amounts added to policyholder account balances for indexed products. When index credits to policyholders exceed option proceeds received at expiration related to such credits, any shortfall is funded by F&amp;G's net investment spread earnings and futures income. See "Non-GAAP Financial Measures" for further information. For the seven months ended December 31, 2020, the annual index credits to policyholders on their anniversaries was $178 million. Proceeds received at expiration on options related to such credits was $185 million.</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The FIA hedging strategy economically hedges the equity returns and exposes us to the risk that unhedged market exposures result in divergence between changes in the fair value of the liabilities and the hedging assets. F&amp;G uses a variety of techniques including direct estimation of market sensitivities and value-at-risk to monitor this risk daily. F&amp;G intends to continue to adjust the hedging strategy as market conditions and risk tolerance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and Counterparty Risk Related to our F&amp;G Segment</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F&amp;G segment is exposed to the risk that a counterparty will default on its contractual obligation resulting in financial loss. F&amp;G's major source of credit risk arises predominantly in its insurance operations’ portfolios of debt and similar securities. The fair value of F&amp;G's fixed maturity portfolio totaled $25 billion at December 31, 2020. F&amp;G's credit risk materializes primarily as impairment losses. F&amp;G is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its capital requirements is also dependent on the economic cycle and increased asset impairment levels may go hand in hand with increased asset related capital requirements.</w:t>
      </w:r>
    </w:p>
    <w:p>
      <w:pPr>
        <w:spacing w:after="0" w:line="4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F&amp;G attempts to manage the risk of default and rating migration by applying disciplined credit evaluation and underwriting standards and limiting allocations to lower quality, higher risk investments. In addition, F&amp;G diversifies exposure by issuer and country, using rating based issuer and country limits. F&amp;G also sets investment constraints that limit our exposure by industry segment. To limit the impact that credit risk can have on earnings and capital adequacy levels, F&amp;G has portfolio-level credit risk constraints in place. Limit compliance is monitored on a monthly or, in some cases, daily basis.</w:t>
      </w:r>
    </w:p>
    <w:p>
      <w:pPr>
        <w:spacing w:after="0" w:line="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use of call options, F&amp;G is exposed to counterparty credit risk-the risk that a counterparty fails to perform under the terms of the derivative contract. F&amp;G has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Iowa Code. F&amp;G reviews the ratings of all the counterparties periodically. Collateral support documents are negotiated to further reduce the exposure when deemed necessary. See Note F in the Consolidated Financial Statements included in Item 8 of Part II of this Annual Report for additional information regarding our exposure to credit loss.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F&amp;G also has credit risk related to the ability of reinsurance counterparties to honor their obligations to pay the contract amounts under various agreements. To minimize the risk of credit loss on such contracts, F&amp;G diversifies exposures among many reinsurers and limits the amount of exposure to each based on credit rating. F&amp;G also generally limits selection of counterparties with which to do new transactions to those with an “A-” credit rating or above and/or that are appropriately collateralized and provide credit for reinsurance. When exceptions are made to that principle, F&amp;G ensures that collateral is obtained to mitigate risk of loss. The following table presents F&amp;G's reinsurance recoverable balances and financial strength ratings for our five largest reinsurance recoverable balances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Financial Strength Rating</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Company/Principal Reinsurers</w:t>
            </w:r>
          </w:p>
        </w:tc>
        <w:tc>
          <w:tcPr>
            <w:tcW w:w="1400" w:type="dxa"/>
            <w:vAlign w:val="bottom"/>
            <w:gridSpan w:val="2"/>
          </w:tcPr>
          <w:p>
            <w:pPr>
              <w:ind w:left="260"/>
              <w:spacing w:after="0" w:line="122" w:lineRule="exact"/>
              <w:rPr>
                <w:sz w:val="20"/>
                <w:szCs w:val="20"/>
                <w:color w:val="auto"/>
              </w:rPr>
            </w:pPr>
            <w:r>
              <w:rPr>
                <w:rFonts w:ascii="Arial" w:cs="Arial" w:eastAsia="Arial" w:hAnsi="Arial"/>
                <w:sz w:val="14"/>
                <w:szCs w:val="14"/>
                <w:b w:val="1"/>
                <w:bCs w:val="1"/>
                <w:color w:val="auto"/>
              </w:rPr>
              <w:t>Reinsurance</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 Best</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S&amp;P</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Fitch</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Moody's</w:t>
            </w:r>
          </w:p>
        </w:tc>
        <w:tc>
          <w:tcPr>
            <w:tcW w:w="0" w:type="dxa"/>
            <w:vAlign w:val="bottom"/>
          </w:tcPr>
          <w:p>
            <w:pPr>
              <w:spacing w:after="0"/>
              <w:rPr>
                <w:sz w:val="1"/>
                <w:szCs w:val="1"/>
                <w:color w:val="auto"/>
              </w:rPr>
            </w:pPr>
          </w:p>
        </w:tc>
      </w:tr>
      <w:tr>
        <w:trPr>
          <w:trHeight w:val="188"/>
        </w:trPr>
        <w:tc>
          <w:tcPr>
            <w:tcW w:w="4440" w:type="dxa"/>
            <w:vAlign w:val="bottom"/>
            <w:gridSpan w:val="2"/>
            <w:vMerge w:val="continue"/>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Recoverable</w:t>
            </w: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Wilton Re</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$1,481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Not Rated</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Not Rated</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Kubera Insurance (SAC) Ltd</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810</w:t>
            </w:r>
          </w:p>
        </w:tc>
        <w:tc>
          <w:tcPr>
            <w:tcW w:w="10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Not Rated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Not Rated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Not Rated</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Not Rated</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Security Life of Denver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Not Rated</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Hannover Re</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134</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Not Rated</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Not Rated</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Life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108</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Not Rated</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Rated</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normal course of business, certain reinsurance recoverables are subject to reviews by the reinsurers. We are not aware of any material disputes arising from these reviews or other communications with the counterparties as of December 31, 2020 that would require an allowance for uncollectible amounts.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information on concentrations of reinsurance risk, refer to Note P </w:t>
      </w:r>
      <w:r>
        <w:rPr>
          <w:rFonts w:ascii="Arial" w:cs="Arial" w:eastAsia="Arial" w:hAnsi="Arial"/>
          <w:sz w:val="18"/>
          <w:szCs w:val="18"/>
          <w:i w:val="1"/>
          <w:iCs w:val="1"/>
          <w:color w:val="auto"/>
        </w:rPr>
        <w:t>Reinsurance</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information on counter party risk associated with our title business, refer to Note H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Financial Instruments Related to our F&amp;G Segment</w:t>
      </w:r>
    </w:p>
    <w:p>
      <w:pPr>
        <w:spacing w:after="0" w:line="9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December 31, 2020, our F&amp;G segment’s most significant investment in one industry, excluding United States ("U.S.") and Foreign Government securities, was its investment securities in the Banking industry with a fair value of $2,592 million or 8% of the invested assets portfolio and an amortized cost of $2,434 million. As of December 31, 2020, F&amp;G’s holdings in this industry include investments in 107 different issuers with the top ten investments accounting for 36% of the total holdings in this industry. As of December 31, 2020 F&amp;G had one issuer, Blackstone Wave Asset Holdco, in which investments exceeded 10% of shareholders' equity. F&amp;G's largest concentration in any single issuer as of December 31, 2020 was Blackstone Wave Asset Holdco with a total fair value of $507 million or 2% of the invested assets portfolio. Blackstone Wave Asset Holdco is a special purpose vehicle that holds investments in numerous limited partnership investments. Those limited partnership investments are further diversified by holding interest in multiple individual investments and industries.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Financial and Capital Markets Risk Related to our F&amp;G Segment</w:t>
      </w:r>
    </w:p>
    <w:p>
      <w:pPr>
        <w:spacing w:after="0" w:line="9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 month time period, certain of F&amp;G’s products may be exposed to disintermediation risk. Disintermediation risk refers to the risk that policyholders surrender their contracts in a rising interest rate environment, requiring F&amp;G to liquidate assets in an unrealized loss position. F&amp;G attempts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F&amp;G expects to continue to face these challenges and uncertainties that could adversely affect its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1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Page</w:t>
            </w:r>
          </w:p>
        </w:tc>
      </w:tr>
      <w:tr>
        <w:trPr>
          <w:trHeight w:val="186"/>
        </w:trPr>
        <w:tc>
          <w:tcPr>
            <w:tcW w:w="10060" w:type="dxa"/>
            <w:vAlign w:val="bottom"/>
          </w:tcPr>
          <w:p>
            <w:pPr>
              <w:spacing w:after="0"/>
              <w:rPr>
                <w:sz w:val="16"/>
                <w:szCs w:val="16"/>
                <w:color w:val="auto"/>
              </w:rPr>
            </w:pPr>
          </w:p>
        </w:tc>
        <w:tc>
          <w:tcPr>
            <w:tcW w:w="11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4"/>
              </w:rPr>
              <w:t>Number</w:t>
            </w:r>
          </w:p>
        </w:tc>
      </w:tr>
      <w:tr>
        <w:trPr>
          <w:trHeight w:val="225"/>
        </w:trPr>
        <w:tc>
          <w:tcPr>
            <w:tcW w:w="10060" w:type="dxa"/>
            <w:vAlign w:val="bottom"/>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Report of Independent Registered Public Accounting Firm on Effectiveness of Internal Control over Financial Reporting</w:t>
              </w:r>
            </w:hyperlink>
          </w:p>
        </w:tc>
        <w:tc>
          <w:tcPr>
            <w:tcW w:w="660" w:type="dxa"/>
            <w:vAlign w:val="bottom"/>
            <w:tcBorders>
              <w:top w:val="single" w:sz="8" w:color="auto"/>
            </w:tcBorders>
            <w:gridSpan w:val="3"/>
          </w:tcPr>
          <w:p>
            <w:pPr>
              <w:jc w:val="center"/>
              <w:ind w:left="395"/>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91</w:t>
              </w:r>
            </w:hyperlink>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10060" w:type="dxa"/>
            <w:vAlign w:val="bottom"/>
          </w:tcPr>
          <w:p>
            <w:pPr>
              <w:ind w:lef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Report of Independent Registered Public Accounting Firm on Consolidated Financial Statements</w:t>
              </w:r>
            </w:hyperlink>
          </w:p>
        </w:tc>
        <w:tc>
          <w:tcPr>
            <w:tcW w:w="660" w:type="dxa"/>
            <w:vAlign w:val="bottom"/>
            <w:gridSpan w:val="3"/>
          </w:tcPr>
          <w:p>
            <w:pPr>
              <w:jc w:val="center"/>
              <w:ind w:left="395"/>
              <w:spacing w:after="0"/>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92</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0060" w:type="dxa"/>
            <w:vAlign w:val="bottom"/>
          </w:tcPr>
          <w:p>
            <w:pPr>
              <w:ind w:lef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Consolidated Balance Sheets as of December 31, 2020 and 2019</w:t>
              </w:r>
            </w:hyperlink>
          </w:p>
        </w:tc>
        <w:tc>
          <w:tcPr>
            <w:tcW w:w="660" w:type="dxa"/>
            <w:vAlign w:val="bottom"/>
            <w:gridSpan w:val="3"/>
          </w:tcPr>
          <w:p>
            <w:pPr>
              <w:jc w:val="center"/>
              <w:ind w:left="395"/>
              <w:spacing w:after="0"/>
              <w:rPr>
                <w:rFonts w:ascii="Arial" w:cs="Arial" w:eastAsia="Arial" w:hAnsi="Arial"/>
                <w:sz w:val="18"/>
                <w:szCs w:val="18"/>
                <w:u w:val="single" w:color="auto"/>
                <w:color w:val="0000FF"/>
                <w:w w:val="89"/>
              </w:rPr>
            </w:pPr>
            <w:hyperlink w:anchor="page96">
              <w:r>
                <w:rPr>
                  <w:rFonts w:ascii="Arial" w:cs="Arial" w:eastAsia="Arial" w:hAnsi="Arial"/>
                  <w:sz w:val="18"/>
                  <w:szCs w:val="18"/>
                  <w:u w:val="single" w:color="auto"/>
                  <w:color w:val="0000FF"/>
                  <w:w w:val="89"/>
                </w:rPr>
                <w:t>95</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0"/>
        </w:trPr>
        <w:tc>
          <w:tcPr>
            <w:tcW w:w="10060" w:type="dxa"/>
            <w:vAlign w:val="bottom"/>
          </w:tcPr>
          <w:p>
            <w:pPr>
              <w:ind w:left="20"/>
              <w:spacing w:after="0" w:line="190" w:lineRule="exact"/>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Consolidated Statements of Earnings for the years ended December 31, 2020, 2019, and 2018</w:t>
              </w:r>
            </w:hyperlink>
          </w:p>
        </w:tc>
        <w:tc>
          <w:tcPr>
            <w:tcW w:w="480" w:type="dxa"/>
            <w:vAlign w:val="bottom"/>
            <w:gridSpan w:val="2"/>
          </w:tcPr>
          <w:p>
            <w:pPr>
              <w:spacing w:after="0"/>
              <w:rPr>
                <w:sz w:val="16"/>
                <w:szCs w:val="16"/>
                <w:color w:val="auto"/>
              </w:rPr>
            </w:pPr>
          </w:p>
        </w:tc>
        <w:tc>
          <w:tcPr>
            <w:tcW w:w="180" w:type="dxa"/>
            <w:vAlign w:val="bottom"/>
            <w:tcBorders>
              <w:bottom w:val="single" w:sz="8" w:color="0E32E1"/>
            </w:tcBorders>
          </w:tcPr>
          <w:p>
            <w:pPr>
              <w:jc w:val="center"/>
              <w:spacing w:after="0" w:line="190" w:lineRule="exact"/>
              <w:rPr>
                <w:sz w:val="20"/>
                <w:szCs w:val="20"/>
                <w:color w:val="auto"/>
              </w:rPr>
            </w:pPr>
            <w:r>
              <w:rPr>
                <w:rFonts w:ascii="Arial" w:cs="Arial" w:eastAsia="Arial" w:hAnsi="Arial"/>
                <w:sz w:val="18"/>
                <w:szCs w:val="18"/>
                <w:color w:val="0E32E1"/>
                <w:w w:val="89"/>
              </w:rPr>
              <w:t>96</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10060" w:type="dxa"/>
            <w:vAlign w:val="bottom"/>
          </w:tcPr>
          <w:p>
            <w:pPr>
              <w:ind w:left="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Consolidated Statements of Comprehensive Earnings for the years ended December 31, 2020, 2019, and 2018</w:t>
              </w:r>
            </w:hyperlink>
          </w:p>
        </w:tc>
        <w:tc>
          <w:tcPr>
            <w:tcW w:w="480" w:type="dxa"/>
            <w:vAlign w:val="bottom"/>
            <w:gridSpan w:val="2"/>
          </w:tcPr>
          <w:p>
            <w:pPr>
              <w:spacing w:after="0"/>
              <w:rPr>
                <w:sz w:val="18"/>
                <w:szCs w:val="18"/>
                <w:color w:val="auto"/>
              </w:rPr>
            </w:pPr>
          </w:p>
        </w:tc>
        <w:tc>
          <w:tcPr>
            <w:tcW w:w="180" w:type="dxa"/>
            <w:vAlign w:val="bottom"/>
            <w:tcBorders>
              <w:bottom w:val="single" w:sz="8" w:color="0E32E1"/>
            </w:tcBorders>
          </w:tcPr>
          <w:p>
            <w:pPr>
              <w:jc w:val="center"/>
              <w:spacing w:after="0"/>
              <w:rPr>
                <w:sz w:val="20"/>
                <w:szCs w:val="20"/>
                <w:color w:val="auto"/>
              </w:rPr>
            </w:pPr>
            <w:r>
              <w:rPr>
                <w:rFonts w:ascii="Arial" w:cs="Arial" w:eastAsia="Arial" w:hAnsi="Arial"/>
                <w:sz w:val="18"/>
                <w:szCs w:val="18"/>
                <w:color w:val="0E32E1"/>
                <w:w w:val="89"/>
              </w:rPr>
              <w:t>97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0060" w:type="dxa"/>
            <w:vAlign w:val="bottom"/>
          </w:tcPr>
          <w:p>
            <w:pPr>
              <w:ind w:left="2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Consolidated Statements of Equity for the years ended December 31, 2020, 2019, and 2018</w:t>
              </w:r>
            </w:hyperlink>
          </w:p>
        </w:tc>
        <w:tc>
          <w:tcPr>
            <w:tcW w:w="480" w:type="dxa"/>
            <w:vAlign w:val="bottom"/>
            <w:gridSpan w:val="2"/>
          </w:tcPr>
          <w:p>
            <w:pPr>
              <w:spacing w:after="0"/>
              <w:rPr>
                <w:sz w:val="18"/>
                <w:szCs w:val="18"/>
                <w:color w:val="auto"/>
              </w:rPr>
            </w:pPr>
          </w:p>
        </w:tc>
        <w:tc>
          <w:tcPr>
            <w:tcW w:w="180" w:type="dxa"/>
            <w:vAlign w:val="bottom"/>
            <w:tcBorders>
              <w:bottom w:val="single" w:sz="8" w:color="0E32E1"/>
            </w:tcBorders>
          </w:tcPr>
          <w:p>
            <w:pPr>
              <w:jc w:val="center"/>
              <w:spacing w:after="0"/>
              <w:rPr>
                <w:sz w:val="20"/>
                <w:szCs w:val="20"/>
                <w:color w:val="auto"/>
              </w:rPr>
            </w:pPr>
            <w:r>
              <w:rPr>
                <w:rFonts w:ascii="Arial" w:cs="Arial" w:eastAsia="Arial" w:hAnsi="Arial"/>
                <w:sz w:val="18"/>
                <w:szCs w:val="18"/>
                <w:color w:val="0E32E1"/>
                <w:w w:val="89"/>
              </w:rPr>
              <w:t>98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0060" w:type="dxa"/>
            <w:vAlign w:val="bottom"/>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Consolidated Statements of Cash Flows for the years ended December 31, 2020, 2019, and 2018</w:t>
              </w:r>
            </w:hyperlink>
          </w:p>
        </w:tc>
        <w:tc>
          <w:tcPr>
            <w:tcW w:w="700" w:type="dxa"/>
            <w:vAlign w:val="bottom"/>
            <w:gridSpan w:val="4"/>
          </w:tcPr>
          <w:p>
            <w:pPr>
              <w:jc w:val="center"/>
              <w:ind w:left="355"/>
              <w:spacing w:after="0"/>
              <w:rPr>
                <w:sz w:val="20"/>
                <w:szCs w:val="20"/>
                <w:color w:val="auto"/>
              </w:rPr>
            </w:pPr>
            <w:r>
              <w:rPr>
                <w:rFonts w:ascii="Arial" w:cs="Arial" w:eastAsia="Arial" w:hAnsi="Arial"/>
                <w:sz w:val="18"/>
                <w:szCs w:val="18"/>
                <w:color w:val="0E32E1"/>
                <w:w w:val="86"/>
              </w:rPr>
              <w:t>100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06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Notes to Consolidated Financial Statements</w:t>
              </w:r>
            </w:hyperlink>
          </w:p>
        </w:tc>
        <w:tc>
          <w:tcPr>
            <w:tcW w:w="700" w:type="dxa"/>
            <w:vAlign w:val="bottom"/>
            <w:gridSpan w:val="4"/>
          </w:tcPr>
          <w:p>
            <w:pPr>
              <w:jc w:val="center"/>
              <w:ind w:left="355"/>
              <w:spacing w:after="0"/>
              <w:rPr>
                <w:sz w:val="20"/>
                <w:szCs w:val="20"/>
                <w:color w:val="auto"/>
              </w:rPr>
            </w:pPr>
            <w:r>
              <w:rPr>
                <w:rFonts w:ascii="Arial" w:cs="Arial" w:eastAsia="Arial" w:hAnsi="Arial"/>
                <w:sz w:val="18"/>
                <w:szCs w:val="18"/>
                <w:color w:val="0E32E1"/>
                <w:w w:val="86"/>
              </w:rPr>
              <w:t>102</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898"/>
        </w:trPr>
        <w:tc>
          <w:tcPr>
            <w:tcW w:w="10060" w:type="dxa"/>
            <w:vAlign w:val="bottom"/>
          </w:tcPr>
          <w:p>
            <w:pPr>
              <w:ind w:left="554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18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Fidelity National Financial,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2020, based on the COSO criteria.</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F&amp;G Annuities &amp; Life, Inc. which is included in the 2020 consolidated financial statements of the Company and constituted 78.7% and 48.5% of total and net assets, respectively, as of December 31, 2020 and 11.4% and 9.6% of revenue and net income respectively, for the year then ended. Our audit of internal control over financial reporting of the Company also did not include an evaluation of the internal control over financial reporting of F&amp;G Annuities &amp; Life, Inc.</w:t>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and the related consolidated statements of earnings, comprehensive earnings, equity and cash flows for each of the three years in the period ended December 31, 2020, and the related notes and financial statement schedules listed in the Index at Item 15(a)(2) and our report dated March 1, 2021 expressed an unqualified opinion thereon.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Fidelity National Financial, Inc. and subsidiaries (the Company) as of December 31, 2020 and 2019, and the related consolidated statements of earnings, comprehensive earnings, equity and cash flows for each of the three years in the period ended December 31, 2020,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2" w:lineRule="exact"/>
        <w:rPr>
          <w:sz w:val="20"/>
          <w:szCs w:val="20"/>
          <w:color w:val="auto"/>
        </w:rPr>
      </w:pPr>
    </w:p>
    <w:p>
      <w:pPr>
        <w:ind w:left="2560"/>
        <w:spacing w:after="0"/>
        <w:rPr>
          <w:sz w:val="20"/>
          <w:szCs w:val="20"/>
          <w:color w:val="auto"/>
        </w:rPr>
      </w:pPr>
      <w:r>
        <w:rPr>
          <w:rFonts w:ascii="Arial" w:cs="Arial" w:eastAsia="Arial" w:hAnsi="Arial"/>
          <w:sz w:val="18"/>
          <w:szCs w:val="18"/>
          <w:b w:val="1"/>
          <w:bCs w:val="1"/>
          <w:i w:val="1"/>
          <w:iCs w:val="1"/>
          <w:color w:val="auto"/>
        </w:rPr>
        <w:t>Loss Provision Rate Assumption related to the Reserve for Title Claim Losses</w:t>
      </w:r>
    </w:p>
    <w:p>
      <w:pPr>
        <w:spacing w:after="0" w:line="3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The Company’s reserve for title claim losses totaled $1.62 billion as of December 31, 2020. As discussed in Note A to</w:t>
      </w:r>
    </w:p>
    <w:p>
      <w:pPr>
        <w:spacing w:after="0" w:line="37"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the consolidated financial statements, the reserve for title claim losses includes known claims as well as losses that</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have been incurred but not yet reported, net of recoupments. The Company establishes reserves for claims which are</w:t>
      </w:r>
    </w:p>
    <w:p>
      <w:pPr>
        <w:spacing w:after="0" w:line="32"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incurred but not reported at the time premium revenue is recognized based on estimated loss provision rates. There is</w:t>
      </w:r>
    </w:p>
    <w:p>
      <w:pPr>
        <w:spacing w:after="0" w:line="3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significant uncertainty inherent in determining the loss provision rates.</w:t>
      </w:r>
    </w:p>
    <w:p>
      <w:pPr>
        <w:spacing w:after="0" w:line="13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Auditing the Company’s reserve for title claim losses was complex because of the highly judgmental nature of the</w:t>
      </w:r>
    </w:p>
    <w:p>
      <w:pPr>
        <w:spacing w:after="0" w:line="35"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determination of the loss provision rates used in the valuation of the reserve for title claim losses. The significant</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judgment was primarily due to the sensitivity of management’s estimate to claim loss history, industry trends, current</w:t>
      </w:r>
    </w:p>
    <w:p>
      <w:pPr>
        <w:spacing w:after="0" w:line="3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legal environment, and geographic considerations.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0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right="20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evaluate the judgment used by management in determining the loss provision rates, among other procedures, we considered claim loss history, industry trends, current legal environment and geographic considerations, and how management assessed these factors in the current period as compared to prior periods. We involved actuarial professionals with specialized skills and industry knowledge, who assisted in performing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related to initial valuation of intangible asset Value of Business Acquired (VOBA)</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Company’s intangible asset VOBA totaled $1.47 billion as of December 31, 2020. The intangible asset relates to the acquisition of FGL Holding at June 1, 2020 and was established at $1.85 billion. As discussed in Note A to the consolidated financial statements, VOBA represents the portion of the purchase price allocated to the value of the rights to receive future cash flows from the business in force at the acquisition date and is calculated as the differences between the amount recorded as insurance contract liabilities and the estimated fair value of in-force contracts.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Auditing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valuation of the Company’s VOBA establishment was complex because of the highly judgmental nature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determination of the assumptions required to determine the fair value of the in force contracts. In particular, the fair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estimate of the in force contracts was sensitive to significant assumptions including the discount rate, surrender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partial withdrawals, utilization rates, projected investment spreads, mortality, and expenses. There is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uncertainty inherent in determining these assumptions.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obtained an understanding, evaluated the design and tested the operating effectiveness of the Company’s controls over Management’s process for the establishment of VOBA. These controls included, among others, the review and approval process management has in place for the development of the significant assumptions described above.</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evaluate the judgment used by management in determining the assumptions used in measuring the fair value of the VOBA, among other procedures, we involved actuarial specialists and evaluated the methodology applied by management in determining the fair value with those used in the industry. To assess the significant assumptions used by management, we compared the significant assumptions noted above to historical experience, observable market data or management’s estimates of prospective changes in these assumptions.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in Securities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fair value of fixed maturity securities totaled $27.6 billion as of December 31, 2020. The fair value of a subset of these securities, including asset backed securities and bonds, is based on non-binding broker quotes as described in Note D to the consolidated financial statements. The lack of visibility into assumptions used in non-binding broker quotes is a significant unobservable input, which creates greater subjectivity when determining the fair values.</w:t>
      </w:r>
    </w:p>
    <w:p>
      <w:pPr>
        <w:spacing w:after="0" w:line="2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Auditing the fair value of the securities valued by brokers was especially challenging because determining the fair value is complex and highly judgmental and involves using inputs and assumptions that are not directly observable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80" w:space="700"/>
            <w:col w:w="8620"/>
          </w:cols>
          <w:pgMar w:left="320" w:top="125" w:right="37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180"/>
        <w:spacing w:after="0" w:line="324"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management’s valuation process for broker-quoted securities. These controls included management’s evaluation of the broker-quoted values compared to an independently calculated range of values.</w:t>
      </w:r>
    </w:p>
    <w:p>
      <w:pPr>
        <w:spacing w:after="0" w:line="200" w:lineRule="exact"/>
        <w:rPr>
          <w:sz w:val="20"/>
          <w:szCs w:val="20"/>
          <w:color w:val="auto"/>
        </w:rPr>
      </w:pPr>
    </w:p>
    <w:p>
      <w:pPr>
        <w:sectPr>
          <w:pgSz w:w="11900" w:h="16838" w:orient="portrait"/>
          <w:cols w:equalWidth="0" w:num="2">
            <w:col w:w="1840" w:space="720"/>
            <w:col w:w="8640"/>
          </w:cols>
          <w:pgMar w:left="320" w:top="125" w:right="379" w:bottom="1440" w:gutter="0" w:footer="0" w:header="0"/>
          <w:type w:val="continuous"/>
        </w:sectPr>
      </w:pPr>
    </w:p>
    <w:p>
      <w:pPr>
        <w:spacing w:after="0" w:line="11" w:lineRule="exact"/>
        <w:rPr>
          <w:sz w:val="20"/>
          <w:szCs w:val="20"/>
          <w:color w:val="auto"/>
        </w:rPr>
      </w:pPr>
    </w:p>
    <w:p>
      <w:pPr>
        <w:jc w:val="both"/>
        <w:ind w:left="2560"/>
        <w:spacing w:after="0" w:line="259" w:lineRule="auto"/>
        <w:rPr>
          <w:sz w:val="20"/>
          <w:szCs w:val="20"/>
          <w:color w:val="auto"/>
        </w:rPr>
      </w:pPr>
      <w:r>
        <w:rPr>
          <w:rFonts w:ascii="Arial" w:cs="Arial" w:eastAsia="Arial" w:hAnsi="Arial"/>
          <w:sz w:val="18"/>
          <w:szCs w:val="18"/>
          <w:color w:val="auto"/>
        </w:rPr>
        <w:t>To test the fair value of the securities, we utilized the support of our valuation specialists which included, among other procedures, independently calculating a reasonable range of fair values for a sample of securities based on independently obtained information or available transaction data for similar securities. We compared these ranges to management’s estimates of fair value for the selected securities.</w:t>
      </w:r>
    </w:p>
    <w:p>
      <w:pPr>
        <w:spacing w:after="0" w:line="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i w:val="1"/>
          <w:iCs w:val="1"/>
          <w:color w:val="auto"/>
        </w:rPr>
        <w:t>Assumptions related to Fixed Indexed Annuity Embedded Derivative Liability</w:t>
      </w:r>
    </w:p>
    <w:p>
      <w:pPr>
        <w:sectPr>
          <w:pgSz w:w="11900" w:h="16838" w:orient="portrait"/>
          <w:cols w:equalWidth="0" w:num="1">
            <w:col w:w="11200"/>
          </w:cols>
          <w:pgMar w:left="320" w:top="125" w:right="37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2020, the fair value of the Company’s fixed indexed annuity embedded derivative liability totaled $3.4 billion. Certain of the Company’s fixed indexed annuity contracts allow the policyholder to elect an equity index linked feature, where amounts credited to the contract’s account value are linked to the performance of designated equity indices selected by the policyholder. The equity index crediting feature is accounted for as an embedded derivative liability and reported at fair value as discussed in Note D to the consolidated financial statements.</w:t>
      </w:r>
    </w:p>
    <w:p>
      <w:pPr>
        <w:spacing w:after="0" w:line="188" w:lineRule="exact"/>
        <w:rPr>
          <w:sz w:val="20"/>
          <w:szCs w:val="20"/>
          <w:color w:val="auto"/>
        </w:rPr>
      </w:pPr>
    </w:p>
    <w:p>
      <w:pPr>
        <w:sectPr>
          <w:pgSz w:w="11900" w:h="16838" w:orient="portrait"/>
          <w:cols w:equalWidth="0" w:num="2">
            <w:col w:w="1860" w:space="700"/>
            <w:col w:w="8640"/>
          </w:cols>
          <w:pgMar w:left="320" w:top="125" w:right="379" w:bottom="1440" w:gutter="0" w:footer="0" w:header="0"/>
          <w:type w:val="continuous"/>
        </w:sectPr>
      </w:pPr>
    </w:p>
    <w:p>
      <w:pPr>
        <w:jc w:val="both"/>
        <w:ind w:left="2560"/>
        <w:spacing w:after="0" w:line="255" w:lineRule="auto"/>
        <w:rPr>
          <w:sz w:val="20"/>
          <w:szCs w:val="20"/>
          <w:color w:val="auto"/>
        </w:rPr>
      </w:pPr>
      <w:r>
        <w:rPr>
          <w:rFonts w:ascii="Arial" w:cs="Arial" w:eastAsia="Arial" w:hAnsi="Arial"/>
          <w:sz w:val="18"/>
          <w:szCs w:val="18"/>
          <w:color w:val="auto"/>
        </w:rPr>
        <w:t>Auditing the valuation of the Company’s fixed indexed annuity embedded derivative was complex because of the highly judgmental nature of the determination of the assumptions required to determine the fair value of the embedded derivative. In particular, the fair value was sensitive to the significant assumptions used to determine future policy growth including the mortality, surrender rates, partial withdrawals, non-performance spread, and option cost. There is significant uncertainty inherent in determining the mortality, surrender rates, partial withdrawals, non-performance spread and option cost assumptions.</w:t>
      </w:r>
    </w:p>
    <w:p>
      <w:pPr>
        <w:sectPr>
          <w:pgSz w:w="11900" w:h="16838" w:orient="portrait"/>
          <w:cols w:equalWidth="0" w:num="1">
            <w:col w:w="11200"/>
          </w:cols>
          <w:pgMar w:left="320" w:top="125" w:right="379" w:bottom="1440" w:gutter="0" w:footer="0" w:header="0"/>
          <w:type w:val="continuous"/>
        </w:sectPr>
      </w:pPr>
    </w:p>
    <w:p>
      <w:pPr>
        <w:spacing w:after="0" w:line="30" w:lineRule="exact"/>
        <w:rPr>
          <w:sz w:val="20"/>
          <w:szCs w:val="20"/>
          <w:color w:val="auto"/>
        </w:rPr>
      </w:pPr>
    </w:p>
    <w:p>
      <w:pPr>
        <w:ind w:left="20" w:right="180"/>
        <w:spacing w:after="0" w:line="324"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management’s process for the development of the significant assumptions used in measuring the fair value of the embedded derivative for fixed indexed annuities. These controls included, among others, the review and approval process management has in place for the development of the significant assumptions.</w:t>
      </w:r>
    </w:p>
    <w:p>
      <w:pPr>
        <w:spacing w:after="0" w:line="171" w:lineRule="exact"/>
        <w:rPr>
          <w:sz w:val="20"/>
          <w:szCs w:val="20"/>
          <w:color w:val="auto"/>
        </w:rPr>
      </w:pPr>
    </w:p>
    <w:p>
      <w:pPr>
        <w:sectPr>
          <w:pgSz w:w="11900" w:h="16838" w:orient="portrait"/>
          <w:cols w:equalWidth="0" w:num="2">
            <w:col w:w="1840" w:space="720"/>
            <w:col w:w="8640"/>
          </w:cols>
          <w:pgMar w:left="320" w:top="125" w:right="379" w:bottom="1440" w:gutter="0" w:footer="0" w:header="0"/>
          <w:type w:val="continuous"/>
        </w:sectPr>
      </w:pPr>
    </w:p>
    <w:p>
      <w:pPr>
        <w:jc w:val="both"/>
        <w:ind w:left="2560"/>
        <w:spacing w:after="0" w:line="271" w:lineRule="auto"/>
        <w:rPr>
          <w:sz w:val="20"/>
          <w:szCs w:val="20"/>
          <w:color w:val="auto"/>
        </w:rPr>
      </w:pPr>
      <w:r>
        <w:rPr>
          <w:rFonts w:ascii="Arial" w:cs="Arial" w:eastAsia="Arial" w:hAnsi="Arial"/>
          <w:sz w:val="17"/>
          <w:szCs w:val="17"/>
          <w:color w:val="auto"/>
        </w:rPr>
        <w:t>To evaluate the judgment used by management in determining the assumptions used in measuring the fair value of the fixed indexed annuity embedded derivative, among other procedures, we involved actuarial specialists and evaluated the methodology applied by management in determining the fair value with those used in the industry. To evaluate the significant assumptions used by management in the methodology applied, we compared policyholder behavior assumptions to prior actual experience and management’s estimate of prospective changes in the assumptions. In addition, we compared the nonperformance spread and option costs assumptions to observable market data. We performed an independent recalculation of the embedded derivative for a sample of products for comparison with the actuarial model used by management.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90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Fixed maturity securities available for sale, at fair value, at December 31, 2020 and December 31, 2019, net of allowance for credit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2"/>
              </w:rPr>
              <w:t>losses of $19 and $0, respectively, and includes pledged fixed maturity securities of $455 and $410, respectively, related to secured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27,587</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 deposits</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Derivative investments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loans, net of allowance for credit losses of $39 at December 31, 2020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5"/>
              </w:rPr>
              <w:t>Short-term investments, at December 31, 2020 and December 31, 2019 includes pledged short-term investments of $1 and $12,</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9"/>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respectively, related to secured trust deposits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166"/>
        </w:trPr>
        <w:tc>
          <w:tcPr>
            <w:tcW w:w="8900" w:type="dxa"/>
            <w:vAlign w:val="bottom"/>
          </w:tcPr>
          <w:p>
            <w:pPr>
              <w:ind w:left="20"/>
              <w:spacing w:after="0" w:line="166" w:lineRule="exact"/>
              <w:rPr>
                <w:sz w:val="20"/>
                <w:szCs w:val="20"/>
                <w:color w:val="auto"/>
              </w:rPr>
            </w:pPr>
            <w:r>
              <w:rPr>
                <w:rFonts w:ascii="Arial" w:cs="Arial" w:eastAsia="Arial" w:hAnsi="Arial"/>
                <w:sz w:val="16"/>
                <w:szCs w:val="16"/>
                <w:color w:val="auto"/>
                <w:w w:val="90"/>
              </w:rPr>
              <w:t>Cash and cash equivalents, at December 31, 2020 and December 31, 2019 includes $270 and $384, respectively, of pledged cash related</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9"/>
        </w:trPr>
        <w:tc>
          <w:tcPr>
            <w:tcW w:w="8900" w:type="dxa"/>
            <w:vAlign w:val="bottom"/>
          </w:tcPr>
          <w:p>
            <w:pPr>
              <w:ind w:left="2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$28 and $20 at December 31, 2020 and December 31, 2019, respectively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Reinsurance recoverable, net of allowance for credit losses of $21 at December 31, 2020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50,455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shd w:val="clear" w:color="auto" w:fill="CCEEFF"/>
          </w:tcPr>
          <w:p>
            <w:pPr>
              <w:ind w:left="47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Contractholder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title claim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Funds withheld for reinsurance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trust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of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9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19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Redeemable non-controlling interest by 21% minority holder of ServiceLink Holdings, LLC (see Note R)</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9"/>
              </w:rPr>
              <w:t>FNF common stock, $0.0001 par value; authorized 600,000,000 shares as of December 31, 2020 and December 31, 2019;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tcPr>
          <w:p>
            <w:pPr>
              <w:ind w:left="220"/>
              <w:spacing w:after="0" w:line="162" w:lineRule="exact"/>
              <w:rPr>
                <w:sz w:val="20"/>
                <w:szCs w:val="20"/>
                <w:color w:val="auto"/>
              </w:rPr>
            </w:pPr>
            <w:r>
              <w:rPr>
                <w:rFonts w:ascii="Arial" w:cs="Arial" w:eastAsia="Arial" w:hAnsi="Arial"/>
                <w:sz w:val="16"/>
                <w:szCs w:val="16"/>
                <w:color w:val="auto"/>
                <w:w w:val="98"/>
              </w:rPr>
              <w:t>outstanding of 291,448,627 and 275,563,436 as of December 31, 2020 and December 31, 2019, respectively, and issued of</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00" w:type="dxa"/>
            <w:vAlign w:val="bottom"/>
          </w:tcPr>
          <w:p>
            <w:pPr>
              <w:ind w:left="220"/>
              <w:spacing w:after="0"/>
              <w:rPr>
                <w:sz w:val="20"/>
                <w:szCs w:val="20"/>
                <w:color w:val="auto"/>
              </w:rPr>
            </w:pPr>
            <w:r>
              <w:rPr>
                <w:rFonts w:ascii="Arial" w:cs="Arial" w:eastAsia="Arial" w:hAnsi="Arial"/>
                <w:sz w:val="16"/>
                <w:szCs w:val="16"/>
                <w:color w:val="auto"/>
              </w:rPr>
              <w:t>322,622,948 and 292,236,476 as of December 31, 2020 and December 31, 2019, respectively</w:t>
            </w: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8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2"/>
              </w:rPr>
              <w:t>Less: Treasury stock, 31,174,321 shares and 16,673,040 shares as of December 31, 2020 and December 31, 2019, respectively, at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00" w:type="dxa"/>
            <w:vAlign w:val="bottom"/>
          </w:tcPr>
          <w:p>
            <w:pPr>
              <w:ind w:left="520"/>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89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5,365</w:t>
            </w:r>
          </w:p>
        </w:tc>
        <w:tc>
          <w:tcPr>
            <w:tcW w:w="0" w:type="dxa"/>
            <w:vAlign w:val="bottom"/>
          </w:tcPr>
          <w:p>
            <w:pPr>
              <w:spacing w:after="0"/>
              <w:rPr>
                <w:sz w:val="1"/>
                <w:szCs w:val="1"/>
                <w:color w:val="auto"/>
              </w:rPr>
            </w:pPr>
          </w:p>
        </w:tc>
      </w:tr>
      <w:tr>
        <w:trPr>
          <w:trHeight w:val="238"/>
        </w:trPr>
        <w:tc>
          <w:tcPr>
            <w:tcW w:w="8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line="203" w:lineRule="auto"/>
        <w:rPr>
          <w:sz w:val="20"/>
          <w:szCs w:val="20"/>
          <w:color w:val="auto"/>
        </w:rPr>
      </w:pPr>
      <w:r>
        <w:rPr>
          <w:rFonts w:ascii="Arial" w:cs="Arial" w:eastAsia="Arial" w:hAnsi="Arial"/>
          <w:sz w:val="14"/>
          <w:szCs w:val="14"/>
          <w:color w:val="auto"/>
        </w:rPr>
        <w:t>See Notes to Consolidated Financial Statements</w:t>
      </w: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8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6"/>
                <w:szCs w:val="16"/>
                <w:color w:val="auto"/>
              </w:rPr>
              <w:t>Direct title insurance premiums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2,381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6"/>
                <w:szCs w:val="16"/>
                <w:color w:val="auto"/>
              </w:rPr>
              <w:t>Escrow, title-related and other fees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Recognized gains and losses, net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6"/>
                <w:szCs w:val="16"/>
                <w:color w:val="auto"/>
              </w:rPr>
              <w:t>Agent commissions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20"/>
              <w:spacing w:after="0"/>
              <w:rPr>
                <w:sz w:val="20"/>
                <w:szCs w:val="20"/>
                <w:color w:val="auto"/>
              </w:rPr>
            </w:pPr>
            <w:r>
              <w:rPr>
                <w:rFonts w:ascii="Arial" w:cs="Arial" w:eastAsia="Arial" w:hAnsi="Arial"/>
                <w:sz w:val="16"/>
                <w:szCs w:val="16"/>
                <w:color w:val="auto"/>
              </w:rPr>
              <w:t>Provision for title claim losses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before equity in earnings of unconsolidated affiliates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Net loss from discontinued operations, net of tax</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7"/>
                <w:szCs w:val="17"/>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8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 common shareholders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 common shareholders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 w:type="dxa"/>
            <w:vAlign w:val="bottom"/>
          </w:tcPr>
          <w:p>
            <w:pPr>
              <w:spacing w:after="0"/>
              <w:rPr>
                <w:sz w:val="6"/>
                <w:szCs w:val="6"/>
                <w:color w:val="auto"/>
              </w:rPr>
            </w:pPr>
          </w:p>
        </w:tc>
        <w:tc>
          <w:tcPr>
            <w:tcW w:w="8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6"/>
                <w:szCs w:val="16"/>
                <w:color w:val="auto"/>
              </w:rPr>
              <w:t>Weighted average shares outstanding FNF common stock, basic basis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gridSpan w:val="2"/>
            <w:vMerge w:val="restart"/>
          </w:tcPr>
          <w:p>
            <w:pPr>
              <w:ind w:left="3980"/>
              <w:spacing w:after="0"/>
              <w:rPr>
                <w:sz w:val="20"/>
                <w:szCs w:val="20"/>
                <w:color w:val="auto"/>
              </w:rPr>
            </w:pPr>
            <w:r>
              <w:rPr>
                <w:rFonts w:ascii="Arial" w:cs="Arial" w:eastAsia="Arial" w:hAnsi="Arial"/>
                <w:sz w:val="16"/>
                <w:szCs w:val="16"/>
                <w:color w:val="auto"/>
              </w:rPr>
              <w:t>See Notes to Consolidated</w:t>
            </w:r>
            <w:r>
              <w:rPr>
                <w:rFonts w:ascii="Arial" w:cs="Arial" w:eastAsia="Arial" w:hAnsi="Arial"/>
                <w:sz w:val="17"/>
                <w:szCs w:val="17"/>
                <w:color w:val="auto"/>
              </w:rPr>
              <w:t>96</w:t>
            </w:r>
            <w:r>
              <w:rPr>
                <w:rFonts w:ascii="Arial" w:cs="Arial" w:eastAsia="Arial" w:hAnsi="Arial"/>
                <w:sz w:val="16"/>
                <w:szCs w:val="16"/>
                <w:color w:val="auto"/>
              </w:rPr>
              <w:t xml:space="preserve"> 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 w:type="dxa"/>
            <w:vAlign w:val="bottom"/>
          </w:tcPr>
          <w:p>
            <w:pPr>
              <w:spacing w:after="0"/>
              <w:rPr>
                <w:sz w:val="21"/>
                <w:szCs w:val="21"/>
                <w:color w:val="auto"/>
              </w:rPr>
            </w:pPr>
          </w:p>
        </w:tc>
        <w:tc>
          <w:tcPr>
            <w:tcW w:w="82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9A9A9A"/>
            </w:tcBorders>
          </w:tcPr>
          <w:p>
            <w:pPr>
              <w:spacing w:after="0"/>
              <w:rPr>
                <w:sz w:val="9"/>
                <w:szCs w:val="9"/>
                <w:color w:val="auto"/>
              </w:rPr>
            </w:pPr>
          </w:p>
        </w:tc>
        <w:tc>
          <w:tcPr>
            <w:tcW w:w="8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FIDELITY NATIONAL FINANCIAL, INC. AND SUBSIDIARIES CONSOLIDATED STATEMENTS OF COMPREHENSIVE EARNINGS </w:t>
      </w: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Unrealized gain (loss) on investments and other financial instruments, net of adjustments to intangible</w:t>
            </w:r>
          </w:p>
        </w:tc>
        <w:tc>
          <w:tcPr>
            <w:tcW w:w="2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and unearned revenue (excluding investments in unconsolidated affiliates) (1)</w:t>
            </w:r>
          </w:p>
        </w:tc>
        <w:tc>
          <w:tcPr>
            <w:tcW w:w="2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Unrealized gain on investments in unconsolidated affiliates (2)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foreign currency translation (3)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Change in reinsurance liabilities held at fair value resulting from a change in the instrument-specific credit</w:t>
            </w:r>
          </w:p>
        </w:tc>
        <w:tc>
          <w:tcPr>
            <w:tcW w:w="2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(5)</w:t>
            </w:r>
          </w:p>
        </w:tc>
        <w:tc>
          <w:tcPr>
            <w:tcW w:w="2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Minimum pension liability adjustment (6)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earnings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Comprehensive earnings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hanging="972"/>
        <w:spacing w:after="0" w:line="277" w:lineRule="auto"/>
        <w:tabs>
          <w:tab w:leader="none" w:pos="9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income tax expense (benefit) of $350 million, $17 million, and $(4) million for the years ended December 31, 2020, 2019, and 2018,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of income tax expense of $1 million, $2 million, and $1 million for the years ended December 31, 2020, 2019, and 2018, respectively.</w:t>
      </w:r>
    </w:p>
    <w:p>
      <w:pPr>
        <w:spacing w:after="0" w:line="194" w:lineRule="exact"/>
        <w:rPr>
          <w:rFonts w:ascii="Arial" w:cs="Arial" w:eastAsia="Arial" w:hAnsi="Arial"/>
          <w:sz w:val="16"/>
          <w:szCs w:val="16"/>
          <w:color w:val="auto"/>
        </w:rPr>
      </w:pPr>
    </w:p>
    <w:p>
      <w:pPr>
        <w:ind w:left="980" w:hanging="972"/>
        <w:spacing w:after="0" w:line="277" w:lineRule="auto"/>
        <w:tabs>
          <w:tab w:leader="none" w:pos="9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income tax expense (benefit) of $1 million, $1 million, and $(2) million for the years ended December 31, 2020, 2019, and 2018,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income tax expense $18 million and $3 million for the years ended December 31, 2020 and 2019,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income tax benefit of $1 million for the year ended December 31, 2020.</w:t>
      </w:r>
    </w:p>
    <w:p>
      <w:pPr>
        <w:spacing w:after="0" w:line="171"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income tax expense of $4 million and less than $1 million for the years ended December 31, 2020 and December 31, 2018, respectively.</w:t>
      </w:r>
    </w:p>
    <w:p>
      <w:pPr>
        <w:spacing w:after="0" w:line="1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77"/>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9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Stock</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6"/>
                <w:szCs w:val="16"/>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2017</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4,587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4,467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Adjustment for cumulative effect for adoption of</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ASU 2016-01</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Other comprehensive earnings - unrealized loss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6"/>
              </w:rPr>
              <w:t>Other comprehensive earnings - minimum pension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liability adjustment</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Shares withheld for taxes and in treasury</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Debt conversions settled in cash</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Dilution resulting from subsidiary equity issuance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Pacific Union Sale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Other equity activity</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64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4,628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gain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Other comprehensive earnings — unrealized loss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gain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Purchase of additional interest in consolidated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subsidiaries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Shares withheld for taxes and in treasury</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Purchases of treasury stock</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December 31, 2019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77"/>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9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6"/>
                <w:szCs w:val="16"/>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4,581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center"/>
              <w:ind w:left="397"/>
              <w:spacing w:after="0"/>
              <w:rPr>
                <w:sz w:val="20"/>
                <w:szCs w:val="20"/>
                <w:color w:val="auto"/>
              </w:rPr>
            </w:pPr>
            <w:r>
              <w:rPr>
                <w:rFonts w:ascii="Arial" w:cs="Arial" w:eastAsia="Arial" w:hAnsi="Arial"/>
                <w:sz w:val="13"/>
                <w:szCs w:val="13"/>
                <w:color w:val="auto"/>
                <w:w w:val="86"/>
              </w:rPr>
              <w:t>(17)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F&amp;G Acquisition</w:t>
            </w: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Purchase of ServiceLink noncontrolling interest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left="417"/>
              <w:spacing w:after="0"/>
              <w:rPr>
                <w:sz w:val="20"/>
                <w:szCs w:val="20"/>
                <w:color w:val="auto"/>
              </w:rPr>
            </w:pPr>
            <w:r>
              <w:rPr>
                <w:rFonts w:ascii="Arial" w:cs="Arial" w:eastAsia="Arial" w:hAnsi="Arial"/>
                <w:sz w:val="13"/>
                <w:szCs w:val="13"/>
                <w:color w:val="auto"/>
                <w:w w:val="96"/>
              </w:rPr>
              <w:t>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1,310</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1,310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Other comprehensive earnings - minimum pension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liability adjustment</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Dividends declared</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withheld for taxes and in treasury</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9"/>
              </w:rPr>
              <w:t>Change in reinsurance liabilities held at fair value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8"/>
              </w:rPr>
              <w:t>resulting from change in instrument-specific credit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center"/>
              <w:ind w:left="3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risk</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center"/>
              <w:ind w:left="397"/>
              <w:spacing w:after="0"/>
              <w:rPr>
                <w:sz w:val="20"/>
                <w:szCs w:val="20"/>
                <w:color w:val="auto"/>
              </w:rPr>
            </w:pPr>
            <w:r>
              <w:rPr>
                <w:rFonts w:ascii="Arial" w:cs="Arial" w:eastAsia="Arial" w:hAnsi="Arial"/>
                <w:sz w:val="13"/>
                <w:szCs w:val="13"/>
                <w:color w:val="auto"/>
                <w:w w:val="86"/>
              </w:rPr>
              <w:t>(14)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center"/>
              <w:ind w:left="417"/>
              <w:spacing w:after="0"/>
              <w:rPr>
                <w:sz w:val="20"/>
                <w:szCs w:val="20"/>
                <w:color w:val="auto"/>
              </w:rPr>
            </w:pPr>
            <w:r>
              <w:rPr>
                <w:rFonts w:ascii="Arial" w:cs="Arial" w:eastAsia="Arial" w:hAnsi="Arial"/>
                <w:sz w:val="13"/>
                <w:szCs w:val="13"/>
                <w:color w:val="auto"/>
                <w:w w:val="96"/>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December 31,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(1,067)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3"/>
                <w:szCs w:val="13"/>
                <w:color w:val="auto"/>
                <w:w w:val="96"/>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For the Year Ended December 31,</w:t>
            </w:r>
          </w:p>
        </w:tc>
      </w:tr>
      <w:tr>
        <w:trPr>
          <w:trHeight w:val="186"/>
        </w:trPr>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r>
      <w:tr>
        <w:trPr>
          <w:trHeight w:val="179"/>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5"/>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earnings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sales of investments and other assets and asset impairments, net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Loss (gain) on sale of businesses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Interest credited/index credits to contractholder account balances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Deferred policy acquisition costs and deferred sales inducements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Charges assessed to contractholders for mortality and administration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Non-cash lease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payments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8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6"/>
        </w:trPr>
        <w:tc>
          <w:tcPr>
            <w:tcW w:w="8540" w:type="dxa"/>
            <w:vAlign w:val="bottom"/>
          </w:tcPr>
          <w:p>
            <w:pPr>
              <w:ind w:left="460"/>
              <w:spacing w:after="0"/>
              <w:rPr>
                <w:sz w:val="20"/>
                <w:szCs w:val="20"/>
                <w:color w:val="auto"/>
              </w:rPr>
            </w:pPr>
            <w:r>
              <w:rPr>
                <w:rFonts w:ascii="Arial" w:cs="Arial" w:eastAsia="Arial" w:hAnsi="Arial"/>
                <w:sz w:val="14"/>
                <w:szCs w:val="14"/>
                <w:color w:val="auto"/>
              </w:rPr>
              <w:t>Change in valuation of derivatives, equity and preferred securities, net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8540" w:type="dxa"/>
            <w:vAlign w:val="bottom"/>
          </w:tcPr>
          <w:p>
            <w:pPr>
              <w:ind w:left="520"/>
              <w:spacing w:after="0"/>
              <w:rPr>
                <w:sz w:val="20"/>
                <w:szCs w:val="20"/>
                <w:color w:val="auto"/>
              </w:rPr>
            </w:pPr>
            <w:r>
              <w:rPr>
                <w:rFonts w:ascii="Arial" w:cs="Arial" w:eastAsia="Arial" w:hAnsi="Arial"/>
                <w:sz w:val="14"/>
                <w:szCs w:val="14"/>
                <w:color w:val="auto"/>
              </w:rPr>
              <w:t>Change in reinsurance recoverable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 in future policy benefits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520"/>
              <w:spacing w:after="0"/>
              <w:rPr>
                <w:sz w:val="20"/>
                <w:szCs w:val="20"/>
                <w:color w:val="auto"/>
              </w:rPr>
            </w:pPr>
            <w:r>
              <w:rPr>
                <w:rFonts w:ascii="Arial" w:cs="Arial" w:eastAsia="Arial" w:hAnsi="Arial"/>
                <w:sz w:val="14"/>
                <w:szCs w:val="14"/>
                <w:color w:val="auto"/>
              </w:rPr>
              <w:t>Change in funds withheld from reinsurers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(increase) decrease in trade receivables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6"/>
        </w:trPr>
        <w:tc>
          <w:tcPr>
            <w:tcW w:w="8540" w:type="dxa"/>
            <w:vAlign w:val="bottom"/>
          </w:tcPr>
          <w:p>
            <w:pPr>
              <w:ind w:left="520"/>
              <w:spacing w:after="0"/>
              <w:rPr>
                <w:sz w:val="20"/>
                <w:szCs w:val="20"/>
                <w:color w:val="auto"/>
              </w:rPr>
            </w:pPr>
            <w:r>
              <w:rPr>
                <w:rFonts w:ascii="Arial" w:cs="Arial" w:eastAsia="Arial" w:hAnsi="Arial"/>
                <w:sz w:val="14"/>
                <w:szCs w:val="14"/>
                <w:color w:val="auto"/>
              </w:rPr>
              <w:t>Net increase (decrease) in reserve for title claim losses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85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income taxes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86"/>
        </w:trPr>
        <w:tc>
          <w:tcPr>
            <w:tcW w:w="85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change in other assets and other liabilities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r>
      <w:tr>
        <w:trPr>
          <w:trHeight w:val="177"/>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5"/>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calls and maturities of investment securities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Fundings of Cannae Holdings Inc. note receivable</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Proceeds from repayments of Cannae Holdings Inc. note receivable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Purchases of investment securities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(1,313)</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(purchases of) sales and maturities of short-term investment securities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F&amp;G acquisition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acquisitions/disposals, net of cash acquired</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6"/>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offering</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Debt costs/equity issuance additions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Equity portion of debt conversions paid in cash</w:t>
            </w:r>
          </w:p>
        </w:tc>
        <w:tc>
          <w:tcPr>
            <w:tcW w:w="2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additional share in consolidated subsidiaries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for shares withheld for taxes and in treasury</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Contractholder account deposits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Contractholder account withdrawals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40" w:type="dxa"/>
            <w:vAlign w:val="bottom"/>
          </w:tcPr>
          <w:p>
            <w:pPr>
              <w:ind w:left="220"/>
              <w:spacing w:after="0"/>
              <w:rPr>
                <w:sz w:val="20"/>
                <w:szCs w:val="20"/>
                <w:color w:val="auto"/>
              </w:rPr>
            </w:pPr>
            <w:r>
              <w:rPr>
                <w:rFonts w:ascii="Arial" w:cs="Arial" w:eastAsia="Arial" w:hAnsi="Arial"/>
                <w:sz w:val="14"/>
                <w:szCs w:val="14"/>
                <w:color w:val="auto"/>
              </w:rPr>
              <w:t>Purchases of treasury stock</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8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financing activity</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w:t>
            </w:r>
          </w:p>
        </w:tc>
      </w:tr>
      <w:tr>
        <w:trPr>
          <w:trHeight w:val="18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86"/>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r>
      <w:tr>
        <w:trPr>
          <w:trHeight w:val="21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wholly-owned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indexed annuities ("FIA"), fixed rate annuities, and immediate annuities and indexed universal life ("IUL") insurance through our wholly-owned subsidiary, FGL Holdings ("F&amp;G"). For information about our reportable segments refer to Note J </w:t>
      </w:r>
      <w:r>
        <w:rPr>
          <w:rFonts w:ascii="Arial" w:cs="Arial" w:eastAsia="Arial" w:hAnsi="Arial"/>
          <w:sz w:val="17"/>
          <w:szCs w:val="17"/>
          <w:i w:val="1"/>
          <w:iCs w:val="1"/>
          <w:color w:val="auto"/>
        </w:rPr>
        <w:t>Segment Information</w:t>
      </w:r>
      <w:r>
        <w:rPr>
          <w:rFonts w:ascii="Arial" w:cs="Arial" w:eastAsia="Arial" w:hAnsi="Arial"/>
          <w:sz w:val="17"/>
          <w:szCs w:val="17"/>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Subscription Agreements with Acrobat Holdings, Inc., now known as Alight, Inc. ("Alight") and Foley Trasimene Acquisition Corp. ("FTAC")</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25, 2021, each of our wholly-owned subsidiaries, FNTIC, Commonwealth Title and Chicago Title (collectively, the "FTAC Subscribers") entered into common stock subscription agreements (the "FTAC Subscription Agreements") with Alight and FTAC to purchase in the aggregate $150 million (the "Alight Purchase Price") of Class A Common Stock, par value $.001 per share, of Alight at a purchase price of $10.00 per share. The proceeds from the FTAC Subscription Agreements will be used to partially fund the cash consideration to be paid by FTAC to Tempo Holding Company, LLC ("Tempo") upon the closing of the transactions contemplated by the Business Combination Agreement, dated January 25, 2021, by and among Alight, FTAC, and other parties thereto. The closing of the transactions is expected to occur in the second quarter of 2021. Upon the closing of the transactions, the FTAC Subscribers are expected to hold approximately 2.8% of Alight's outstanding Class A Common Stock. Additionally, Alight has agreed to pay the FTAC Subscribers a fee of 2.5% of the Alight Purchase price upon closing of the transactions. The FTAC Subscription Agreements are with a related party as we share certain members of our Board of Directors with FTAC</w:t>
      </w:r>
      <w:r>
        <w:rPr>
          <w:rFonts w:ascii="Arial" w:cs="Arial" w:eastAsia="Arial" w:hAnsi="Arial"/>
          <w:sz w:val="18"/>
          <w:szCs w:val="18"/>
          <w:color w:val="auto"/>
        </w:rPr>
        <w: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Agreements with Paysafe Limited ("Paysafe") and Foley Trasimene Acquisition Corp. II ("FTAC II")</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 xml:space="preserve">On December 7, 2020, each of our wholly-owned subsidiaries, FNTIC, Commonwealth Title, Chicago Title and F&amp;G (collectively, the "FTAC II Subscribers") entered into common stock subscription agreements (the "FTAC II Subscription Agreements") with Paysafe and FTAC II to purchase in the aggregate $500 million (the "Purchase Price") of common shares, par value $.001 per share, of Paysafe at a purchase price of $10.00 per share. The proceeds from the FTAC II Subscription Agreements will be used to partially fund the cash consideration to be paid by FTAC II to Paysafe Group Holdings Limited ("PGHL"), which is contingent upon the closing of the transactions contemplated by the Agreement and Plan of Merger, dated December 7, 2020, by and among Paysafe, FTAC II, PGHL and other parties thereto. The closing of the transactions are expected to occur in the first half of 2021. Upon the closing of the transactions, the FTAC II Subscribers are expected to hold approximately 7% of Paysafe's outstanding common shares. Additionally, Paysafe has agreed to pay the FTAC II Subscribers a fee of 1.6% of the Purchase Price upon the closing of the transactions. As of December 31, 2020, the fair value of the subscription agreements was $199 million, which is included in Equity securities in the accompanying Consolidated Balance Sheets. The corresponding unrealized gain of $199 million is included in Recognized gains and losses, net in the accompanying Consolidated Statements of Earnings for the year ended December 31, 2020. The FTAC II subscription agreements are with a related party as we share a common director with FTAC II. For further information related to our subscription agreements, refer to Note D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and Note H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F&amp;G Credit Agreement</w:t>
      </w:r>
    </w:p>
    <w:p>
      <w:pPr>
        <w:spacing w:after="0" w:line="117"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On October 29, 2020, we terminated our $250 million senior unsecured revolving credit facility with Royal Bank of Canada, as administrative agent, and a maturity date of November 30, 2020 (the "F&amp;G Credit Agreement"), which we assumed in connection with our acquisition of F&amp;G on June 1, 2020.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to our Revolving Credit Facility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29, 2020, we entered into a Fifth Amended and Restated Credit Agreement for our $800 million revolving credit facility (the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with Bank of America, N.A., as administrative agent and other agents party thereto (the "Fifth Restated Credit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further information related to the Amended Revolving Credit Facility and the Fifth Restated Credit Agreement refer to Note G </w:t>
      </w:r>
      <w:r>
        <w:rPr>
          <w:rFonts w:ascii="Arial" w:cs="Arial" w:eastAsia="Arial" w:hAnsi="Arial"/>
          <w:sz w:val="17"/>
          <w:szCs w:val="17"/>
          <w:i w:val="1"/>
          <w:iCs w:val="1"/>
          <w:color w:val="auto"/>
        </w:rPr>
        <w:t>Notes Payable</w:t>
      </w:r>
      <w:r>
        <w:rPr>
          <w:rFonts w:ascii="Arial" w:cs="Arial" w:eastAsia="Arial" w:hAnsi="Arial"/>
          <w:sz w:val="17"/>
          <w:szCs w:val="17"/>
          <w:color w:val="auto"/>
        </w:rPr>
        <w: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2.45% Senior Notes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September 15, 2020, we completed our underwritten public offering of $600 million aggregate principal amount of our 2.45% Notes due March 15, 2031 (the "2.45% Notes"), pursuant to our registration statement on Form S-3 (File No. 333-239002) and the related prospectus supplement. The net proceeds from the registered offering of the 2.45% Notes were approximately $593 million, after deducting underwriting discounts, commissions and offering expenses. We used the net proceeds from the offering (i) to repay all outstanding of our $260 million indebtedness under our term loan credit agreement, dated April 22, 2020, among us, as borrower, each lender from time to time party thereto, as lenders, and Bank of America, N.A., as administrative agent (the "Term Loan"), which we entered into to fund a portion of the acquisition of F&amp;G, and (ii) for general corporate purposes. For further information related to the Term Loan and the 2.45% Notes refer to Note G </w:t>
      </w:r>
      <w:r>
        <w:rPr>
          <w:rFonts w:ascii="Arial" w:cs="Arial" w:eastAsia="Arial" w:hAnsi="Arial"/>
          <w:sz w:val="17"/>
          <w:szCs w:val="17"/>
          <w:i w:val="1"/>
          <w:iCs w:val="1"/>
          <w:color w:val="auto"/>
        </w:rPr>
        <w:t>Notes Payable.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3.40% Senior Notes</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On June 12, 2020, we completed our underwritten public offering of $650 million aggregate principal amount of our 3.40% Notes due June 15, 2030 (the “3.40% Notes”), pursuant to our registration statement on Form S-3 (File No. 333-239002) and the related prospectus supplement. The net proceeds from the registered offering of the 3.40% Notes were approximately $642 million, after deducting underwriting discounts, commissions and offering expenses. We used the net proceeds from the offering to repay $640 million of the outstanding principal amount under the Term Loan Agreement. For further information related to the Term Loan and the 3.40% Notes refer to Note G </w:t>
      </w:r>
      <w:r>
        <w:rPr>
          <w:rFonts w:ascii="Arial" w:cs="Arial" w:eastAsia="Arial" w:hAnsi="Arial"/>
          <w:sz w:val="17"/>
          <w:szCs w:val="17"/>
          <w:i w:val="1"/>
          <w:iCs w:val="1"/>
          <w:color w:val="auto"/>
        </w:rPr>
        <w:t>Notes Payable.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F&amp;G</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On June 1, 2020, we completed the acquisition of F&amp;G for approximately $2.7 billion pursuant to the Agreement and Plan of Merger, dated February 7, 2020, as amended (the "Merger Agreement"). For additional information on our acquisition of F&amp;G refer to Note B </w:t>
      </w:r>
      <w:r>
        <w:rPr>
          <w:rFonts w:ascii="Arial" w:cs="Arial" w:eastAsia="Arial" w:hAnsi="Arial"/>
          <w:sz w:val="17"/>
          <w:szCs w:val="17"/>
          <w:i w:val="1"/>
          <w:iCs w:val="1"/>
          <w:color w:val="auto"/>
        </w:rPr>
        <w:t>Acquisitions</w:t>
      </w:r>
      <w:r>
        <w:rPr>
          <w:rFonts w:ascii="Arial" w:cs="Arial" w:eastAsia="Arial" w:hAnsi="Arial"/>
          <w:sz w:val="17"/>
          <w:szCs w:val="17"/>
          <w:color w:val="auto"/>
        </w:rPr>
        <w:t>.</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connection with the acquisition of F&amp;G, on April 22, 2020, we entered into the Term Loan, which provides for an aggregate principal borrowing of $1.0 billion (the "Term Loan Agreement") with Bank of America, N.A., as administrative agent (in such capacity, the "Administrative Agent"), JPMorgan Chase Bank, N.A., as syndication agent, and the other lenders party thereto from time to time (the “Term Lenders”), pursuant to which the Term Lenders provided the $1.0 billion delayed draw Term Loan. On June 1, 2020, we drew down the full $1.0 billion in aggregate borrowing under the Term Loan to fund a portion of the acquisition of F&amp;G. On June 12, 2020 we repaid $640 million of principal on the Term Loan. On July 31, 2020, we repaid an additional $100 million of principal. On September 15, 2020, we repaid the remaining $260 million of principal under the Term Loan. As of December 31, 2020, we had no principal outstanding under the Term Loan. For further information related to the Term Loan refer to Note G </w:t>
      </w:r>
      <w:r>
        <w:rPr>
          <w:rFonts w:ascii="Arial" w:cs="Arial" w:eastAsia="Arial" w:hAnsi="Arial"/>
          <w:sz w:val="16"/>
          <w:szCs w:val="16"/>
          <w:i w:val="1"/>
          <w:iCs w:val="1"/>
          <w:color w:val="auto"/>
        </w:rPr>
        <w:t>Notes Payable.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or where investors lack certain characteristics of a controlling financial interest. We assess our relationships to determine if we have the ability to direct the activities, or otherwise exert control, to evaluate if we are the primary beneficiary of the VIE. If we determine we are the primary beneficiary of a VIE, we consolidate the assets and liabilities of the VIE in our Consolidated Financial Statements. See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for additional information on our investments in VIEs.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Fixed Maturity Securities Available for Sale</w:t>
      </w:r>
    </w:p>
    <w:p>
      <w:pPr>
        <w:spacing w:after="0" w:line="10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and are carried at fair value, net of allowance for expected credit losses, with unrealized gains and losses included within accumulated other comprehensive income (loss) ("AOCI"), net of associated adjustments for deferred acquisition costs ("DAC"), value of business acquired ("VOBA"), deferred sales inducements ("DSI"), unearned revenue ("UREV"), SOP 03-1 reserves, and deferred income taxes. Fair values for fixed maturity securities are principally a function of current market conditions and are valued based on quoted prices in markets that are not active or model inputs that are observable either directly or indirectly. We recognize investment income on fixed maturities based on the interest method, which results in the recognition of a constant rate of return on the investment equal to the prevailing rate at the time of purchase or at the time of subsequent adjustments of book value. Changes in prepayment assumptions are accounted for prospectively. In our title segment, Realized gains and losses on sales of our fixed maturity securities are determined on the basis of the cost of the specific investments sold and are credited or charged to income on a trade date basis. Our F&amp;G segment uses FIFO cost basis and generally records security transactions on a trade date basis except for private placements, which are recorded on a settlement date basis. Realized gains and losses on sales of fixed maturity securities are reported within Recognized gains and losses, net in the accompanying Consolidated Statements of Earnings. For details on our policy around allowance for expected credit losses on available-for-sale securities, refer to Note E </w:t>
      </w:r>
      <w:r>
        <w:rPr>
          <w:rFonts w:ascii="Arial" w:cs="Arial" w:eastAsia="Arial" w:hAnsi="Arial"/>
          <w:sz w:val="17"/>
          <w:szCs w:val="17"/>
          <w:i w:val="1"/>
          <w:iCs w:val="1"/>
          <w:color w:val="auto"/>
        </w:rPr>
        <w:t>Investments.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Preferred and Equity Securities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Equity and preferred securities held are carried at fair value as of the balance sheet dates. The fair values of our equity and preferred securities are based on quoted prices in active markets, or are valued based on quoted prices in markets that are not active or model inputs that are observable either directly or indirectly. Changes in fair value and realized gains and losses on sales of our preferred and equity securities are reported within Recognized gains and losses, net in the accompanying Consolidated Statements of Earnings. Recognized gains and losses on sales of our preferred and equity securities are credited or charged to income on a trade date basis, unless the security is a private placement in which case settlement date basis is used.</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F&amp;G segment, we hedge certain portions of our exposure to product related equity market risk by entering into derivative transactions (primarily call options). All such derivative instruments are recognized as either assets or liabilities in the accompanying Consolidated Balance Sheets at fair value. The changes in fair value are reported within Recognized gains and losses, net in the accompanying Consolidated Statements of Earnings.</w:t>
      </w:r>
    </w:p>
    <w:p>
      <w:pPr>
        <w:spacing w:after="0" w:line="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embedded derivative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are reported within Benefits and other changes in policy reserves in the accompanying Consolidated Statements of Earnings. See a description of the fair value methodology used in Note D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As discussed in Note P </w:t>
      </w:r>
      <w:r>
        <w:rPr>
          <w:rFonts w:ascii="Arial" w:cs="Arial" w:eastAsia="Arial" w:hAnsi="Arial"/>
          <w:sz w:val="17"/>
          <w:szCs w:val="17"/>
          <w:i w:val="1"/>
          <w:iCs w:val="1"/>
          <w:color w:val="auto"/>
        </w:rPr>
        <w:t>Reinsurance</w:t>
      </w:r>
      <w:r>
        <w:rPr>
          <w:rFonts w:ascii="Arial" w:cs="Arial" w:eastAsia="Arial" w:hAnsi="Arial"/>
          <w:sz w:val="17"/>
          <w:szCs w:val="17"/>
          <w:color w:val="auto"/>
        </w:rPr>
        <w:t>, F&amp;G has a reinsurance agreement with Kubera, to cede certain MYGA and deferred annuity statutory reserves on a coinsurance funds withheld basis, net of applicable existing reinsurance. Funds withheld arrangements allow the Company to retain legal ownership of assets backing reinsurance arrangements until they are earned by the reinsurer while passing credit risk associated with the assets in the funds withheld account to the reinsurer. These arrangements create embedded derivatives considered to be total return swaps with contractual returns that are attributable to the assets and liabilities associated with the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These total return swaps are not clearly and closely related to the underlying reinsurance contract and thus require bifurcation. The reinsurance related embedded derivative is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reported in Prepaid expenses and other assets if in a net gain position, or Accounts payable and accrued liabilities, if in a net loss position on the Consolidated Balance Sheets and the related gains or losses are reported in Recognized gains (losses) on the Consolidated Statements of Earnings.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Mortgage Loans</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E </w:t>
      </w:r>
      <w:r>
        <w:rPr>
          <w:rFonts w:ascii="Arial" w:cs="Arial" w:eastAsia="Arial" w:hAnsi="Arial"/>
          <w:sz w:val="16"/>
          <w:szCs w:val="16"/>
          <w:i w:val="1"/>
          <w:iCs w:val="1"/>
          <w:color w:val="auto"/>
        </w:rPr>
        <w:t>Investments</w:t>
      </w:r>
      <w:r>
        <w:rPr>
          <w:rFonts w:ascii="Arial" w:cs="Arial" w:eastAsia="Arial" w:hAnsi="Arial"/>
          <w:sz w:val="16"/>
          <w:szCs w:val="16"/>
          <w:color w:val="auto"/>
        </w:rPr>
        <w:t>.</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Commercial mortgage loans are continuously monitored by reviewing appraisals, operating statements, rent revenues, annual inspection reports, loan specific credit quality, property characteristics, market trends and other factors.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mortgage loans are rated for the purpose of quantifying the level of risk. Loans are placed on a watch list when the debt service coverage ("DSC") ratio falls below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and/or in nonaccrual status, which is assessed monthly. Generally, nonperforming residential mortgage loans have a higher risk of experiencing a credit loss. We consider residential mortgage loans that are 90 or more days past due and have an LTV greater than 90% to be foreclosure probable.</w:t>
      </w:r>
    </w:p>
    <w:p>
      <w:pPr>
        <w:spacing w:after="0" w:line="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investments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consist primarily of money market instruments, which are carried at fair value, and commercial paper, which have an original maturity of one year or less and are carried at amortized cost, which approximates fair value.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our F&amp;G segment, we account for our investments in unconsolidated affiliates (primarily limited partnership interests) using the equity method and use net asset value ("NAV") as a practical expedient to determine the carrying value. Income from investments in unconsolidated affiliates is included within Interest and investment income in the accompanying Consolidated Statements of Earnings. Recognition of income is delayed due to the availability of the related financial statements, which are obtained from the general partner generally on a one to three-month delay. Management meets quarterly with the general partner to determine whether any credit or other market events have occurred since prior quarter financial statements to ensure any material events are properly included in current quarter valuation and investment income. In our title business we account for our Investments in unconsolidated affiliates using the equity method of accounting, earnings on our investments in unconsolidated affiliates are recorded within Equity in earnings of unconsolidated affiliates within the Consolidated Statements of Earnings.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investment income</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3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mortgage-backed and asset-backed securities, included in the fixed maturity securities portfolios, we recognize income using a constant effective yield based on anticipated cash flows and the estimated economic life of the securities. When actual prepayments differ significantly from originally anticipated prepayments, the effective yield is generally recalculated prospectively to reflect actual payments to date plus anticipated future payments. Any adjustments resulting from changes in effective yield are reflected in Interest and investment income.</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is presented net of earned investment management fees.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1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74% - 89% reported within three months following closing, an additional 10% - 24% reported within the next three months and the remainder within seven to fifteen months. In addition to accruing these earned but unreported agency premiums, we also accrue agent commission expense, which was 76.4% of agent premiums earned in 2020, 76.3% of agent premiums earned in 2019, and 76.5% of agent premiums earned in 2018. The amount due from our agents relating to this accrual, i.e., the agent premium less their contractual retained commission, was approximately $65 million and $46 million at December 31, 2020 and 2019, respectively. Due to the offsetting effects of reversing prior period accruals, the impact of this accrual to our recorded Agency title insurance premiums, Agent commissions and net earnings in any given period is not considered material.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See a description of the fair value methodology used in Note D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Goodwill is recorded as the residual amount by which the purchase price exceeds the fair value of the net assets acquired.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must also be adjusted for changes in fair value until settled.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completed annual goodwill impairment analyses in the fourth quarter of each period presented using a September 30 measurement date. For the years ended December 31, 2020 and 2019, we determined there were no events or circumstances which indicated that the carrying value of a reporting unit exceeded the fair value. We recorded $3 million of goodwill impairment related to a real estate brokerage reporting unit in our Corporate and other segment in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VOBA, VODA, DAC and DSI</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intangible assets include an intangible asset reflecting the value of insurance and reinsurance contracts acquired (hereafter referred to as the value of business acquired (“VOBA”), deferred acquisition costs (“DAC”), deferred sales inducements (“DSI”), internally developed software, trademarks and state licenses.</w:t>
      </w:r>
    </w:p>
    <w:p>
      <w:pPr>
        <w:spacing w:after="0" w:line="49"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 DAC consists principally of commissions that are related directly to the successful sale of new or renewal insurance contracts, which may be deferred to the extent recoverable. Indirect or unsuccessful acquisition costs, maintenance, product development and overhead expenses are charged to expense as incurred. DSI represents up front bonus credits and vesting bonuses to policyholder account values, which may be deferred to the extent recoverable.</w:t>
      </w:r>
    </w:p>
    <w:p>
      <w:pPr>
        <w:spacing w:after="0" w:line="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methodology for determining the amortization of DAC, DSI and VOBA varies by product type. For all insurance contracts accounted for under long-duration contract deposit accounting, amortization is based on assumptions consistent with those used in the development of the underlying contract liabilities adjusted for emerging experience and expected trends. For all of the insurance intangibles (DAC, DSI and VOBA), the balances are generally amortized over the lives of the policies in relation to the expected emergence of estimated gross profits (“EGPs”) from investment income, surrender charges and other product fees, less policy benefits, maintenance expenses, mortality, and expense margins. Recognized gains (losses) on investments and changes in fair value of the embedded derivative on our FIA and IUL products are included in actual gross profits in the period realized as described further below. Amortization is reported within Depreciation and amortization in the accompanying Consolidated Statements of Earnings.</w:t>
      </w:r>
    </w:p>
    <w:p>
      <w:pPr>
        <w:spacing w:after="0" w:line="4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Changes in assumptions, including our earned rate (i.e., long term assumptions of the Company’s expected earnings on related investments), budgeted option costs (i.e., the expected cost to purchase call options in future periods to fund the equity indexed linked feature) and surrender rates can have a significant impact on VOBA, DAC and DSI balances and amortization rates. Due to the relative size and sensitivity to minor changes in underlying assumptions of those intangible balances, we perform quarterly and annual analyses of the VOBA, DAC and DSI balances for recoverability to ensure that the unamortized portion does not exceed the expected recoverable amounts. At each evaluation date, actual historical gross profits are reflected with the impact on the intangibles reported as “unlocking” as a component of amortization expense, and estimated future gross profits and related assumptions are evaluated for continued reasonableness. Any adjustment in estimated future gross profits requires that the amortization rate be revised (“unlocking”) retroactively to the date of the policy or contract issuance. The cumulative unlocking adjustment is recognized as a component of current period amortization.</w:t>
      </w:r>
    </w:p>
    <w:p>
      <w:pPr>
        <w:spacing w:after="0" w:line="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of VOBA, DAC and DSI reflects an assumption for an expected level of credit-related investment losses. When actual credit-related investment losses are realized, we perform a retrospective unlocking of amortization for those intangibles as actual margins vary from expected margins. This unlocking is reflected in the accompanying Consolidated Statements of Earnings.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investment-type products, the VOBA, DAC and DSI assets are adjusted for the impact of unrealized gains (losses) on AFS investments as if these gains (losses) had been realized, with corresponding credits or charges included in AOCI ("shadow adjustments").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other intangible assets, not including goodwill, VOBA, DAC or DSI, which consist primarily of customer relationships and contracts, the value of distribution network acquired ("VODA"), 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recorded no impairment expense to other intangible assets during the years ended December 31, 2020 or 2019. We recorded $3 million in impairment expense to other intangible assets during the year ended December 31, 2018, which primarily related to an acquired customer relationship asset in our Title segment.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recorded $1 million in impairment expense to title plants during the year ended December 31, 2019, for two title plants, which are no longer in use. We reviewed title plants for impairment but recorded no impairment expense related to title plants in the years ended December 31, 2020 or 2018.</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Contractholder Funds</w:t>
      </w:r>
    </w:p>
    <w:p>
      <w:pPr>
        <w:spacing w:after="0" w:line="10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The liabilities for contractholder funds for deferred annuities and IUL policies consist of contract account balances that accrue to the benefit of the contractholders. The liabilities for FIA policies consist of the value of the host contract plus the fair value of the indexed crediting feature of the policy, which is accounted for as an embedded derivative. The embedded derivative is carried at fair value in Contractholder funds in the accompanying Consolidated Balance Sheets with changes in fair value reported in Benefits and other changes in policy reserves in the accompanying Consolidated Statements of Earnings. See a description of the fair value methodology used in Note D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2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Liabilities for the secondary guarantees on IUL-type products or Investment-type contracts are calculated by multiplying the benefit ratio by the cumulative assessments recorded from contract inception through the balance sheet date less the cumulative secondary guarantee benefit payments plus interest. The benefit ratio is the ratio of the present value of future secondary guarantees to the present value of the assessments used to provide the secondary guarantees using the same assumptions as we use for our intangible assets. If experience or assumption changes result in a new benefit ratio, the reserves are adjusted to reflect the changes in a manner similar to the unlocking of DAC, DSI and VOBA. The accounting for secondary guarantee benefits impact EGPs used to calculate amortization of DAC, DSI and VOBA. The related reserve is adjusted for the impact of unrealized gains (losses) on AFS investments as if these gains (losses) had been realized, with corresponding credits or charges included in AOCI ("shadow adjustments").</w:t>
      </w:r>
    </w:p>
    <w:p>
      <w:pPr>
        <w:spacing w:after="0" w:line="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Contractholder funds include funds related to funding agreements that have been issued by F&amp;G to the Federal Home Loan Bank of Atlanta (“FHLB”) as a funding medium for single premium funding agreements. The funding agreements (i.e., immediate annuity contracts without life contingencies) provide a guaranteed stream of payments or provide for a bullet payment with renewal provisions. Single premiums were received at the initiation of the funding agreements and were in the form of advances from the FHLB. Payments under the funding agreements extend through 2022. The reserves for the funding agreements totaled $1,203 million at December 31, 2020, and are included in Contractholder funds in the accompanying Consolidated Balance Sheets. In accordance with the agreements, the investments supporting the funding agreement liabilities are pledged as collateral to secure the FHLB funding agreement liabilities and are not available to settle our general obligations. The collateral investments had a fair value of $1,471 million at December 31,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liabilities for future policy benefits and claim reserves for traditional life policies and life contingent pay-out annuity policies are computed using assumptions for investment yields, mortality and withdrawals based on generally accepted actuarial methods and assumptions at the time of acquisition or contract issue. Investment yield assumption for traditional direct life reserves for all contracts is 4.3%. The investment yield assumption for life contingent pay-out annuities ranges from 4.0% to 4.1%. Policies are terminated through surrenders and maturities, where surrenders represent the voluntary terminations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policies by policyholders and maturities are determined by policy contract terms. Surrender assumptions are based upon policyholder experience adjusted for expected future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reserve for title claim losses also includes reserves for losses arising from closing and disbursement functions due to fraud or operational error.</w:t>
      </w:r>
    </w:p>
    <w:p>
      <w:pPr>
        <w:spacing w:after="0" w:line="11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$711 million and $791 million at December 31, 2020 and 2019,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jc w:val="center"/>
        <w:ind w:right="10300"/>
        <w:spacing w:after="0"/>
        <w:rPr>
          <w:sz w:val="20"/>
          <w:szCs w:val="20"/>
          <w:color w:val="auto"/>
        </w:rPr>
      </w:pPr>
      <w:r>
        <w:rPr>
          <w:rFonts w:ascii="Arial" w:cs="Arial" w:eastAsia="Arial" w:hAnsi="Arial"/>
          <w:sz w:val="15"/>
          <w:szCs w:val="15"/>
          <w:b w:val="1"/>
          <w:bCs w:val="1"/>
          <w:i w:val="1"/>
          <w:iCs w:val="1"/>
          <w:color w:val="auto"/>
        </w:rPr>
        <w:t>Reinsurance</w:t>
      </w:r>
    </w:p>
    <w:p>
      <w:pPr>
        <w:spacing w:after="0" w:line="58" w:lineRule="exact"/>
        <w:rPr>
          <w:sz w:val="20"/>
          <w:szCs w:val="20"/>
          <w:color w:val="auto"/>
        </w:rPr>
      </w:pPr>
    </w:p>
    <w:p>
      <w:pPr>
        <w:jc w:val="center"/>
        <w:ind w:right="10260"/>
        <w:spacing w:after="0"/>
        <w:rPr>
          <w:sz w:val="20"/>
          <w:szCs w:val="20"/>
          <w:color w:val="auto"/>
        </w:rPr>
      </w:pPr>
      <w:r>
        <w:rPr>
          <w:rFonts w:ascii="Arial" w:cs="Arial" w:eastAsia="Arial" w:hAnsi="Arial"/>
          <w:sz w:val="18"/>
          <w:szCs w:val="18"/>
          <w:i w:val="1"/>
          <w:iCs w:val="1"/>
          <w:color w:val="auto"/>
        </w:rPr>
        <w:t>Title</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our F&amp;G Segment, our insurance subsidiaries enter into reinsurance agreements with other companies in the normal course of business. Reinsurance agreements are mostly reported on a gross basis in our Consolidated Balance Sheets as an asset for amounts recoverable from reinsurers or as a component of other liabilities for amounts, such as premiums, owed to the reinsurers. Premiums and benefits are reported net of insurance ceded. The effects of certain reinsurance agreements are not accounted for as reinsurance as they either do not satisfy the risk transfer requirements for GAAP or are categorized and accounted for as investment contracts. The assets and liabilities of certain reinsurance contracts are presented on a net basis in the accompanying Consolidated Balance Sheets and Consolidated Statements of Earnings, respectively, when there is a right of offset explicit in the reinsurance agreement and deposit accounting is being applied. See Note P </w:t>
      </w:r>
      <w:r>
        <w:rPr>
          <w:rFonts w:ascii="Arial" w:cs="Arial" w:eastAsia="Arial" w:hAnsi="Arial"/>
          <w:sz w:val="17"/>
          <w:szCs w:val="17"/>
          <w:i w:val="1"/>
          <w:iCs w:val="1"/>
          <w:color w:val="auto"/>
        </w:rPr>
        <w:t>Reinsurance</w:t>
      </w:r>
      <w:r>
        <w:rPr>
          <w:rFonts w:ascii="Arial" w:cs="Arial" w:eastAsia="Arial" w:hAnsi="Arial"/>
          <w:sz w:val="17"/>
          <w:szCs w:val="17"/>
          <w:color w:val="auto"/>
        </w:rPr>
        <w:t xml:space="preserve"> for details.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L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Benefit expenses for FIA, fixed rate annuities and IUL policies include index credits and interest credited to contractholder account balances and benefit claims in excess of contract account balances, net of reinsurance recoveries, are charged to expense in the period that they are earned by the policyholder based on their selected strategy. Interest crediting rates associated with funds invested in the general account of our insurance subsidiaries range from 0.5% to 6.0% for deferred annuities and FIAs combined, and 3.0% to 4.8% for IULs. Other changes in policy reserves include the change in the fair value of the FIA embedded derivative and the change in the reserve for secondary guarantee benefit payments.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changes in policy reserves also include the change in reserves for life insurance products. For traditional life and immediate annuities, policy benefit claims are charged to expense in the period that the claims are incurred, net of reinsurance recoveries.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options or other instruments, which provide the ability to acquire shares of our common stock that are antidilutive are excluded from the computation of diluted earnings per share. There were 1 million antidilutive instruments outstanding during the year ended December 31, 2020. There were no antidilutive instruments outstanding during the years ended December 31, 2019 and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balance of Other comprehensive earnings (loss) by component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hanging="201"/>
        <w:spacing w:after="0" w:line="328" w:lineRule="auto"/>
        <w:rPr>
          <w:sz w:val="20"/>
          <w:szCs w:val="20"/>
          <w:color w:val="auto"/>
        </w:rPr>
      </w:pPr>
      <w:r>
        <w:rPr>
          <w:rFonts w:ascii="Arial" w:cs="Arial" w:eastAsia="Arial" w:hAnsi="Arial"/>
          <w:sz w:val="14"/>
          <w:szCs w:val="14"/>
          <w:color w:val="auto"/>
        </w:rPr>
        <w:t>Balance December 31, 2018 Reclassification adjustments Other comprehensive earnings</w:t>
      </w:r>
    </w:p>
    <w:p>
      <w:pPr>
        <w:spacing w:after="0" w:line="1" w:lineRule="exact"/>
        <w:rPr>
          <w:sz w:val="20"/>
          <w:szCs w:val="20"/>
          <w:color w:val="auto"/>
        </w:rPr>
      </w:pPr>
    </w:p>
    <w:p>
      <w:pPr>
        <w:ind w:left="240" w:hanging="201"/>
        <w:spacing w:after="0" w:line="342" w:lineRule="auto"/>
        <w:rPr>
          <w:sz w:val="20"/>
          <w:szCs w:val="20"/>
          <w:color w:val="auto"/>
        </w:rPr>
      </w:pPr>
      <w:r>
        <w:rPr>
          <w:rFonts w:ascii="Arial" w:cs="Arial" w:eastAsia="Arial" w:hAnsi="Arial"/>
          <w:sz w:val="14"/>
          <w:szCs w:val="14"/>
          <w:color w:val="auto"/>
        </w:rPr>
        <w:t>Balance December 31, 2019 Reclassification adjustments Other comprehensive earnings</w:t>
      </w:r>
    </w:p>
    <w:p>
      <w:pPr>
        <w:ind w:left="40"/>
        <w:spacing w:after="0"/>
        <w:rPr>
          <w:sz w:val="20"/>
          <w:szCs w:val="20"/>
          <w:color w:val="auto"/>
        </w:rPr>
      </w:pPr>
      <w:r>
        <w:rPr>
          <w:rFonts w:ascii="Arial" w:cs="Arial" w:eastAsia="Arial" w:hAnsi="Arial"/>
          <w:sz w:val="16"/>
          <w:szCs w:val="16"/>
          <w:color w:val="auto"/>
        </w:rPr>
        <w:t>Balance December 31, 2020</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Unrealized gain (loss) on</w:t>
            </w:r>
          </w:p>
        </w:tc>
        <w:tc>
          <w:tcPr>
            <w:tcW w:w="14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 gain</w:t>
            </w:r>
          </w:p>
        </w:tc>
        <w:tc>
          <w:tcPr>
            <w:tcW w:w="12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Unrealized (loss)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Total Accumulated</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investments and other financial</w:t>
            </w:r>
          </w:p>
        </w:tc>
        <w:tc>
          <w:tcPr>
            <w:tcW w:w="14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(loss) relating to</w:t>
            </w:r>
          </w:p>
        </w:tc>
        <w:tc>
          <w:tcPr>
            <w:tcW w:w="12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gain on foreign</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Minimum pension</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instruments, net (excluding</w:t>
            </w:r>
          </w:p>
        </w:tc>
        <w:tc>
          <w:tcPr>
            <w:tcW w:w="14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investments in</w:t>
            </w:r>
          </w:p>
        </w:tc>
        <w:tc>
          <w:tcPr>
            <w:tcW w:w="162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currency translation</w:t>
            </w:r>
          </w:p>
        </w:tc>
        <w:tc>
          <w:tcPr>
            <w:tcW w:w="1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investments in unconsolidated</w:t>
            </w:r>
          </w:p>
        </w:tc>
        <w:tc>
          <w:tcPr>
            <w:tcW w:w="14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unconsolidated</w:t>
            </w:r>
          </w:p>
        </w:tc>
        <w:tc>
          <w:tcPr>
            <w:tcW w:w="12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and cash flow</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7"/>
              </w:rPr>
              <w:t>liability</w:t>
            </w: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affiliates)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affiliates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hedging</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1"/>
              </w:rPr>
              <w:t>adjustment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Earnings (Loss)</w:t>
            </w:r>
          </w:p>
        </w:tc>
        <w:tc>
          <w:tcPr>
            <w:tcW w:w="0" w:type="dxa"/>
            <w:vAlign w:val="bottom"/>
          </w:tcPr>
          <w:p>
            <w:pPr>
              <w:spacing w:after="0"/>
              <w:rPr>
                <w:sz w:val="1"/>
                <w:szCs w:val="1"/>
                <w:color w:val="auto"/>
              </w:rPr>
            </w:pPr>
          </w:p>
        </w:tc>
      </w:tr>
      <w:tr>
        <w:trPr>
          <w:trHeight w:val="210"/>
        </w:trPr>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13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14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-873760</wp:posOffset>
            </wp:positionV>
            <wp:extent cx="710628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-599440</wp:posOffset>
            </wp:positionV>
            <wp:extent cx="7106285"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-316865</wp:posOffset>
            </wp:positionV>
            <wp:extent cx="710628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00"/>
            <w:col w:w="8520"/>
          </w:cols>
          <w:pgMar w:left="320" w:top="125"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Subsequent to our acquisition of Lender Processing Services, Inc. ("LPS") in January 2014, we issued a 35% ownership interest in ServiceLink to funds affiliated with Thomas H. Lee Partners ("THL" or "the minority interest holder"). THL had an option to put its ownership interests of ServiceLink to us if no public offering of the corresponding business was consummated after four years from the date of FNF's purchase of LPS. The Class A units owned by THL (the "redeemable noncontrolling interests") could have been settled in cash or common stock of FNF or a combination of both at our election. As of January 2018, no public offering was made and the redeemable noncontrolling interests were no longer subject to a holding requirement. The redeemable noncontrolling interests were settled at the current fair value at the time we received notice of THL's put election as determined by the parties or by a third party appraisal under the terms of the Unit Purchase Agreement. As a result of a recapitalization of ServiceLink in 2015, the ownership interest by the minority interest holder was reduced from 35% to 21%. The redeemable noncontrolling interests were recorded at their initial value of $344 million in our Consolidated Balance Sheets and would have been adjusted to fair value were such value to rise above the initial value.</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these redeemable noncontrolling interests provided for redemption features not solely within our control, we classified the redeemable noncontrolling interests outside of permanent equity. Redeemable noncontrolling interests held by third parties in subsidiaries owned or controlled by FNF was reported on the Consolidated Balance Sheets outside of permanent equity as of December 31, 2019; and the Consolidated Statement of Earnings reflected the respective redeemable noncontrolling interests in Net earnings attributable to non-controlling interests for the years ended December 31, 2019 and 2018, the effect of which was removed from the net earnings attributable to FNF common shareholders.</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29, 2020, we purchased for $90 million the outstanding Class A units of ServiceLink held by THL. As of the purchase date, ServiceLink is a wholly-owned subsidiary of FNF.</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Note Receivable from Cannae</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In November 2017, in conjunction with the split-off of our former portfolio company investments into a separate company, C</w:t>
      </w:r>
      <w:r>
        <w:rPr>
          <w:rFonts w:ascii="Arial" w:cs="Arial" w:eastAsia="Arial" w:hAnsi="Arial"/>
          <w:sz w:val="18"/>
          <w:szCs w:val="18"/>
          <w:color w:val="000000"/>
        </w:rPr>
        <w:t>annae Holdings, Inc.</w:t>
      </w:r>
      <w:r>
        <w:rPr>
          <w:rFonts w:ascii="Arial" w:cs="Arial" w:eastAsia="Arial" w:hAnsi="Arial"/>
          <w:sz w:val="18"/>
          <w:szCs w:val="18"/>
          <w:color w:val="212529"/>
        </w:rPr>
        <w:t xml:space="preserve"> </w:t>
      </w:r>
      <w:r>
        <w:rPr>
          <w:rFonts w:ascii="Arial" w:cs="Arial" w:eastAsia="Arial" w:hAnsi="Arial"/>
          <w:sz w:val="18"/>
          <w:szCs w:val="18"/>
          <w:color w:val="000000"/>
        </w:rPr>
        <w:t>("Cannae"), we issued to Cannae a revolver note (the "Cannae Revolver") in the aggregate principal amount of up to $100 million. Cannae is considered a related party to FNF.</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Cannae Revolver accrues interest quarterly at LIBOR plus 450 basis points and matures on the five-year anniversary from the date of issuance. The maturity date is automatically extended for additional five-year terms unless notice of non-renewal is otherwise provided by either FNF or Cannae, in their sole discretion.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7, 2019, Cannae borrowed $100 million from FNF under the Cannae Revolver. On June 12, 2019, Cannae repaid to FNF the entire $100 million outstanding amount under the Cannae Revolver.</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5, 2019, Cannae borrowed $100 million from FNF under the Cannae Revolver. On September 11, 2019, Cannae repaid to FNF the entire $100 million outstanding amount under the Cannae Revolver.</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and 2019, there was no outstanding balance under the Cannae Revolver.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account for the Cannae Revolver as a financing receivable. Interest income is recorded ratably in periods in which principal is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Uncollectible financing receivables are written off or impaired when, based on all available information, it is probable that a loss has occurred.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 xml:space="preserve">On June 1, 2020, we acquired 100% of the outstanding equity of F&amp;G for approximately $2.7 billion. In connection with the Merger, we issued approximately 24 million shares of FNF common stock and paid approximately $1.8 billion in cash to former holders of F&amp;G ordinary and preferred shares. On August 26, 2020, we issued an additional 1 million shares of FNF common stock and paid approximately $100 million in cash to Kingfishers, LP., Kingstown Partners Master, LTD., Kingstown Partners II, LP., Kingstown 1740 Fund, LP. and Ktown, LP. (collectively the "Kingstown Dissenters"), who are former owners of F&amp;G common stock. For more information related to the Kingstown Dissenters, refer to Note H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At closing, all outstanding shares of F&amp;G common stock, excluding shares associated with the liability to former owners, were converted</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right to receive the Merger Consideration (as defined in the Merger Agreement). Additionally, each outstanding F&amp;G Option and F&amp;G Phantom unit was cancelled and converted into options to purchase FNF common stock and phantom units denominated in FNF common stock, and each outstanding warrant to purchase F&amp;G common stock was converted into the right to purchase and receive upon exercise $8.18 in cash and .0833 shares of FNF common stock. At closing, our subsidiaries' ownership of F&amp;G common and preferred shares was converted into approximately 7 million shares of FNF common stock, which are reflected as treasury shares in the accompanying Consolidated Financial Statements.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960" w:type="dxa"/>
            <w:vAlign w:val="bottom"/>
          </w:tcPr>
          <w:p>
            <w:pPr>
              <w:ind w:left="240"/>
              <w:spacing w:after="0"/>
              <w:rPr>
                <w:sz w:val="20"/>
                <w:szCs w:val="20"/>
                <w:color w:val="auto"/>
              </w:rPr>
            </w:pPr>
            <w:r>
              <w:rPr>
                <w:rFonts w:ascii="Arial" w:cs="Arial" w:eastAsia="Arial" w:hAnsi="Arial"/>
                <w:sz w:val="18"/>
                <w:szCs w:val="18"/>
                <w:color w:val="auto"/>
              </w:rPr>
              <w:t>The initial purchase price is as follows (in millions):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35"/>
        </w:trPr>
        <w:tc>
          <w:tcPr>
            <w:tcW w:w="9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outstanding F&amp;G shares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2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 for F&amp;G</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Value of FNF share consideration</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outstanding converted equity awards attributed to services already rendered</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960" w:type="dxa"/>
            <w:vAlign w:val="bottom"/>
          </w:tcPr>
          <w:p>
            <w:pPr>
              <w:ind w:left="20"/>
              <w:spacing w:after="0"/>
              <w:rPr>
                <w:sz w:val="20"/>
                <w:szCs w:val="20"/>
                <w:color w:val="auto"/>
              </w:rPr>
            </w:pPr>
            <w:r>
              <w:rPr>
                <w:rFonts w:ascii="Arial" w:cs="Arial" w:eastAsia="Arial" w:hAnsi="Arial"/>
                <w:sz w:val="18"/>
                <w:szCs w:val="18"/>
                <w:color w:val="auto"/>
              </w:rPr>
              <w:t>Total net consideration paid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0"/>
        </w:trPr>
        <w:tc>
          <w:tcPr>
            <w:tcW w:w="9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acquisition was accounted for as a business combination under FASB Accounting Standards Codification Topic 805, Business Combinations ("Topic 805").The purchase price has been allocated to F&amp;G's assets acquired and liabilities assumed based on our best estimates of their fair values as of the acquisition date. The fair value of assets acquired and liabilities assumed represents a preliminary allocation as our evaluation of facts and circumstances available as of June 1, 2020 is ongoing. As of December 31, 2020, the preliminary allocation of purchase price primarily relates to the valuation of identifiable intangible assets. Goodwill has been recorded based on the amount that the purchase price exceeds 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Topic 805, the financial statements will not be retrospectively adjusted for any provisional amount changes that occur in subsequent periods. Rather, we will recognize any provisional adjustments as we obtain information not available as of the completion of this preliminary fair value calculation as determined within the measurement period. We will also be required to record, in the same period as the financial statements, the effect on earnings of changes in depreciation, amortization, or other income effects, if any, as a result of any change to the provisional amounts, calculated as if the accounting had been completed at the acquisition date. We expect to finalize the purchase price allocation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following table summarizes the preliminary fair value amounts recognized for the assets acquired and liabilities assumed as of the acquisition date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101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22,389</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101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1014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Other long-term investments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Trade and notes receivable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29"/>
        </w:trPr>
        <w:tc>
          <w:tcPr>
            <w:tcW w:w="10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3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1014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10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of discontinued operations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r>
      <w:tr>
        <w:trPr>
          <w:trHeight w:val="223"/>
        </w:trPr>
        <w:tc>
          <w:tcPr>
            <w:tcW w:w="10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37,034</w:t>
            </w:r>
          </w:p>
        </w:tc>
      </w:tr>
      <w:tr>
        <w:trPr>
          <w:trHeight w:val="230"/>
        </w:trPr>
        <w:tc>
          <w:tcPr>
            <w:tcW w:w="10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Contractholder funds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26,451</w:t>
            </w:r>
          </w:p>
        </w:tc>
      </w:tr>
      <w:tr>
        <w:trPr>
          <w:trHeight w:val="229"/>
        </w:trPr>
        <w:tc>
          <w:tcPr>
            <w:tcW w:w="10140" w:type="dxa"/>
            <w:vAlign w:val="bottom"/>
          </w:tcPr>
          <w:p>
            <w:pPr>
              <w:ind w:left="20"/>
              <w:spacing w:after="0"/>
              <w:rPr>
                <w:sz w:val="20"/>
                <w:szCs w:val="20"/>
                <w:color w:val="auto"/>
              </w:rPr>
            </w:pPr>
            <w:r>
              <w:rPr>
                <w:rFonts w:ascii="Arial" w:cs="Arial" w:eastAsia="Arial" w:hAnsi="Arial"/>
                <w:sz w:val="18"/>
                <w:szCs w:val="18"/>
                <w:color w:val="auto"/>
              </w:rPr>
              <w:t>Future policy benefits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3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withheld for reinsurance liabilities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of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23"/>
        </w:trPr>
        <w:tc>
          <w:tcPr>
            <w:tcW w:w="1014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35,124</w:t>
            </w:r>
          </w:p>
        </w:tc>
      </w:tr>
      <w:tr>
        <w:trPr>
          <w:trHeight w:val="229"/>
        </w:trPr>
        <w:tc>
          <w:tcPr>
            <w:tcW w:w="10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101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1"/>
        </w:trPr>
        <w:tc>
          <w:tcPr>
            <w:tcW w:w="10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9" w:lineRule="auto"/>
        <w:rPr>
          <w:sz w:val="20"/>
          <w:szCs w:val="20"/>
          <w:color w:val="auto"/>
        </w:rPr>
      </w:pPr>
      <w:r>
        <w:rPr>
          <w:rFonts w:ascii="Arial" w:cs="Arial" w:eastAsia="Arial" w:hAnsi="Arial"/>
          <w:sz w:val="18"/>
          <w:szCs w:val="18"/>
          <w:color w:val="auto"/>
        </w:rPr>
        <w:t>The gross carrying value and weighted average estimated useful lives of Other intangible assets acquired in the F&amp;G acquisition consist of the following (dollars in millions):</w:t>
      </w:r>
    </w:p>
    <w:tbl>
      <w:tblPr>
        <w:tblLayout w:type="fixed"/>
        <w:tblInd w:w="0" w:type="dxa"/>
        <w:tblCellMar>
          <w:top w:w="0" w:type="dxa"/>
          <w:left w:w="0" w:type="dxa"/>
          <w:bottom w:w="0" w:type="dxa"/>
          <w:right w:w="0" w:type="dxa"/>
        </w:tblCellMar>
      </w:tblPr>
      <w:tr>
        <w:trPr>
          <w:trHeight w:val="144"/>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7"/>
              </w:rPr>
              <w:t>Gross Carrying Value</w:t>
            </w:r>
          </w:p>
        </w:tc>
        <w:tc>
          <w:tcPr>
            <w:tcW w:w="10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business acquired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Value of distribution network acquired</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period from June 1, 2020 to December 31, 2020, we adjusted the provisional amounts as of June 1, 2020 that were recognized at the acquisition date to reflect new information obtained about facts and circumstances that existed as of the acquisition dates that, if known, would have affected the measurement of the amounts recognized as of the acquisition date. Such adjustments resulted in an increase in Investments in unconsolidated affiliates of approximately $31 million, an increase in Reinsurance recoverable of approximately $46 million, an increase in Goodwill of approximately $26 million, a decrease in Other intangible assets of approximately $93 million, an increase in Deferred tax assets of approximately $13 million, an increase in Accounts payable and other accrued liabilities of $35 million and various other, individually immaterial items.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Supplemental Pro-forma Financial Results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F&amp;G's financial results since the acquisition date are reflected in our Consolidated Financial Statements. F&amp;G's revenues and net earnings for the period from June 1, 2020 through December 31, 2020 of $1,233 million and $136 million, respectively, are included in the Consolidated Statements of Earnings for the year ended December 31, 2020. For comparative purposes, selected unaudited pro-forma consolidated results of operations of FNF for the years ended December 31, 2020 and 2019 are presented below. Unaudited pro-forma results presented assume the consolidation of F&amp;G occurred as of January 1, 2019.</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176"/>
              <w:spacing w:after="0"/>
              <w:rPr>
                <w:sz w:val="20"/>
                <w:szCs w:val="20"/>
                <w:color w:val="auto"/>
              </w:rPr>
            </w:pPr>
            <w:r>
              <w:rPr>
                <w:rFonts w:ascii="Arial" w:cs="Arial" w:eastAsia="Arial" w:hAnsi="Arial"/>
                <w:sz w:val="14"/>
                <w:szCs w:val="14"/>
                <w:b w:val="1"/>
                <w:bCs w:val="1"/>
                <w:color w:val="auto"/>
                <w:w w:val="93"/>
              </w:rPr>
              <w:t>Year Ended December 31,</w:t>
            </w:r>
          </w:p>
        </w:tc>
      </w:tr>
      <w:tr>
        <w:trPr>
          <w:trHeight w:val="187"/>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183"/>
        </w:trPr>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15"/>
                <w:szCs w:val="15"/>
                <w:color w:val="auto"/>
              </w:rPr>
            </w:pPr>
          </w:p>
        </w:tc>
      </w:tr>
      <w:tr>
        <w:trPr>
          <w:trHeight w:val="231"/>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10,897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Net earnings attributable to FNF common shareholders</w:t>
            </w:r>
          </w:p>
        </w:tc>
        <w:tc>
          <w:tcPr>
            <w:tcW w:w="2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1,233</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r>
    </w:tbl>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Amounts reflect certain pro forma adjustments to revenue and net earnings that were directly attributable to the acquisition, and for the elimination of historical activity between FNF and F&amp;G prior to the acquisition. These adjustments include the following:</w:t>
      </w:r>
    </w:p>
    <w:p>
      <w:pPr>
        <w:spacing w:after="0" w:line="19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valuation changes on FNF's investment in F&amp;G common and preferred shares prior to the acquisition;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dividends received by FNF related to its holdings of F&amp;G's common and preferred shares prior to the acquisition;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advisory fees F&amp;G paid to FNF;</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transaction costs paid by F&amp;G;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adjustment to record interest expense related to financing associated with the acquisition;</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adjustment to reflect the elimination of historical amortization of F&amp;G intangibles and the additional amortization of F&amp;G intangibles measured at fair value as of the acquisition date; and</w:t>
      </w:r>
    </w:p>
    <w:p>
      <w:pPr>
        <w:spacing w:after="0" w:line="48"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adjustment to reflect the prospective reclassification from accumulated other comprehensive earnings of the unrealized gains on available-for-sale securities to a premium, which will be amortized into income based on the expected life of the investment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Summary of Reserve for Title Claim Losses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title claim losses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(Dollars in millions)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1,509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1,488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Change in insurance recoverable</w:t>
            </w:r>
          </w:p>
        </w:tc>
        <w:tc>
          <w:tcPr>
            <w:tcW w:w="9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9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221</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ind w:left="480"/>
              <w:spacing w:after="0"/>
              <w:rPr>
                <w:sz w:val="20"/>
                <w:szCs w:val="20"/>
                <w:color w:val="auto"/>
              </w:rPr>
            </w:pPr>
            <w:r>
              <w:rPr>
                <w:rFonts w:ascii="Arial" w:cs="Arial" w:eastAsia="Arial" w:hAnsi="Arial"/>
                <w:sz w:val="18"/>
                <w:szCs w:val="18"/>
                <w:color w:val="auto"/>
              </w:rPr>
              <w:t>Total title claim loss provision</w:t>
            </w:r>
          </w:p>
        </w:tc>
        <w:tc>
          <w:tcPr>
            <w:tcW w:w="9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221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9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(209)</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(213)</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1,509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80" w:type="dxa"/>
            <w:vAlign w:val="bottom"/>
          </w:tcPr>
          <w:p>
            <w:pPr>
              <w:ind w:left="20"/>
              <w:spacing w:after="0" w:line="203" w:lineRule="exact"/>
              <w:rPr>
                <w:sz w:val="20"/>
                <w:szCs w:val="20"/>
                <w:color w:val="auto"/>
              </w:rPr>
            </w:pPr>
            <w:r>
              <w:rPr>
                <w:rFonts w:ascii="Arial" w:cs="Arial" w:eastAsia="Arial" w:hAnsi="Arial"/>
                <w:sz w:val="18"/>
                <w:szCs w:val="18"/>
                <w:color w:val="auto"/>
                <w:w w:val="95"/>
              </w:rPr>
              <w:t>Provision for title insurance claim losses as a percentage of title insurance premiums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r>
      <w:tr>
        <w:trPr>
          <w:trHeight w:val="20"/>
        </w:trPr>
        <w:tc>
          <w:tcPr>
            <w:tcW w:w="6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seeking to acquire California alcoholic beverage licenses. Plaintiffs contend that under California state law, alcoholic beverage license applicants are required 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 The Named Companies have settled or are planning mediations and/or settlement discussions with a majority of both the individual and group investors in the alleged scheme in the coming months.</w:t>
      </w:r>
    </w:p>
    <w:p>
      <w:pPr>
        <w:spacing w:after="0" w:line="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lawsuits were filed in the Superior Court of San Diego County for the State of California. While they have not been consolidated into one action, they have been deemed by the court to be related and are assigned to the same judge for purposes of judicial economy. The Named Companies filed an omnibus motion to dismiss the complaints in the related cases on several grounds. On January 13, 2021, the court entered an order dismissing several of the counts with leave to amend, another without leave to amend, and denied the motion as to the remaining counts. Unless otherwise noted as resolved, plaintiffs have recently filed or are expected to file amended complaints in these cases, and the Named Companies will file responses on or before the respective due dates.</w:t>
      </w:r>
    </w:p>
    <w:p>
      <w:pPr>
        <w:spacing w:after="0" w:line="84"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 xml:space="preserve">On December 13, 2019, a lawsuit styled, </w:t>
      </w:r>
      <w:r>
        <w:rPr>
          <w:rFonts w:ascii="Arial" w:cs="Arial" w:eastAsia="Arial" w:hAnsi="Arial"/>
          <w:sz w:val="16"/>
          <w:szCs w:val="16"/>
          <w:i w:val="1"/>
          <w:iCs w:val="1"/>
          <w:color w:val="auto"/>
        </w:rPr>
        <w:t>Kim Funding, LLC, Kim H. Peterson, Joseph J. Cohen, and ABC Funding Strategies, LLC v. Chicago</w:t>
      </w:r>
      <w:r>
        <w:rPr>
          <w:rFonts w:ascii="Arial" w:cs="Arial" w:eastAsia="Arial" w:hAnsi="Arial"/>
          <w:sz w:val="16"/>
          <w:szCs w:val="16"/>
          <w:color w:val="auto"/>
        </w:rPr>
        <w:t xml:space="preserve"> </w:t>
      </w:r>
      <w:r>
        <w:rPr>
          <w:rFonts w:ascii="Arial" w:cs="Arial" w:eastAsia="Arial" w:hAnsi="Arial"/>
          <w:sz w:val="16"/>
          <w:szCs w:val="16"/>
          <w:i w:val="1"/>
          <w:iCs w:val="1"/>
          <w:color w:val="auto"/>
        </w:rPr>
        <w:t>Title Co., Chicago Title Ins. Co., Thomas Schwiebert, Adelle Ducharme, and Betty Elixman</w:t>
      </w:r>
      <w:r>
        <w:rPr>
          <w:rFonts w:ascii="Arial" w:cs="Arial" w:eastAsia="Arial" w:hAnsi="Arial"/>
          <w:sz w:val="16"/>
          <w:szCs w:val="16"/>
          <w:color w:val="auto"/>
        </w:rPr>
        <w:t>, was filed in San Diego County Superior Court.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claim losses of more than $250 million as a result of the alleged fraud scheme, and also seek statutory, treble, and punitive damages.</w:t>
      </w:r>
    </w:p>
    <w:p>
      <w:pPr>
        <w:spacing w:after="0" w:line="41"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 xml:space="preserve">On March 6, 2020, a lawsuit styled, </w:t>
      </w:r>
      <w:r>
        <w:rPr>
          <w:rFonts w:ascii="Arial" w:cs="Arial" w:eastAsia="Arial" w:hAnsi="Arial"/>
          <w:sz w:val="17"/>
          <w:szCs w:val="17"/>
          <w:i w:val="1"/>
          <w:iCs w:val="1"/>
          <w:color w:val="auto"/>
        </w:rPr>
        <w:t>Wakefield Capital, LLC, Wakefield Investments, LLC, 2Budz Holding, LLC, Doug and Kristine Heidrich, and</w:t>
      </w:r>
      <w:r>
        <w:rPr>
          <w:rFonts w:ascii="Arial" w:cs="Arial" w:eastAsia="Arial" w:hAnsi="Arial"/>
          <w:sz w:val="17"/>
          <w:szCs w:val="17"/>
          <w:color w:val="auto"/>
        </w:rPr>
        <w:t xml:space="preserve"> </w:t>
      </w:r>
      <w:r>
        <w:rPr>
          <w:rFonts w:ascii="Arial" w:cs="Arial" w:eastAsia="Arial" w:hAnsi="Arial"/>
          <w:sz w:val="17"/>
          <w:szCs w:val="17"/>
          <w:i w:val="1"/>
          <w:iCs w:val="1"/>
          <w:color w:val="auto"/>
        </w:rPr>
        <w:t>Jeff and Heidi Orr v. Chicago Title Co. and Chicago Title Ins. Co.</w:t>
      </w:r>
      <w:r>
        <w:rPr>
          <w:rFonts w:ascii="Arial" w:cs="Arial" w:eastAsia="Arial" w:hAnsi="Arial"/>
          <w:sz w:val="17"/>
          <w:szCs w:val="17"/>
          <w:color w:val="auto"/>
        </w:rPr>
        <w:t>, was filed in San Diego County Superior Court. Plaintiffs claim losses in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$7 million as a result of the alleged fraud scheme, and also seek punitive damages, recovery of attorneys’ fees, and disgorgement.</w:t>
      </w:r>
    </w:p>
    <w:p>
      <w:pPr>
        <w:spacing w:after="0" w:line="5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 xml:space="preserve">On March 16, 2020, a lawsuit styled, </w:t>
      </w:r>
      <w:r>
        <w:rPr>
          <w:rFonts w:ascii="Arial" w:cs="Arial" w:eastAsia="Arial" w:hAnsi="Arial"/>
          <w:sz w:val="18"/>
          <w:szCs w:val="18"/>
          <w:i w:val="1"/>
          <w:iCs w:val="1"/>
          <w:color w:val="auto"/>
        </w:rPr>
        <w:t>Randolph L. Levin, et al., v. Chicago Title Co., Chicago Title Ins. Co., Thomas Schwiebert, Adelle</w:t>
      </w:r>
      <w:r>
        <w:rPr>
          <w:rFonts w:ascii="Arial" w:cs="Arial" w:eastAsia="Arial" w:hAnsi="Arial"/>
          <w:sz w:val="18"/>
          <w:szCs w:val="18"/>
          <w:color w:val="auto"/>
        </w:rPr>
        <w:t xml:space="preserve"> </w:t>
      </w:r>
      <w:r>
        <w:rPr>
          <w:rFonts w:ascii="Arial" w:cs="Arial" w:eastAsia="Arial" w:hAnsi="Arial"/>
          <w:sz w:val="18"/>
          <w:szCs w:val="18"/>
          <w:i w:val="1"/>
          <w:iCs w:val="1"/>
          <w:color w:val="auto"/>
        </w:rPr>
        <w:t>Ducharme, Betty Elixman, et al.</w:t>
      </w:r>
      <w:r>
        <w:rPr>
          <w:rFonts w:ascii="Arial" w:cs="Arial" w:eastAsia="Arial" w:hAnsi="Arial"/>
          <w:sz w:val="18"/>
          <w:szCs w:val="18"/>
          <w:color w:val="auto"/>
        </w:rPr>
        <w:t>, was filed in San Diego County Superior Court. Plaintiffs claim losses in excess of $38 million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fraud scheme, and also seek punitive damages and the recovery of attorneys’ fees. This matter recently settled under confidential terms following mediation.</w:t>
      </w:r>
    </w:p>
    <w:p>
      <w:pPr>
        <w:spacing w:after="0" w:line="79"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 xml:space="preserve">On May 29, 2020, a lawsuit styled, </w:t>
      </w:r>
      <w:r>
        <w:rPr>
          <w:rFonts w:ascii="Arial" w:cs="Arial" w:eastAsia="Arial" w:hAnsi="Arial"/>
          <w:sz w:val="18"/>
          <w:szCs w:val="18"/>
          <w:i w:val="1"/>
          <w:iCs w:val="1"/>
          <w:color w:val="auto"/>
        </w:rPr>
        <w:t>Mark Atherton, et al., v. Chicago Title Co. and Chicago Title Ins. Co.</w:t>
      </w:r>
      <w:r>
        <w:rPr>
          <w:rFonts w:ascii="Arial" w:cs="Arial" w:eastAsia="Arial" w:hAnsi="Arial"/>
          <w:sz w:val="18"/>
          <w:szCs w:val="18"/>
          <w:color w:val="auto"/>
        </w:rPr>
        <w:t>, was filed in was filed in San Diego County Superior Court. Plaintiffs claim losses of more than $30 million as a result of the alleged fraud scheme, and also seek statutory, treble, and punitive damages, as well as the recovery of attorneys’ fees.</w:t>
      </w:r>
    </w:p>
    <w:p>
      <w:pPr>
        <w:spacing w:after="0" w:line="76"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 xml:space="preserve">On June 29, 2020, a lawsuit styled, </w:t>
      </w:r>
      <w:r>
        <w:rPr>
          <w:rFonts w:ascii="Arial" w:cs="Arial" w:eastAsia="Arial" w:hAnsi="Arial"/>
          <w:sz w:val="18"/>
          <w:szCs w:val="18"/>
          <w:i w:val="1"/>
          <w:iCs w:val="1"/>
          <w:color w:val="auto"/>
        </w:rPr>
        <w:t>Susan Heller Fenley Separate Property Trust, DTD 03/04/2010, Susan Heller Fenley Inherited Roth IRA,</w:t>
      </w:r>
      <w:r>
        <w:rPr>
          <w:rFonts w:ascii="Arial" w:cs="Arial" w:eastAsia="Arial" w:hAnsi="Arial"/>
          <w:sz w:val="18"/>
          <w:szCs w:val="18"/>
          <w:color w:val="auto"/>
        </w:rPr>
        <w:t xml:space="preserve"> </w:t>
      </w:r>
      <w:r>
        <w:rPr>
          <w:rFonts w:ascii="Arial" w:cs="Arial" w:eastAsia="Arial" w:hAnsi="Arial"/>
          <w:sz w:val="18"/>
          <w:szCs w:val="18"/>
          <w:i w:val="1"/>
          <w:iCs w:val="1"/>
          <w:color w:val="auto"/>
        </w:rPr>
        <w:t>Shelley Lynn Tarditi Trust and ROJ, LLC v. Chicago Title Co., Chicago Title Ins. Co., Thomas Schwiebert, Adelle Ducharme, and Betty Elixman</w:t>
      </w:r>
      <w:r>
        <w:rPr>
          <w:rFonts w:ascii="Arial" w:cs="Arial" w:eastAsia="Arial" w:hAnsi="Arial"/>
          <w:sz w:val="18"/>
          <w:szCs w:val="18"/>
          <w:color w:val="auto"/>
        </w:rPr>
        <w:t>, was</w:t>
      </w:r>
      <w:r>
        <w:rPr>
          <w:rFonts w:ascii="Arial" w:cs="Arial" w:eastAsia="Arial" w:hAnsi="Arial"/>
          <w:sz w:val="18"/>
          <w:szCs w:val="18"/>
          <w:i w:val="1"/>
          <w:iCs w:val="1"/>
          <w:color w:val="auto"/>
        </w:rPr>
        <w:t xml:space="preserve"> </w:t>
      </w:r>
      <w:r>
        <w:rPr>
          <w:rFonts w:ascii="Arial" w:cs="Arial" w:eastAsia="Arial" w:hAnsi="Arial"/>
          <w:sz w:val="18"/>
          <w:szCs w:val="18"/>
          <w:color w:val="auto"/>
        </w:rPr>
        <w:t>filed in San Diego County Superior Court. Plaintiffs claim losses in excess of $6 million as a result of the alleged fraud scheme, and also seek statutory, treble, and punitive damages.</w:t>
      </w:r>
    </w:p>
    <w:p>
      <w:pPr>
        <w:spacing w:after="0" w:line="79"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 xml:space="preserve">On June 29, 2020, a lawsuit styled, </w:t>
      </w:r>
      <w:r>
        <w:rPr>
          <w:rFonts w:ascii="Arial" w:cs="Arial" w:eastAsia="Arial" w:hAnsi="Arial"/>
          <w:sz w:val="18"/>
          <w:szCs w:val="18"/>
          <w:i w:val="1"/>
          <w:iCs w:val="1"/>
          <w:color w:val="auto"/>
        </w:rPr>
        <w:t>Yuan Yu and Polly Yu v. Chicago Title Co., Chicago Title Ins. Co., Thomas Schwiebert, Adelle Ducharme, and</w:t>
      </w:r>
      <w:r>
        <w:rPr>
          <w:rFonts w:ascii="Arial" w:cs="Arial" w:eastAsia="Arial" w:hAnsi="Arial"/>
          <w:sz w:val="18"/>
          <w:szCs w:val="18"/>
          <w:color w:val="auto"/>
        </w:rPr>
        <w:t xml:space="preserve"> </w:t>
      </w:r>
      <w:r>
        <w:rPr>
          <w:rFonts w:ascii="Arial" w:cs="Arial" w:eastAsia="Arial" w:hAnsi="Arial"/>
          <w:sz w:val="18"/>
          <w:szCs w:val="18"/>
          <w:i w:val="1"/>
          <w:iCs w:val="1"/>
          <w:color w:val="auto"/>
        </w:rPr>
        <w:t>Betty Elixman</w:t>
      </w:r>
      <w:r>
        <w:rPr>
          <w:rFonts w:ascii="Arial" w:cs="Arial" w:eastAsia="Arial" w:hAnsi="Arial"/>
          <w:sz w:val="18"/>
          <w:szCs w:val="18"/>
          <w:color w:val="auto"/>
        </w:rPr>
        <w:t>, was filed in San Diego County Superior Court. Plaintiffs claim losses in excess of $1 million as a result of the alleged fraud scheme,</w:t>
      </w:r>
      <w:r>
        <w:rPr>
          <w:rFonts w:ascii="Arial" w:cs="Arial" w:eastAsia="Arial" w:hAnsi="Arial"/>
          <w:sz w:val="18"/>
          <w:szCs w:val="18"/>
          <w:i w:val="1"/>
          <w:iCs w:val="1"/>
          <w:color w:val="auto"/>
        </w:rPr>
        <w:t xml:space="preserve"> </w:t>
      </w:r>
      <w:r>
        <w:rPr>
          <w:rFonts w:ascii="Arial" w:cs="Arial" w:eastAsia="Arial" w:hAnsi="Arial"/>
          <w:sz w:val="18"/>
          <w:szCs w:val="18"/>
          <w:color w:val="auto"/>
        </w:rPr>
        <w:t>and also seek statutory, treble, and punitive damages.</w:t>
      </w:r>
    </w:p>
    <w:p>
      <w:pPr>
        <w:spacing w:after="0" w:line="76"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 xml:space="preserve">On July 7, 2020, a cross-claim styled, </w:t>
      </w:r>
      <w:r>
        <w:rPr>
          <w:rFonts w:ascii="Arial" w:cs="Arial" w:eastAsia="Arial" w:hAnsi="Arial"/>
          <w:sz w:val="16"/>
          <w:szCs w:val="16"/>
          <w:i w:val="1"/>
          <w:iCs w:val="1"/>
          <w:color w:val="auto"/>
        </w:rPr>
        <w:t>Laurie Peterson v. Chicago Title Co., Chicago Title Ins. Co., Thomas Schwiebert, Adelle Ducharme, and</w:t>
      </w:r>
      <w:r>
        <w:rPr>
          <w:rFonts w:ascii="Arial" w:cs="Arial" w:eastAsia="Arial" w:hAnsi="Arial"/>
          <w:sz w:val="16"/>
          <w:szCs w:val="16"/>
          <w:color w:val="auto"/>
        </w:rPr>
        <w:t xml:space="preserve"> </w:t>
      </w:r>
      <w:r>
        <w:rPr>
          <w:rFonts w:ascii="Arial" w:cs="Arial" w:eastAsia="Arial" w:hAnsi="Arial"/>
          <w:sz w:val="16"/>
          <w:szCs w:val="16"/>
          <w:i w:val="1"/>
          <w:iCs w:val="1"/>
          <w:color w:val="auto"/>
        </w:rPr>
        <w:t>Betty Elixman</w:t>
      </w:r>
      <w:r>
        <w:rPr>
          <w:rFonts w:ascii="Arial" w:cs="Arial" w:eastAsia="Arial" w:hAnsi="Arial"/>
          <w:sz w:val="16"/>
          <w:szCs w:val="16"/>
          <w:color w:val="auto"/>
        </w:rPr>
        <w:t>, was filed in an existing lawsuit styled,</w:t>
      </w:r>
      <w:r>
        <w:rPr>
          <w:rFonts w:ascii="Arial" w:cs="Arial" w:eastAsia="Arial" w:hAnsi="Arial"/>
          <w:sz w:val="16"/>
          <w:szCs w:val="16"/>
          <w:i w:val="1"/>
          <w:iCs w:val="1"/>
          <w:color w:val="auto"/>
        </w:rPr>
        <w:t xml:space="preserve"> Banc of California, National Association v. Laurie Peterson</w:t>
      </w:r>
      <w:r>
        <w:rPr>
          <w:rFonts w:ascii="Arial" w:cs="Arial" w:eastAsia="Arial" w:hAnsi="Arial"/>
          <w:sz w:val="16"/>
          <w:szCs w:val="16"/>
          <w:color w:val="auto"/>
        </w:rPr>
        <w:t>, which is pending in San Diego</w:t>
      </w:r>
      <w:r>
        <w:rPr>
          <w:rFonts w:ascii="Arial" w:cs="Arial" w:eastAsia="Arial" w:hAnsi="Arial"/>
          <w:sz w:val="16"/>
          <w:szCs w:val="16"/>
          <w:i w:val="1"/>
          <w:iCs w:val="1"/>
          <w:color w:val="auto"/>
        </w:rPr>
        <w:t xml:space="preserve"> </w:t>
      </w:r>
      <w:r>
        <w:rPr>
          <w:rFonts w:ascii="Arial" w:cs="Arial" w:eastAsia="Arial" w:hAnsi="Arial"/>
          <w:sz w:val="16"/>
          <w:szCs w:val="16"/>
          <w:color w:val="auto"/>
        </w:rPr>
        <w:t>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w:t>
      </w:r>
    </w:p>
    <w:p>
      <w:pPr>
        <w:spacing w:after="0" w:line="53"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 xml:space="preserve">On September 3, 2020, a cross-claim styled, </w:t>
      </w:r>
      <w:r>
        <w:rPr>
          <w:rFonts w:ascii="Arial" w:cs="Arial" w:eastAsia="Arial" w:hAnsi="Arial"/>
          <w:sz w:val="17"/>
          <w:szCs w:val="17"/>
          <w:i w:val="1"/>
          <w:iCs w:val="1"/>
          <w:color w:val="auto"/>
        </w:rPr>
        <w:t>Kim H. Peterson Trustee of the Peterson Family Trust dated April 14 1992 v. Chicago Title Co.,</w:t>
      </w:r>
      <w:r>
        <w:rPr>
          <w:rFonts w:ascii="Arial" w:cs="Arial" w:eastAsia="Arial" w:hAnsi="Arial"/>
          <w:sz w:val="17"/>
          <w:szCs w:val="17"/>
          <w:color w:val="auto"/>
        </w:rPr>
        <w:t xml:space="preserve"> </w:t>
      </w:r>
      <w:r>
        <w:rPr>
          <w:rFonts w:ascii="Arial" w:cs="Arial" w:eastAsia="Arial" w:hAnsi="Arial"/>
          <w:sz w:val="17"/>
          <w:szCs w:val="17"/>
          <w:i w:val="1"/>
          <w:iCs w:val="1"/>
          <w:color w:val="auto"/>
        </w:rPr>
        <w:t>Chicago Title Ins. Co., Thomas Schwiebert, Adelle Ducharme, and Betty Elixman</w:t>
      </w:r>
      <w:r>
        <w:rPr>
          <w:rFonts w:ascii="Arial" w:cs="Arial" w:eastAsia="Arial" w:hAnsi="Arial"/>
          <w:sz w:val="17"/>
          <w:szCs w:val="17"/>
          <w:color w:val="auto"/>
        </w:rPr>
        <w:t>, was filed in an existing lawsuit styled,</w:t>
      </w:r>
      <w:r>
        <w:rPr>
          <w:rFonts w:ascii="Arial" w:cs="Arial" w:eastAsia="Arial" w:hAnsi="Arial"/>
          <w:sz w:val="17"/>
          <w:szCs w:val="17"/>
          <w:i w:val="1"/>
          <w:iCs w:val="1"/>
          <w:color w:val="auto"/>
        </w:rPr>
        <w:t xml:space="preserve"> CalPrivate Bank v. Kim H. Peterson Trustee of the Peterson Family Trust dated April 14 1992</w:t>
      </w:r>
      <w:r>
        <w:rPr>
          <w:rFonts w:ascii="Arial" w:cs="Arial" w:eastAsia="Arial" w:hAnsi="Arial"/>
          <w:sz w:val="17"/>
          <w:szCs w:val="17"/>
          <w:color w:val="auto"/>
        </w:rPr>
        <w:t>, which is pending in Superior Court of San Diego County for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 xml:space="preserve">On October 1, 2020, a lawsuit styled, </w:t>
      </w:r>
      <w:r>
        <w:rPr>
          <w:rFonts w:ascii="Arial" w:cs="Arial" w:eastAsia="Arial" w:hAnsi="Arial"/>
          <w:sz w:val="18"/>
          <w:szCs w:val="18"/>
          <w:i w:val="1"/>
          <w:iCs w:val="1"/>
          <w:color w:val="auto"/>
        </w:rPr>
        <w:t>Ovation Fin. Holdings 2 LLC, Ovation Fund Mgmt. II, LLC, Banc of California, N.A. v. Chicago Title Ins.</w:t>
      </w:r>
      <w:r>
        <w:rPr>
          <w:rFonts w:ascii="Arial" w:cs="Arial" w:eastAsia="Arial" w:hAnsi="Arial"/>
          <w:sz w:val="18"/>
          <w:szCs w:val="18"/>
          <w:color w:val="auto"/>
        </w:rPr>
        <w:t xml:space="preserve"> </w:t>
      </w:r>
      <w:r>
        <w:rPr>
          <w:rFonts w:ascii="Arial" w:cs="Arial" w:eastAsia="Arial" w:hAnsi="Arial"/>
          <w:sz w:val="18"/>
          <w:szCs w:val="18"/>
          <w:i w:val="1"/>
          <w:iCs w:val="1"/>
          <w:color w:val="auto"/>
        </w:rPr>
        <w:t>Co.</w:t>
      </w:r>
      <w:r>
        <w:rPr>
          <w:rFonts w:ascii="Arial" w:cs="Arial" w:eastAsia="Arial" w:hAnsi="Arial"/>
          <w:sz w:val="18"/>
          <w:szCs w:val="18"/>
          <w:color w:val="auto"/>
        </w:rPr>
        <w:t>, was filed in San Diego County Superior Court. Plaintiffs claim losses of more than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$100 million, as well as consequential and punitive damages. The Named Companies are defending and filed a motion to dismiss the complaint on several grounds</w:t>
      </w:r>
    </w:p>
    <w:p>
      <w:pPr>
        <w:spacing w:after="0" w:line="62"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On November 2, 2020, a lawsuit styled, C</w:t>
      </w:r>
      <w:r>
        <w:rPr>
          <w:rFonts w:ascii="Arial" w:cs="Arial" w:eastAsia="Arial" w:hAnsi="Arial"/>
          <w:sz w:val="17"/>
          <w:szCs w:val="17"/>
          <w:i w:val="1"/>
          <w:iCs w:val="1"/>
          <w:color w:val="auto"/>
        </w:rPr>
        <w:t>alPrivate Bank v. Chicago Title Co. and Chicago Title Ins. Co.</w:t>
      </w:r>
      <w:r>
        <w:rPr>
          <w:rFonts w:ascii="Arial" w:cs="Arial" w:eastAsia="Arial" w:hAnsi="Arial"/>
          <w:sz w:val="17"/>
          <w:szCs w:val="17"/>
          <w:color w:val="auto"/>
        </w:rPr>
        <w:t>, was also filed in the Superior Court of San Diego County for the State of California. Plaintiff claims losses in excess of $12 million based upon business loan advances made in the alcoholic beverage license scheme, and also seeks punitive damages and the recovery of attorneys’ fees. This case was only recently deemed by the court to be related to the above San Diego County Superior Court lawsuits, and it has now been transferred to the same judge.</w:t>
      </w:r>
    </w:p>
    <w:p>
      <w:pPr>
        <w:spacing w:after="0" w:line="63"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 xml:space="preserve">On November 5, 2019, a putative class action lawsuit styled, </w:t>
      </w:r>
      <w:r>
        <w:rPr>
          <w:rFonts w:ascii="Arial" w:cs="Arial" w:eastAsia="Arial" w:hAnsi="Arial"/>
          <w:sz w:val="17"/>
          <w:szCs w:val="17"/>
          <w:i w:val="1"/>
          <w:iCs w:val="1"/>
          <w:color w:val="auto"/>
        </w:rPr>
        <w:t>Blake E. Allred and Melissa M. Allred v. Chicago Title Co., Chicago Title Ins. Co.,</w:t>
      </w:r>
      <w:r>
        <w:rPr>
          <w:rFonts w:ascii="Arial" w:cs="Arial" w:eastAsia="Arial" w:hAnsi="Arial"/>
          <w:sz w:val="17"/>
          <w:szCs w:val="17"/>
          <w:color w:val="auto"/>
        </w:rPr>
        <w:t xml:space="preserve"> </w:t>
      </w:r>
      <w:r>
        <w:rPr>
          <w:rFonts w:ascii="Arial" w:cs="Arial" w:eastAsia="Arial" w:hAnsi="Arial"/>
          <w:sz w:val="17"/>
          <w:szCs w:val="17"/>
          <w:i w:val="1"/>
          <w:iCs w:val="1"/>
          <w:color w:val="auto"/>
        </w:rPr>
        <w:t>Adelle E. Ducharme, Betty Elixman, Gina Champion-Cain, Joelle Hanson, Cris Torres, and Rachel Bond</w:t>
      </w:r>
      <w:r>
        <w:rPr>
          <w:rFonts w:ascii="Arial" w:cs="Arial" w:eastAsia="Arial" w:hAnsi="Arial"/>
          <w:sz w:val="17"/>
          <w:szCs w:val="17"/>
          <w:color w:val="auto"/>
        </w:rPr>
        <w:t>, was filed in the United States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Southern District of California. The Named Companies filed a motion to dismiss the complaint on several grounds, or alternatively, to stay the case. The court entered an order dismissing the federal law counts against the Named Companies without leave to amend, dismissing other counts with leave to amend, and denied the motion as to the remaining counts. Following the court’s dismissal of certain counts, Plaintiffs voluntarily dismissed the entire federal action and refiled a similar action in the Superior Court of San Diego County for the State of California. The new state court putative class action lawsuit, filed February 24, 2021, is styled, </w:t>
      </w:r>
      <w:r>
        <w:rPr>
          <w:rFonts w:ascii="Arial" w:cs="Arial" w:eastAsia="Arial" w:hAnsi="Arial"/>
          <w:sz w:val="17"/>
          <w:szCs w:val="17"/>
          <w:i w:val="1"/>
          <w:iCs w:val="1"/>
          <w:color w:val="auto"/>
        </w:rPr>
        <w:t>Blake E. Allred and Melissa M. Allred v. Chicago Title Co., Chicago Title Ins. Co.</w:t>
      </w:r>
      <w:r>
        <w:rPr>
          <w:rFonts w:ascii="Arial" w:cs="Arial" w:eastAsia="Arial" w:hAnsi="Arial"/>
          <w:sz w:val="17"/>
          <w:szCs w:val="17"/>
          <w:color w:val="auto"/>
        </w:rPr>
        <w:t>, and plaintiffs are seeking compensatory, statutory, treble, and punitive damages. The court has been notified that this matter is related to the other lawsuits filed in San Diego County Superior Court.</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On October 23, 2020, a lawsuit styled, </w:t>
      </w:r>
      <w:r>
        <w:rPr>
          <w:rFonts w:ascii="Arial" w:cs="Arial" w:eastAsia="Arial" w:hAnsi="Arial"/>
          <w:sz w:val="17"/>
          <w:szCs w:val="17"/>
          <w:i w:val="1"/>
          <w:iCs w:val="1"/>
          <w:color w:val="auto"/>
        </w:rPr>
        <w:t>DH Claims LLC v. Chicago Title Co., Chicago Title Ins. Co., and Della Ducharme</w:t>
      </w:r>
      <w:r>
        <w:rPr>
          <w:rFonts w:ascii="Arial" w:cs="Arial" w:eastAsia="Arial" w:hAnsi="Arial"/>
          <w:sz w:val="17"/>
          <w:szCs w:val="17"/>
          <w:color w:val="auto"/>
        </w:rPr>
        <w:t>, was filed in the Superior Court of Orange County for the State of California. Plaintiff claims losses in excess of $2 million as a result of the alleged fraud scheme, and also seek statutory, treble, and punitive damages, as well as the recovery of attorneys’ fees. The parties have asked the court to transfer this case to San Diego County Superior Court, where the Named Companies have already informed the court of this additional related matter.</w:t>
      </w:r>
    </w:p>
    <w:p>
      <w:pPr>
        <w:spacing w:after="0" w:line="6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Chicago Title Company resolved claims from both individual investors and a group of alleged investors under confidential terms during pre-suit mediations. As of December 31, 2020, the Company has recorded an incurred claim loss reserve for legal fees and any remaining unpaid amounts relating to losses on the matters resolved confidentially mentioned above which is included in its consolidated reserve for title claim losses. The Company has also recorded an insurance recoverable for amounts that will be recovered from its insurance carriers relating to these matters</w:t>
      </w:r>
    </w:p>
    <w:p>
      <w:pPr>
        <w:spacing w:after="0" w:line="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this time, the Company is unable to ascertain its liability, if any, and is unable to make an estimate of a reasonably possible claim loss for any of the unresolved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As further information becomes available, the Company will continue to evaluate the adequacy of its consolidated reserve for title claim losses. As of December 31, 2020, the Company believes that its reserves are adequate to cover losses related to this matter and other claims.</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Fair Value of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Values are unadjusted quoted prices for identical assets and liabilities in active markets accessible at the measurement date.</w:t>
      </w:r>
    </w:p>
    <w:p>
      <w:pPr>
        <w:spacing w:after="0" w:line="90"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include quoted prices for similar assets or liabilities in active markets, quoted prices from those willing to trade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or other inputs that are observable or can be corroborated by market data for the term of the instrument. Such inputs include market interest rates and volatilities, spreads, and yield curves.</w:t>
      </w:r>
    </w:p>
    <w:p>
      <w:pPr>
        <w:spacing w:after="0" w:line="49"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Certain inputs are unobservable (supported by little or no market activity) and significant to the fair value measurement.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reflect the Company’s best estimate of what hypothetical market participants would use to determine a transaction price for the asset or liability at the reporting date based on the best information available in the circumstances.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w w:val="98"/>
              </w:rPr>
              <w:t>December 31, 2020</w:t>
            </w: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191"/>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2,719</w:t>
            </w:r>
          </w:p>
        </w:tc>
        <w:tc>
          <w:tcPr>
            <w:tcW w:w="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Corporates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14,735</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Hybrids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Municipals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Government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Governments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Subscription agreements (1)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investments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Short term investments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investments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840" w:type="dxa"/>
            <w:vAlign w:val="bottom"/>
            <w:gridSpan w:val="2"/>
          </w:tcPr>
          <w:p>
            <w:pPr>
              <w:ind w:left="480"/>
              <w:spacing w:after="0"/>
              <w:rPr>
                <w:sz w:val="20"/>
                <w:szCs w:val="20"/>
                <w:color w:val="auto"/>
              </w:rPr>
            </w:pPr>
            <w:r>
              <w:rPr>
                <w:rFonts w:ascii="Arial" w:cs="Arial" w:eastAsia="Arial" w:hAnsi="Arial"/>
                <w:sz w:val="18"/>
                <w:szCs w:val="18"/>
                <w:color w:val="auto"/>
              </w:rPr>
              <w:t>Total financial assets at fair value</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25,431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3,267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Fair value of future policy benefits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w w:val="97"/>
              </w:rPr>
              <w:t>FIA embedded derivatives, included in contractholder funds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175"/>
        </w:trPr>
        <w:tc>
          <w:tcPr>
            <w:tcW w:w="48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89"/>
              </w:rPr>
              <w:t>Reinsurance related embedded derivatives, included in accounts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payable and accrued liabilities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80"/>
              <w:spacing w:after="0"/>
              <w:rPr>
                <w:sz w:val="20"/>
                <w:szCs w:val="20"/>
                <w:color w:val="auto"/>
              </w:rPr>
            </w:pPr>
            <w:r>
              <w:rPr>
                <w:rFonts w:ascii="Arial" w:cs="Arial" w:eastAsia="Arial" w:hAnsi="Arial"/>
                <w:sz w:val="18"/>
                <w:szCs w:val="18"/>
                <w:color w:val="auto"/>
              </w:rPr>
              <w:t>Total financial liabilities at fair value</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3,409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720" w:type="dxa"/>
            <w:vAlign w:val="bottom"/>
            <w:gridSpan w:val="16"/>
          </w:tcPr>
          <w:p>
            <w:pPr>
              <w:spacing w:after="0"/>
              <w:rPr>
                <w:sz w:val="20"/>
                <w:szCs w:val="20"/>
                <w:color w:val="auto"/>
              </w:rPr>
            </w:pPr>
            <w:r>
              <w:rPr>
                <w:rFonts w:ascii="Arial" w:cs="Arial" w:eastAsia="Arial" w:hAnsi="Arial"/>
                <w:sz w:val="18"/>
                <w:szCs w:val="18"/>
                <w:color w:val="auto"/>
                <w:w w:val="96"/>
              </w:rPr>
              <w:t>(1) Included within equity securities in the accompanying Consolidated Balance Sheets as of December 31, 2020.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Level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7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9"/>
                <w:szCs w:val="19"/>
                <w:color w:val="auto"/>
              </w:rPr>
            </w:pPr>
          </w:p>
        </w:tc>
        <w:tc>
          <w:tcPr>
            <w:tcW w:w="3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Hybrids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Municipals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Government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Governments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 term investments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investments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financial assets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Fixed Maturity, Preferred and Equity Securities</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analyze the third-party valuation methodologies and related inputs to perform assessments to determine the appropriate level within the fair value hierarchy. However, we did not adjust prices received from third parties as of December 31, 2020 or December 31,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Financial Instruments</w:t>
      </w:r>
    </w:p>
    <w:p>
      <w:pPr>
        <w:spacing w:after="0" w:line="13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December 31, 2020 was applied to the Annuity 2000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fair value of the reinsurance-related embedded derivative in the funds withheld reinsurance agreement with Kubera Insurance (SAC) Ltd. ("Kubera") is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Please see Note P </w:t>
      </w:r>
      <w:r>
        <w:rPr>
          <w:rFonts w:ascii="Arial" w:cs="Arial" w:eastAsia="Arial" w:hAnsi="Arial"/>
          <w:sz w:val="17"/>
          <w:szCs w:val="17"/>
          <w:i w:val="1"/>
          <w:iCs w:val="1"/>
          <w:color w:val="auto"/>
        </w:rPr>
        <w:t>Reinsurance</w:t>
      </w:r>
      <w:r>
        <w:rPr>
          <w:rFonts w:ascii="Arial" w:cs="Arial" w:eastAsia="Arial" w:hAnsi="Arial"/>
          <w:sz w:val="17"/>
          <w:szCs w:val="17"/>
          <w:color w:val="auto"/>
        </w:rPr>
        <w:t xml:space="preserve"> for further discussion on F&amp;G reinsurance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long-term investments</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hold a fund-linked note which provides for an additional payment at maturity based on the value of an embedded derivative based on the actual return of a dedicated return fund. Fair value of the available-for-sale embedded derivative is based on an unobservable input, the net asset value of the fund at the balance sheet date. The embedded derivative is similar to a call option on the net asset value of the fund with a strike price of zero since Fidelity &amp; Guaranty Life Insurance Company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w:t>
      </w:r>
    </w:p>
    <w:p>
      <w:pPr>
        <w:spacing w:after="0" w:line="8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Agreements for Forward Purchases of Equity of Special Purpose Acquisition Companies</w:t>
      </w:r>
    </w:p>
    <w:p>
      <w:pPr>
        <w:spacing w:after="0" w:line="13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 xml:space="preserve">Our FTAC II Subscription Agreements are accounted for at fair value pursuant to ASC Topic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and considered to be a Level 2 fair value measurement. Fair value is determined using observable inputs including stock prices, volatility assumptions and a discount for the lack of marketability determined using the Finnerty Model at 7.5%.</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Quantitative information regarding significant unobservable inputs used for recurring Level 3 fair value measurements of financial instruments carried at fair value as of 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ind w:left="360"/>
              <w:spacing w:after="0"/>
              <w:rPr>
                <w:sz w:val="20"/>
                <w:szCs w:val="20"/>
                <w:color w:val="auto"/>
              </w:rPr>
            </w:pPr>
            <w:r>
              <w:rPr>
                <w:rFonts w:ascii="Arial" w:cs="Arial" w:eastAsia="Arial" w:hAnsi="Arial"/>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196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36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Assets</w:t>
            </w:r>
          </w:p>
        </w:tc>
        <w:tc>
          <w:tcPr>
            <w:tcW w:w="12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1200" w:type="dxa"/>
            <w:vAlign w:val="bottom"/>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1,175</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85% - 126.15% 103.96%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Asset-backed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- 107.25% 79.87%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Commercial mortgage-backed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131.59% - 131.59% 131.59%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75.20% - 114.68% 103.36%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6"/>
              </w:rPr>
              <w:t>88.42% - 125.83% 109.47%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Hybrids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112.06% - 112.06% 112.06%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Municipals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133.53% - 133.53% 133.53%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Residential mortgage-backed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112.58% - 112.58% 112.58%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Foreign governments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107.87% - 113.80% 109.72%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Yield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Risk Free Rate</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0.29%</w:t>
            </w:r>
          </w:p>
        </w:tc>
        <w:tc>
          <w:tcPr>
            <w:tcW w:w="1500" w:type="dxa"/>
            <w:vAlign w:val="bottom"/>
          </w:tcPr>
          <w:p>
            <w:pPr>
              <w:ind w:left="20"/>
              <w:spacing w:after="0"/>
              <w:rPr>
                <w:sz w:val="20"/>
                <w:szCs w:val="20"/>
                <w:color w:val="auto"/>
              </w:rPr>
            </w:pPr>
            <w:r>
              <w:rPr>
                <w:rFonts w:ascii="Arial" w:cs="Arial" w:eastAsia="Arial" w:hAnsi="Arial"/>
                <w:sz w:val="16"/>
                <w:szCs w:val="16"/>
                <w:color w:val="auto"/>
              </w:rPr>
              <w:t>- 0.29% (0.29%)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Strike Price</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$1.50 - $1.50 ($1.50)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Volatility</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1.00%</w:t>
            </w:r>
          </w:p>
        </w:tc>
        <w:tc>
          <w:tcPr>
            <w:tcW w:w="1500" w:type="dxa"/>
            <w:vAlign w:val="bottom"/>
          </w:tcPr>
          <w:p>
            <w:pPr>
              <w:ind w:left="20"/>
              <w:spacing w:after="0"/>
              <w:rPr>
                <w:sz w:val="20"/>
                <w:szCs w:val="20"/>
                <w:color w:val="auto"/>
              </w:rPr>
            </w:pPr>
            <w:r>
              <w:rPr>
                <w:rFonts w:ascii="Arial" w:cs="Arial" w:eastAsia="Arial" w:hAnsi="Arial"/>
                <w:sz w:val="16"/>
                <w:szCs w:val="16"/>
                <w:color w:val="auto"/>
              </w:rPr>
              <w:t>- 1.00% (1.00%)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Dividend Yield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- 0.00% (0.00%)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Discount rate</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9"/>
              </w:rPr>
              <w:t>10.60% - 10.60% (10.60%)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Market Comparable</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EBITDA multiple</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6.6x - 6.6x (6.6x)</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Company Analysis</w:t>
            </w:r>
          </w:p>
        </w:tc>
        <w:tc>
          <w:tcPr>
            <w:tcW w:w="1760" w:type="dxa"/>
            <w:vAlign w:val="bottom"/>
            <w:gridSpan w:val="2"/>
            <w:vMerge w:val="continue"/>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Available-for-sale embedded derivative</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value of fund</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6"/>
                <w:szCs w:val="16"/>
                <w:color w:val="auto"/>
              </w:rPr>
              <w:t>Credit Linked Note</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financial assets at fair value</w:t>
            </w:r>
          </w:p>
        </w:tc>
        <w:tc>
          <w:tcPr>
            <w:tcW w:w="120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3,267</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6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Future policy benefits</w:t>
            </w:r>
          </w:p>
        </w:tc>
        <w:tc>
          <w:tcPr>
            <w:tcW w:w="12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Non-performance</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6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vMerge w:val="continue"/>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spread</w:t>
            </w:r>
          </w:p>
        </w:tc>
        <w:tc>
          <w:tcPr>
            <w:tcW w:w="46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Risk margin to reflect</w:t>
            </w: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w w:val="92"/>
              </w:rPr>
              <w:t>0.50%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uncertainty</w:t>
            </w:r>
          </w:p>
        </w:tc>
        <w:tc>
          <w:tcPr>
            <w:tcW w:w="4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Derivatives: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FIA embedded derivatives, included in</w:t>
            </w:r>
          </w:p>
        </w:tc>
        <w:tc>
          <w:tcPr>
            <w:tcW w:w="12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w w:val="84"/>
              </w:rPr>
              <w:t>3,404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value of option</w:t>
            </w: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vMerge w:val="restart"/>
          </w:tcPr>
          <w:p>
            <w:pPr>
              <w:ind w:left="20"/>
              <w:spacing w:after="0"/>
              <w:rPr>
                <w:sz w:val="20"/>
                <w:szCs w:val="20"/>
                <w:color w:val="auto"/>
              </w:rPr>
            </w:pPr>
            <w:r>
              <w:rPr>
                <w:rFonts w:ascii="Arial" w:cs="Arial" w:eastAsia="Arial" w:hAnsi="Arial"/>
                <w:sz w:val="16"/>
                <w:szCs w:val="16"/>
                <w:color w:val="auto"/>
              </w:rPr>
              <w:t>- 67.65% 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6"/>
                <w:szCs w:val="16"/>
                <w:color w:val="auto"/>
              </w:rPr>
              <w:t>contractholder funds</w:t>
            </w:r>
          </w:p>
        </w:tc>
        <w:tc>
          <w:tcPr>
            <w:tcW w:w="12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Treasury rates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0.08%</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- 1.65% 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Mortality multiplier</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100.00% - 100.00% 100.00%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Surrender rates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0.25%</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- 55.00% 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Partial withdrawals</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2.00%</w:t>
            </w:r>
          </w:p>
        </w:tc>
        <w:tc>
          <w:tcPr>
            <w:tcW w:w="1500" w:type="dxa"/>
            <w:vAlign w:val="bottom"/>
          </w:tcPr>
          <w:p>
            <w:pPr>
              <w:ind w:left="20"/>
              <w:spacing w:after="0"/>
              <w:rPr>
                <w:sz w:val="20"/>
                <w:szCs w:val="20"/>
                <w:color w:val="auto"/>
              </w:rPr>
            </w:pPr>
            <w:r>
              <w:rPr>
                <w:rFonts w:ascii="Arial" w:cs="Arial" w:eastAsia="Arial" w:hAnsi="Arial"/>
                <w:sz w:val="16"/>
                <w:szCs w:val="16"/>
                <w:color w:val="auto"/>
              </w:rPr>
              <w:t>- 3.50% 2.58%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Non-performance</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2"/>
              </w:rPr>
              <w:t>0.74%</w:t>
            </w:r>
          </w:p>
        </w:tc>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- 0.74% 0.74%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spread</w:t>
            </w:r>
          </w:p>
        </w:tc>
        <w:tc>
          <w:tcPr>
            <w:tcW w:w="46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Option cost</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0.05%</w:t>
            </w:r>
          </w:p>
        </w:tc>
        <w:tc>
          <w:tcPr>
            <w:tcW w:w="1500" w:type="dxa"/>
            <w:vAlign w:val="bottom"/>
          </w:tcPr>
          <w:p>
            <w:pPr>
              <w:ind w:left="20"/>
              <w:spacing w:after="0"/>
              <w:rPr>
                <w:sz w:val="20"/>
                <w:szCs w:val="20"/>
                <w:color w:val="auto"/>
              </w:rPr>
            </w:pPr>
            <w:r>
              <w:rPr>
                <w:rFonts w:ascii="Arial" w:cs="Arial" w:eastAsia="Arial" w:hAnsi="Arial"/>
                <w:sz w:val="16"/>
                <w:szCs w:val="16"/>
                <w:color w:val="auto"/>
              </w:rPr>
              <w:t>- 16.61% 2.25%</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financial liabilities at fair value</w:t>
            </w:r>
          </w:p>
        </w:tc>
        <w:tc>
          <w:tcPr>
            <w:tcW w:w="120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3,409</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following tables summarize changes to the Company’s financial instruments carried at fair value and classified within Level 3 of the fair value hierarchy for the years ended December 31, 2020 and 2019, respectively. F&amp;G related activity for the year ended December 31, 2020 in the table below is comprised of the period from June 1, 2020 through December 31, 2020 only. This summary excludes any impact of amortization of VOBA, DAC and DSI. The gains and losses below may include changes in fair value due in part to observable inputs that are a component of the valuation methodology.</w:t>
      </w:r>
    </w:p>
    <w:p>
      <w:pPr>
        <w:spacing w:after="0" w:line="122"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Year ended December 31, 2020</w:t>
      </w:r>
    </w:p>
    <w:p>
      <w:pPr>
        <w:spacing w:after="0" w:line="28"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58464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Total Gains (Losses)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Balance at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Included in</w:t>
            </w:r>
          </w:p>
        </w:tc>
        <w:tc>
          <w:tcPr>
            <w:tcW w:w="9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Included in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5"/>
              </w:rPr>
              <w:t>Net transfer</w:t>
            </w:r>
          </w:p>
        </w:tc>
        <w:tc>
          <w:tcPr>
            <w:tcW w:w="10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Balance at</w:t>
            </w:r>
          </w:p>
        </w:tc>
        <w:tc>
          <w:tcPr>
            <w:tcW w:w="120" w:type="dxa"/>
            <w:vAlign w:val="bottom"/>
          </w:tcPr>
          <w:p>
            <w:pPr>
              <w:spacing w:after="0"/>
              <w:rPr>
                <w:sz w:val="24"/>
                <w:szCs w:val="24"/>
                <w:color w:val="auto"/>
              </w:rPr>
            </w:pPr>
          </w:p>
        </w:tc>
        <w:tc>
          <w:tcPr>
            <w:tcW w:w="700" w:type="dxa"/>
            <w:vAlign w:val="bottom"/>
          </w:tcPr>
          <w:p>
            <w:pPr>
              <w:jc w:val="center"/>
              <w:ind w:right="41"/>
              <w:spacing w:after="0"/>
              <w:rPr>
                <w:sz w:val="20"/>
                <w:szCs w:val="20"/>
                <w:color w:val="auto"/>
              </w:rPr>
            </w:pPr>
            <w:r>
              <w:rPr>
                <w:rFonts w:ascii="Arial" w:cs="Arial" w:eastAsia="Arial" w:hAnsi="Arial"/>
                <w:sz w:val="13"/>
                <w:szCs w:val="13"/>
                <w:b w:val="1"/>
                <w:bCs w:val="1"/>
                <w:color w:val="auto"/>
                <w:w w:val="85"/>
              </w:rPr>
              <w:t>Change in</w:t>
            </w: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Beginning</w:t>
            </w:r>
          </w:p>
        </w:tc>
        <w:tc>
          <w:tcPr>
            <w:tcW w:w="12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rPr>
              <w:t>F&amp;G</w:t>
            </w:r>
          </w:p>
        </w:tc>
        <w:tc>
          <w:tcPr>
            <w:tcW w:w="900" w:type="dxa"/>
            <w:vAlign w:val="bottom"/>
            <w:gridSpan w:val="3"/>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Purchases</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Sales</w:t>
            </w:r>
          </w:p>
        </w:tc>
        <w:tc>
          <w:tcPr>
            <w:tcW w:w="14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Settlements</w:t>
            </w:r>
          </w:p>
        </w:tc>
        <w:tc>
          <w:tcPr>
            <w:tcW w:w="1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In (Out) of</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8"/>
              </w:rPr>
              <w:t>End of</w:t>
            </w:r>
          </w:p>
        </w:tc>
        <w:tc>
          <w:tcPr>
            <w:tcW w:w="120" w:type="dxa"/>
            <w:vAlign w:val="bottom"/>
          </w:tcPr>
          <w:p>
            <w:pPr>
              <w:spacing w:after="0"/>
              <w:rPr>
                <w:sz w:val="11"/>
                <w:szCs w:val="11"/>
                <w:color w:val="auto"/>
              </w:rPr>
            </w:pPr>
          </w:p>
        </w:tc>
        <w:tc>
          <w:tcPr>
            <w:tcW w:w="70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65"/>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of Period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Acquisition</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Earnings</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AOCI</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Level 3 (a)</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Period</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Incl in OCI</w:t>
            </w:r>
          </w:p>
        </w:tc>
        <w:tc>
          <w:tcPr>
            <w:tcW w:w="0" w:type="dxa"/>
            <w:vAlign w:val="bottom"/>
          </w:tcPr>
          <w:p>
            <w:pPr>
              <w:spacing w:after="0"/>
              <w:rPr>
                <w:sz w:val="1"/>
                <w:szCs w:val="1"/>
                <w:color w:val="auto"/>
              </w:rPr>
            </w:pPr>
          </w:p>
        </w:tc>
      </w:tr>
      <w:tr>
        <w:trPr>
          <w:trHeight w:val="164"/>
        </w:trPr>
        <w:tc>
          <w:tcPr>
            <w:tcW w:w="20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Fixed maturity securities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60" w:type="dxa"/>
            <w:vAlign w:val="bottom"/>
          </w:tcPr>
          <w:p>
            <w:pPr>
              <w:jc w:val="right"/>
              <w:ind w:right="385"/>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78"/>
              </w:rPr>
              <w:t>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Commercial mortgage-</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backed securities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20"/>
              <w:spacing w:after="0"/>
              <w:rPr>
                <w:sz w:val="20"/>
                <w:szCs w:val="20"/>
                <w:color w:val="auto"/>
              </w:rPr>
            </w:pPr>
            <w:r>
              <w:rPr>
                <w:rFonts w:ascii="Arial" w:cs="Arial" w:eastAsia="Arial" w:hAnsi="Arial"/>
                <w:sz w:val="16"/>
                <w:szCs w:val="16"/>
                <w:color w:val="auto"/>
              </w:rPr>
              <w:t>Corporates</w:t>
            </w:r>
          </w:p>
        </w:tc>
        <w:tc>
          <w:tcPr>
            <w:tcW w:w="1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78"/>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Hybrids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220"/>
              <w:spacing w:after="0"/>
              <w:rPr>
                <w:sz w:val="20"/>
                <w:szCs w:val="20"/>
                <w:color w:val="auto"/>
              </w:rPr>
            </w:pPr>
            <w:r>
              <w:rPr>
                <w:rFonts w:ascii="Arial" w:cs="Arial" w:eastAsia="Arial" w:hAnsi="Arial"/>
                <w:sz w:val="16"/>
                <w:szCs w:val="16"/>
                <w:color w:val="auto"/>
              </w:rPr>
              <w:t>Municipals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backed securities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20"/>
              <w:spacing w:after="0"/>
              <w:rPr>
                <w:sz w:val="20"/>
                <w:szCs w:val="20"/>
                <w:color w:val="auto"/>
              </w:rPr>
            </w:pPr>
            <w:r>
              <w:rPr>
                <w:rFonts w:ascii="Arial" w:cs="Arial" w:eastAsia="Arial" w:hAnsi="Arial"/>
                <w:sz w:val="16"/>
                <w:szCs w:val="16"/>
                <w:color w:val="auto"/>
              </w:rPr>
              <w:t>Foreign Governments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Available-for-sale</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embedded derivative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20"/>
              <w:spacing w:after="0"/>
              <w:rPr>
                <w:sz w:val="20"/>
                <w:szCs w:val="20"/>
                <w:color w:val="auto"/>
              </w:rPr>
            </w:pPr>
            <w:r>
              <w:rPr>
                <w:rFonts w:ascii="Arial" w:cs="Arial" w:eastAsia="Arial" w:hAnsi="Arial"/>
                <w:sz w:val="16"/>
                <w:szCs w:val="16"/>
                <w:color w:val="auto"/>
              </w:rPr>
              <w:t>Credit linked note</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Other long-term</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360"/>
              <w:spacing w:after="0" w:line="166" w:lineRule="exact"/>
              <w:rPr>
                <w:sz w:val="20"/>
                <w:szCs w:val="20"/>
                <w:color w:val="auto"/>
              </w:rPr>
            </w:pPr>
            <w:r>
              <w:rPr>
                <w:rFonts w:ascii="Arial" w:cs="Arial" w:eastAsia="Arial" w:hAnsi="Arial"/>
                <w:sz w:val="16"/>
                <w:szCs w:val="16"/>
                <w:color w:val="auto"/>
              </w:rPr>
              <w:t>Total assets at Level 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4"/>
                <w:szCs w:val="14"/>
                <w:color w:val="auto"/>
              </w:rPr>
            </w:pPr>
          </w:p>
        </w:tc>
        <w:tc>
          <w:tcPr>
            <w:tcW w:w="560" w:type="dxa"/>
            <w:vAlign w:val="bottom"/>
            <w:vMerge w:val="restart"/>
          </w:tcPr>
          <w:p>
            <w:pPr>
              <w:jc w:val="right"/>
              <w:ind w:right="385"/>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w w:val="78"/>
              </w:rPr>
              <w:t>93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4"/>
                <w:szCs w:val="14"/>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ind w:left="3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3,267</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0"/>
        </w:trPr>
        <w:tc>
          <w:tcPr>
            <w:tcW w:w="2040" w:type="dxa"/>
            <w:vAlign w:val="bottom"/>
          </w:tcPr>
          <w:p>
            <w:pPr>
              <w:ind w:left="360"/>
              <w:spacing w:after="0"/>
              <w:rPr>
                <w:sz w:val="20"/>
                <w:szCs w:val="20"/>
                <w:color w:val="auto"/>
              </w:rPr>
            </w:pPr>
            <w:r>
              <w:rPr>
                <w:rFonts w:ascii="Arial" w:cs="Arial" w:eastAsia="Arial" w:hAnsi="Arial"/>
                <w:sz w:val="16"/>
                <w:szCs w:val="16"/>
                <w:color w:val="auto"/>
              </w:rPr>
              <w:t>fair value</w:t>
            </w:r>
          </w:p>
        </w:tc>
        <w:tc>
          <w:tcPr>
            <w:tcW w:w="1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85"/>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FIA embedded derivatives,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included in contractholder</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40" w:type="dxa"/>
            <w:vAlign w:val="bottom"/>
          </w:tcPr>
          <w:p>
            <w:pPr>
              <w:ind w:left="360"/>
              <w:spacing w:after="0" w:line="146" w:lineRule="exact"/>
              <w:rPr>
                <w:sz w:val="20"/>
                <w:szCs w:val="20"/>
                <w:color w:val="auto"/>
              </w:rPr>
            </w:pPr>
            <w:r>
              <w:rPr>
                <w:rFonts w:ascii="Arial" w:cs="Arial" w:eastAsia="Arial" w:hAnsi="Arial"/>
                <w:sz w:val="16"/>
                <w:szCs w:val="16"/>
                <w:color w:val="auto"/>
                <w:w w:val="95"/>
              </w:rPr>
              <w:t>Total liabilities at Level 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2,857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2"/>
                <w:szCs w:val="12"/>
                <w:color w:val="auto"/>
              </w:rPr>
            </w:pPr>
          </w:p>
        </w:tc>
        <w:tc>
          <w:tcPr>
            <w:tcW w:w="560" w:type="dxa"/>
            <w:vAlign w:val="bottom"/>
            <w:vMerge w:val="restart"/>
          </w:tcPr>
          <w:p>
            <w:pPr>
              <w:jc w:val="right"/>
              <w:ind w:right="385"/>
              <w:spacing w:after="0"/>
              <w:rPr>
                <w:sz w:val="20"/>
                <w:szCs w:val="20"/>
                <w:color w:val="auto"/>
              </w:rPr>
            </w:pPr>
            <w:r>
              <w:rPr>
                <w:rFonts w:ascii="Arial" w:cs="Arial" w:eastAsia="Arial" w:hAnsi="Arial"/>
                <w:sz w:val="16"/>
                <w:szCs w:val="16"/>
                <w:color w:val="auto"/>
                <w:w w:val="89"/>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3,409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40" w:type="dxa"/>
            <w:vAlign w:val="bottom"/>
          </w:tcPr>
          <w:p>
            <w:pPr>
              <w:ind w:left="360"/>
              <w:spacing w:after="0"/>
              <w:rPr>
                <w:sz w:val="20"/>
                <w:szCs w:val="20"/>
                <w:color w:val="auto"/>
              </w:rPr>
            </w:pPr>
            <w:r>
              <w:rPr>
                <w:rFonts w:ascii="Arial" w:cs="Arial" w:eastAsia="Arial" w:hAnsi="Arial"/>
                <w:sz w:val="16"/>
                <w:szCs w:val="16"/>
                <w:color w:val="auto"/>
              </w:rPr>
              <w:t>fair value</w:t>
            </w: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 The net transfers out of Level 3 during the twelve months ended December 31, 2020 were to Level 2, except for the net transfers out related to our other long-term investment, which was to</w:t>
      </w:r>
      <w:r>
        <w:rPr>
          <w:rFonts w:ascii="Arial" w:cs="Arial" w:eastAsia="Arial" w:hAnsi="Arial"/>
          <w:sz w:val="14"/>
          <w:szCs w:val="14"/>
          <w:b w:val="1"/>
          <w:bCs w:val="1"/>
          <w:color w:val="auto"/>
        </w:rPr>
        <w:t xml:space="preserve"> </w:t>
      </w:r>
      <w:r>
        <w:rPr>
          <w:rFonts w:ascii="Arial" w:cs="Arial" w:eastAsia="Arial" w:hAnsi="Arial"/>
          <w:sz w:val="14"/>
          <w:szCs w:val="14"/>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Year ended December 31, 2019</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Total Gains (Losses)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Included in</w:t>
            </w:r>
          </w:p>
        </w:tc>
        <w:tc>
          <w:tcPr>
            <w:tcW w:w="12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transfer In</w:t>
            </w:r>
          </w:p>
        </w:tc>
        <w:tc>
          <w:tcPr>
            <w:tcW w:w="120" w:type="dxa"/>
            <w:vAlign w:val="bottom"/>
          </w:tcPr>
          <w:p>
            <w:pPr>
              <w:spacing w:after="0"/>
              <w:rPr>
                <w:sz w:val="13"/>
                <w:szCs w:val="13"/>
                <w:color w:val="auto"/>
              </w:rPr>
            </w:pPr>
          </w:p>
        </w:tc>
        <w:tc>
          <w:tcPr>
            <w:tcW w:w="840" w:type="dxa"/>
            <w:vAlign w:val="bottom"/>
          </w:tcPr>
          <w:p>
            <w:pPr>
              <w:jc w:val="right"/>
              <w:ind w:right="7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22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Settlements</w:t>
            </w:r>
          </w:p>
        </w:tc>
        <w:tc>
          <w:tcPr>
            <w:tcW w:w="14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(Out) of</w:t>
            </w:r>
          </w:p>
        </w:tc>
        <w:tc>
          <w:tcPr>
            <w:tcW w:w="120" w:type="dxa"/>
            <w:vAlign w:val="bottom"/>
          </w:tcPr>
          <w:p>
            <w:pPr>
              <w:spacing w:after="0"/>
              <w:rPr>
                <w:sz w:val="11"/>
                <w:szCs w:val="11"/>
                <w:color w:val="auto"/>
              </w:rPr>
            </w:pPr>
          </w:p>
        </w:tc>
        <w:tc>
          <w:tcPr>
            <w:tcW w:w="840" w:type="dxa"/>
            <w:vAlign w:val="bottom"/>
          </w:tcPr>
          <w:p>
            <w:pPr>
              <w:jc w:val="right"/>
              <w:ind w:right="198"/>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 (a)</w:t>
            </w:r>
          </w:p>
        </w:tc>
        <w:tc>
          <w:tcPr>
            <w:tcW w:w="12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6"/>
              </w:rPr>
              <w:t>Fixed maturity securities available-</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for-sale: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20"/>
              <w:spacing w:after="0"/>
              <w:rPr>
                <w:sz w:val="20"/>
                <w:szCs w:val="20"/>
                <w:color w:val="auto"/>
              </w:rPr>
            </w:pPr>
            <w:r>
              <w:rPr>
                <w:rFonts w:ascii="Arial" w:cs="Arial" w:eastAsia="Arial" w:hAnsi="Arial"/>
                <w:sz w:val="18"/>
                <w:szCs w:val="18"/>
                <w:color w:val="auto"/>
              </w:rPr>
              <w:t>Corporates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investment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700" w:type="dxa"/>
            <w:vAlign w:val="bottom"/>
          </w:tcPr>
          <w:p>
            <w:pPr>
              <w:ind w:left="360"/>
              <w:spacing w:after="0"/>
              <w:rPr>
                <w:sz w:val="20"/>
                <w:szCs w:val="20"/>
                <w:color w:val="auto"/>
              </w:rPr>
            </w:pPr>
            <w:r>
              <w:rPr>
                <w:rFonts w:ascii="Arial" w:cs="Arial" w:eastAsia="Arial" w:hAnsi="Arial"/>
                <w:sz w:val="18"/>
                <w:szCs w:val="18"/>
                <w:color w:val="auto"/>
                <w:w w:val="89"/>
              </w:rPr>
              <w:t>Total assets at Level 3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 The net transfers out of Level 3 during the twelve months ended December 31, 2019 were to Level 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and Associated Inputs for Financial Instruments Not Carried at Fair Value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Policy Loans (included within Other long-term 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for policy loans represent their cash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Owned Life Insurance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Invested Assets (included within Other long-term investments)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Contracts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Investment contracts include deferred annuities, FIAs, indexed universal life policies ("IULs") and immediate annuities. The fair value of deferred annuity, FIA, and IUL contracts is based on their cash surrender value (i.e. the cost the Company would incur to extinguish the liability) as these contracts are generally issued without an annuitization date. The fair value of immediate annuities contracts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debt is based on quoted market prices. The inputs used to measure the fair value of our outstanding debt are classified as Level 2 within the fair value hierarchy.</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tables provide the carrying value and estimated fair value of our financial instruments that are carried on the accompanying Consolidated Balance Sheets at amounts other than fair value, summarized according to the fair value hierarchy previously described.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54"/>
              <w:spacing w:after="0"/>
              <w:rPr>
                <w:sz w:val="20"/>
                <w:szCs w:val="20"/>
                <w:color w:val="auto"/>
              </w:rPr>
            </w:pPr>
            <w:r>
              <w:rPr>
                <w:rFonts w:ascii="Arial" w:cs="Arial" w:eastAsia="Arial" w:hAnsi="Arial"/>
                <w:sz w:val="14"/>
                <w:szCs w:val="14"/>
                <w:b w:val="1"/>
                <w:bCs w:val="1"/>
                <w:color w:val="auto"/>
                <w:w w:val="91"/>
              </w:rPr>
              <w:t>December 31, 2020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Total Estimated Fair</w:t>
            </w: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FHLB common stock</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loans</w:t>
            </w: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Residential mortgage loans</w:t>
            </w:r>
          </w:p>
        </w:tc>
        <w:tc>
          <w:tcPr>
            <w:tcW w:w="8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Policy loans</w:t>
            </w: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8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Company-owned life insurance</w:t>
            </w: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Trade and notes receivables, net of allowance</w:t>
            </w:r>
          </w:p>
        </w:tc>
        <w:tc>
          <w:tcPr>
            <w:tcW w:w="8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Investment contracts, included in contractholder funds</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21,719</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21,719</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25,199</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27,861</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assets that have not been classified in the fair value hierarchy as the value of these investments are measured using the equity method of accounting or the net asset value ("NAV") per share practical expedient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6"/>
                <w:szCs w:val="16"/>
                <w:color w:val="auto"/>
              </w:rPr>
            </w:pPr>
          </w:p>
        </w:tc>
        <w:tc>
          <w:tcPr>
            <w:tcW w:w="176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 2019</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Investments in unconsolidated affiliates (equity method of accounting)</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 (NAV)</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6"/>
                <w:szCs w:val="16"/>
                <w:color w:val="auto"/>
              </w:rPr>
              <w:t>—</w:t>
            </w:r>
          </w:p>
        </w:tc>
      </w:tr>
      <w:tr>
        <w:trPr>
          <w:trHeight w:val="223"/>
        </w:trPr>
        <w:tc>
          <w:tcPr>
            <w:tcW w:w="7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Investments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preferred and equity securities investments are carried at fair value with unrealized gains and losses included in net income (loss). The Company’s consolidated investments at December 31, 2020 and December 31, 2019 are summarized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1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3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4"/>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left="264"/>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Hybrids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Governments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Gross Unrealized</w:t>
            </w:r>
          </w:p>
        </w:tc>
        <w:tc>
          <w:tcPr>
            <w:tcW w:w="8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5"/>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Commercial mortgage-backed/asset-backed securities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Corporates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Hybrids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Municipals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U.S. Government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Securities held on deposit with various state regulatory authorities had a fair value of $16,714 million and $94 million at December 31, 2020 and December 31, 2019, respectively.</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and December 31, 2019, the Company held no material investments that were non-income producing for a period greater than twelve months.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and December 31, 2019, the Company's accrued interest receivable balance was $235 million and $16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is classified within Prepaid expenses and other assets within the Consolidated Balance Sheets.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$1,622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4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 2020</w:t>
      </w:r>
    </w:p>
    <w:p>
      <w:pPr>
        <w:spacing w:after="0" w:line="28"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r>
      <w:tr>
        <w:trPr>
          <w:trHeight w:val="17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Corporates, Non-structured Hybrids, Municipal and Government securities:</w:t>
            </w: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Due in 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Due after five years through ten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after ten years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w:t>
            </w:r>
          </w:p>
        </w:tc>
      </w:tr>
      <w:tr>
        <w:trPr>
          <w:trHeight w:val="223"/>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17,637</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Structured hybrids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3"/>
        </w:trPr>
        <w:tc>
          <w:tcPr>
            <w:tcW w:w="8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fixed maturity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Current Expected Credit Loss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Following the adoption of ASU 2016-13 and the related targeted improvements and transition relief amendments (see Note Y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for further details) effective January 1, 2020, we regularly review AFS securities for declines in fair value that we determine to be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For our fixed maturity securities, we generally consider the following in determining whether our unrealized losses are credit related, and if so, the magnitude of the credit loss:</w:t>
      </w:r>
    </w:p>
    <w:p>
      <w:pPr>
        <w:spacing w:after="0" w:line="9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the fair value is less than the amortized cost basis;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reasons for the decline in value (credit event, currency or interest-rate related, including general credit spread widening);</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Current delinquencies and nonperforming assets of underlying collateral;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future default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Collateral value by vintage, geographic region, industry concentration or property type;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Subordination levels or other credit enhancements as of the balance sheet date as compared to origination;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Contractual and regulatory cash obligations and the issuer's plans to meet such obligations.</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consider the following in determining whether write-offs of a security’s amortized cost is necessary:</w:t>
      </w:r>
    </w:p>
    <w:p>
      <w:pPr>
        <w:spacing w:after="0" w:line="131" w:lineRule="exact"/>
        <w:rPr>
          <w:sz w:val="20"/>
          <w:szCs w:val="20"/>
          <w:color w:val="auto"/>
        </w:rPr>
      </w:pPr>
    </w:p>
    <w:p>
      <w:pPr>
        <w:ind w:left="700" w:hanging="28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believe amounts related to securities have become uncollectible; or</w:t>
      </w:r>
    </w:p>
    <w:p>
      <w:pPr>
        <w:spacing w:after="0" w:line="144" w:lineRule="exact"/>
        <w:rPr>
          <w:rFonts w:ascii="Arial" w:cs="Arial" w:eastAsia="Arial" w:hAnsi="Arial"/>
          <w:sz w:val="18"/>
          <w:szCs w:val="18"/>
          <w:color w:val="auto"/>
        </w:rPr>
      </w:pPr>
    </w:p>
    <w:p>
      <w:pPr>
        <w:ind w:left="700" w:hanging="28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0" w:lineRule="exact"/>
        <w:rPr>
          <w:rFonts w:ascii="Arial" w:cs="Arial" w:eastAsia="Arial" w:hAnsi="Arial"/>
          <w:sz w:val="18"/>
          <w:szCs w:val="18"/>
          <w:color w:val="auto"/>
        </w:rPr>
      </w:pPr>
    </w:p>
    <w:p>
      <w:pPr>
        <w:ind w:left="700" w:hanging="28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activity in the allowance for expected credit losses of available-for-sale securities aggregated by investment category were as follows for the twelve months ended December 31, 2020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00" w:type="dxa"/>
            <w:vAlign w:val="bottom"/>
            <w:gridSpan w:val="7"/>
          </w:tcPr>
          <w:p>
            <w:pPr>
              <w:jc w:val="right"/>
              <w:ind w:right="899"/>
              <w:spacing w:after="0"/>
              <w:rPr>
                <w:sz w:val="20"/>
                <w:szCs w:val="20"/>
                <w:color w:val="auto"/>
              </w:rPr>
            </w:pPr>
            <w:r>
              <w:rPr>
                <w:rFonts w:ascii="Arial" w:cs="Arial" w:eastAsia="Arial" w:hAnsi="Arial"/>
                <w:sz w:val="14"/>
                <w:szCs w:val="14"/>
                <w:b w:val="1"/>
                <w:bCs w:val="1"/>
                <w:color w:val="auto"/>
              </w:rPr>
              <w:t>Twelve Months Ended December 31, 2020</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Reductions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For initial credit</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61"/>
              <w:spacing w:after="0" w:line="135" w:lineRule="exact"/>
              <w:rPr>
                <w:sz w:val="20"/>
                <w:szCs w:val="20"/>
                <w:color w:val="auto"/>
              </w:rPr>
            </w:pPr>
            <w:r>
              <w:rPr>
                <w:rFonts w:ascii="Arial" w:cs="Arial" w:eastAsia="Arial" w:hAnsi="Arial"/>
                <w:sz w:val="14"/>
                <w:szCs w:val="14"/>
                <w:b w:val="1"/>
                <w:bCs w:val="1"/>
                <w:color w:val="auto"/>
                <w:w w:val="94"/>
              </w:rPr>
              <w:t>(Additions)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89"/>
              </w:rPr>
              <w:t>For securities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For credit losses</w:t>
            </w:r>
          </w:p>
        </w:tc>
        <w:tc>
          <w:tcPr>
            <w:tcW w:w="14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80"/>
              </w:rPr>
              <w:t>losses on</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81"/>
              <w:spacing w:after="0" w:line="135" w:lineRule="exact"/>
              <w:rPr>
                <w:sz w:val="20"/>
                <w:szCs w:val="20"/>
                <w:color w:val="auto"/>
              </w:rPr>
            </w:pPr>
            <w:r>
              <w:rPr>
                <w:rFonts w:ascii="Arial" w:cs="Arial" w:eastAsia="Arial" w:hAnsi="Arial"/>
                <w:sz w:val="14"/>
                <w:szCs w:val="14"/>
                <w:b w:val="1"/>
                <w:bCs w:val="1"/>
                <w:color w:val="auto"/>
                <w:w w:val="90"/>
              </w:rPr>
              <w:t>reductions in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61"/>
              <w:spacing w:after="0" w:line="135" w:lineRule="exact"/>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7"/>
              </w:rPr>
              <w:t>For</w:t>
            </w: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intended/required</w:t>
            </w:r>
          </w:p>
        </w:tc>
        <w:tc>
          <w:tcPr>
            <w:tcW w:w="140" w:type="dxa"/>
            <w:vAlign w:val="bottom"/>
          </w:tcPr>
          <w:p>
            <w:pPr>
              <w:spacing w:after="0"/>
              <w:rPr>
                <w:sz w:val="11"/>
                <w:szCs w:val="11"/>
                <w:color w:val="auto"/>
              </w:rPr>
            </w:pP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Write offs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on securities for</w:t>
            </w:r>
          </w:p>
        </w:tc>
        <w:tc>
          <w:tcPr>
            <w:tcW w:w="14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85"/>
              </w:rPr>
              <w:t>securities</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61"/>
              <w:spacing w:after="0" w:line="135" w:lineRule="exact"/>
              <w:rPr>
                <w:sz w:val="20"/>
                <w:szCs w:val="20"/>
                <w:color w:val="auto"/>
              </w:rPr>
            </w:pPr>
            <w:r>
              <w:rPr>
                <w:rFonts w:ascii="Arial" w:cs="Arial" w:eastAsia="Arial" w:hAnsi="Arial"/>
                <w:sz w:val="14"/>
                <w:szCs w:val="14"/>
                <w:b w:val="1"/>
                <w:bCs w:val="1"/>
                <w:color w:val="auto"/>
                <w:w w:val="91"/>
              </w:rPr>
              <w:t>recorded on</w:t>
            </w: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to be sold prior to</w:t>
            </w:r>
          </w:p>
        </w:tc>
        <w:tc>
          <w:tcPr>
            <w:tcW w:w="1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which losses were</w:t>
            </w: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accounted for as</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61"/>
              <w:spacing w:after="0" w:line="135" w:lineRule="exact"/>
              <w:rPr>
                <w:sz w:val="20"/>
                <w:szCs w:val="20"/>
                <w:color w:val="auto"/>
              </w:rPr>
            </w:pPr>
            <w:r>
              <w:rPr>
                <w:rFonts w:ascii="Arial" w:cs="Arial" w:eastAsia="Arial" w:hAnsi="Arial"/>
                <w:sz w:val="14"/>
                <w:szCs w:val="14"/>
                <w:b w:val="1"/>
                <w:bCs w:val="1"/>
                <w:color w:val="auto"/>
                <w:w w:val="88"/>
              </w:rPr>
              <w:t>previously</w:t>
            </w:r>
          </w:p>
        </w:tc>
        <w:tc>
          <w:tcPr>
            <w:tcW w:w="200" w:type="dxa"/>
            <w:vAlign w:val="bottom"/>
          </w:tcPr>
          <w:p>
            <w:pPr>
              <w:spacing w:after="0"/>
              <w:rPr>
                <w:sz w:val="11"/>
                <w:szCs w:val="11"/>
                <w:color w:val="auto"/>
              </w:rPr>
            </w:pPr>
          </w:p>
        </w:tc>
        <w:tc>
          <w:tcPr>
            <w:tcW w:w="6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1"/>
                <w:szCs w:val="11"/>
                <w:color w:val="auto"/>
              </w:rPr>
            </w:pPr>
          </w:p>
        </w:tc>
        <w:tc>
          <w:tcPr>
            <w:tcW w:w="10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2"/>
              </w:rPr>
              <w:t>recovery of</w:t>
            </w:r>
          </w:p>
        </w:tc>
        <w:tc>
          <w:tcPr>
            <w:tcW w:w="140" w:type="dxa"/>
            <w:vAlign w:val="bottom"/>
          </w:tcPr>
          <w:p>
            <w:pPr>
              <w:spacing w:after="0"/>
              <w:rPr>
                <w:sz w:val="11"/>
                <w:szCs w:val="11"/>
                <w:color w:val="auto"/>
              </w:rPr>
            </w:pPr>
          </w:p>
        </w:tc>
        <w:tc>
          <w:tcPr>
            <w:tcW w:w="104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charged</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1"/>
                <w:szCs w:val="11"/>
                <w:color w:val="auto"/>
              </w:rPr>
            </w:pPr>
          </w:p>
        </w:tc>
        <w:tc>
          <w:tcPr>
            <w:tcW w:w="102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1"/>
              </w:rPr>
              <w:t>not previously</w:t>
            </w:r>
          </w:p>
        </w:tc>
        <w:tc>
          <w:tcPr>
            <w:tcW w:w="14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7"/>
              </w:rPr>
              <w:t>PCD financial</w:t>
            </w:r>
          </w:p>
        </w:tc>
        <w:tc>
          <w:tcPr>
            <w:tcW w:w="120" w:type="dxa"/>
            <w:vAlign w:val="bottom"/>
          </w:tcPr>
          <w:p>
            <w:pPr>
              <w:spacing w:after="0"/>
              <w:rPr>
                <w:sz w:val="11"/>
                <w:szCs w:val="11"/>
                <w:color w:val="auto"/>
              </w:rPr>
            </w:pPr>
          </w:p>
        </w:tc>
        <w:tc>
          <w:tcPr>
            <w:tcW w:w="1100" w:type="dxa"/>
            <w:vAlign w:val="bottom"/>
            <w:tcBorders>
              <w:right w:val="single" w:sz="8" w:color="auto"/>
            </w:tcBorders>
          </w:tcPr>
          <w:p>
            <w:pPr>
              <w:jc w:val="center"/>
              <w:ind w:right="161"/>
              <w:spacing w:after="0" w:line="135" w:lineRule="exact"/>
              <w:rPr>
                <w:sz w:val="20"/>
                <w:szCs w:val="20"/>
                <w:color w:val="auto"/>
              </w:rPr>
            </w:pPr>
            <w:r>
              <w:rPr>
                <w:rFonts w:ascii="Arial" w:cs="Arial" w:eastAsia="Arial" w:hAnsi="Arial"/>
                <w:sz w:val="14"/>
                <w:szCs w:val="14"/>
                <w:b w:val="1"/>
                <w:bCs w:val="1"/>
                <w:color w:val="auto"/>
                <w:w w:val="92"/>
              </w:rPr>
              <w:t>impaired</w:t>
            </w:r>
          </w:p>
        </w:tc>
        <w:tc>
          <w:tcPr>
            <w:tcW w:w="8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sold during</w:t>
            </w:r>
          </w:p>
        </w:tc>
        <w:tc>
          <w:tcPr>
            <w:tcW w:w="140" w:type="dxa"/>
            <w:vAlign w:val="bottom"/>
          </w:tcPr>
          <w:p>
            <w:pPr>
              <w:spacing w:after="0"/>
              <w:rPr>
                <w:sz w:val="11"/>
                <w:szCs w:val="11"/>
                <w:color w:val="auto"/>
              </w:rPr>
            </w:pPr>
          </w:p>
        </w:tc>
        <w:tc>
          <w:tcPr>
            <w:tcW w:w="10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1"/>
              </w:rPr>
              <w:t>amortized cost</w:t>
            </w:r>
          </w:p>
        </w:tc>
        <w:tc>
          <w:tcPr>
            <w:tcW w:w="140" w:type="dxa"/>
            <w:vAlign w:val="bottom"/>
          </w:tcPr>
          <w:p>
            <w:pPr>
              <w:spacing w:after="0"/>
              <w:rPr>
                <w:sz w:val="11"/>
                <w:szCs w:val="11"/>
                <w:color w:val="auto"/>
              </w:rPr>
            </w:pPr>
          </w:p>
        </w:tc>
        <w:tc>
          <w:tcPr>
            <w:tcW w:w="104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against the</w:t>
            </w:r>
          </w:p>
        </w:tc>
        <w:tc>
          <w:tcPr>
            <w:tcW w:w="140" w:type="dxa"/>
            <w:vAlign w:val="bottom"/>
          </w:tcPr>
          <w:p>
            <w:pPr>
              <w:spacing w:after="0"/>
              <w:rPr>
                <w:sz w:val="11"/>
                <w:szCs w:val="11"/>
                <w:color w:val="auto"/>
              </w:rPr>
            </w:pPr>
          </w:p>
        </w:tc>
        <w:tc>
          <w:tcPr>
            <w:tcW w:w="62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recorded</w:t>
            </w:r>
          </w:p>
        </w:tc>
        <w:tc>
          <w:tcPr>
            <w:tcW w:w="140" w:type="dxa"/>
            <w:vAlign w:val="bottom"/>
          </w:tcPr>
          <w:p>
            <w:pPr>
              <w:spacing w:after="0"/>
              <w:rPr>
                <w:sz w:val="16"/>
                <w:szCs w:val="16"/>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assets (1)</w:t>
            </w:r>
          </w:p>
        </w:tc>
        <w:tc>
          <w:tcPr>
            <w:tcW w:w="120" w:type="dxa"/>
            <w:vAlign w:val="bottom"/>
          </w:tcPr>
          <w:p>
            <w:pPr>
              <w:spacing w:after="0"/>
              <w:rPr>
                <w:sz w:val="16"/>
                <w:szCs w:val="16"/>
                <w:color w:val="auto"/>
              </w:rPr>
            </w:pPr>
          </w:p>
        </w:tc>
        <w:tc>
          <w:tcPr>
            <w:tcW w:w="1100" w:type="dxa"/>
            <w:vAlign w:val="bottom"/>
            <w:tcBorders>
              <w:right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8"/>
              </w:rPr>
              <w:t>securities</w:t>
            </w:r>
          </w:p>
        </w:tc>
        <w:tc>
          <w:tcPr>
            <w:tcW w:w="8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1"/>
              </w:rPr>
              <w:t>the period</w:t>
            </w:r>
          </w:p>
        </w:tc>
        <w:tc>
          <w:tcPr>
            <w:tcW w:w="140" w:type="dxa"/>
            <w:vAlign w:val="bottom"/>
          </w:tcPr>
          <w:p>
            <w:pPr>
              <w:spacing w:after="0"/>
              <w:rPr>
                <w:sz w:val="16"/>
                <w:szCs w:val="16"/>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basis</w:t>
            </w:r>
          </w:p>
        </w:tc>
        <w:tc>
          <w:tcPr>
            <w:tcW w:w="14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allowance</w:t>
            </w:r>
          </w:p>
        </w:tc>
        <w:tc>
          <w:tcPr>
            <w:tcW w:w="140" w:type="dxa"/>
            <w:vAlign w:val="bottom"/>
          </w:tcPr>
          <w:p>
            <w:pPr>
              <w:spacing w:after="0"/>
              <w:rPr>
                <w:sz w:val="16"/>
                <w:szCs w:val="16"/>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right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101"/>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Hybrids</w:t>
            </w:r>
          </w:p>
        </w:tc>
        <w:tc>
          <w:tcPr>
            <w:tcW w:w="12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Residential mortgage-backed</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right w:val="single" w:sz="8" w:color="auto"/>
            </w:tcBorders>
          </w:tcPr>
          <w:p>
            <w:pPr>
              <w:jc w:val="right"/>
              <w:ind w:right="101"/>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Purchased credit-deteriorated available-for-sale debt securities ("PCD"s) are AFS securities purchased at a discount, where part of that discount is attributable to credit. Credit loss allowances are calculated for these securities as of the date of their acquisition, with the initial allowance serving to increase amortized cost. The following table summarizes year to date PCD AFS security purchases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Purchased credit-deteriorated available-for-sale debt securities</w:t>
            </w: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Allowance for credit losses at acquisition</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(or premiums) attributable to other factors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AFS purchased credit-deteriorated par value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8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and gross unrealized losses of available-for-sale securities, excluding securities in an unrealized loss position with an allowance for expected credit loss, aggregated by investment category and duration of fair value below amortized cost as of December 31, 2020, and December 31, 2019 were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12 months or longer</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tcPr>
          <w:p>
            <w:pPr>
              <w:ind w:left="360"/>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Corporates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Hybrids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Municipals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U.S. Government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line="227" w:lineRule="auto"/>
        <w:rPr>
          <w:sz w:val="20"/>
          <w:szCs w:val="20"/>
          <w:color w:val="auto"/>
        </w:rPr>
      </w:pPr>
      <w:r>
        <w:rPr>
          <w:rFonts w:ascii="Arial" w:cs="Arial" w:eastAsia="Arial" w:hAnsi="Arial"/>
          <w:sz w:val="13"/>
          <w:szCs w:val="13"/>
          <w:color w:val="auto"/>
        </w:rPr>
        <w:t>Total number of available-for-sale securities in an unrealized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-80645</wp:posOffset>
            </wp:positionV>
            <wp:extent cx="2228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position less than twelve months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number of available-for-sale securities in an unrealized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position twelve months or longer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number of available-for-sale securities in an unrealized loss</w:t>
      </w:r>
    </w:p>
    <w:p>
      <w:pPr>
        <w:ind w:left="20"/>
        <w:spacing w:after="0"/>
        <w:rPr>
          <w:sz w:val="20"/>
          <w:szCs w:val="20"/>
          <w:color w:val="auto"/>
        </w:rPr>
      </w:pPr>
      <w:r>
        <w:rPr>
          <w:rFonts w:ascii="Arial" w:cs="Arial" w:eastAsia="Arial" w:hAnsi="Arial"/>
          <w:sz w:val="14"/>
          <w:szCs w:val="14"/>
          <w:color w:val="auto"/>
        </w:rPr>
        <w:t>position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36830</wp:posOffset>
            </wp:positionV>
            <wp:extent cx="702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-142875</wp:posOffset>
            </wp:positionV>
            <wp:extent cx="22371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40640</wp:posOffset>
            </wp:positionV>
            <wp:extent cx="7029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36830</wp:posOffset>
            </wp:positionV>
            <wp:extent cx="702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62230</wp:posOffset>
            </wp:positionV>
            <wp:extent cx="7029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0180" w:space="720"/>
            <w:col w:w="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12 months or longer</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2"/>
              </w:rPr>
              <w:t>Gross Unrealized</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Corporates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Foreign Government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 unrealized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rPr>
                <w:sz w:val="20"/>
                <w:szCs w:val="20"/>
                <w:color w:val="auto"/>
              </w:rPr>
            </w:pPr>
            <w:r>
              <w:rPr>
                <w:rFonts w:ascii="Arial" w:cs="Arial" w:eastAsia="Arial" w:hAnsi="Arial"/>
                <w:sz w:val="14"/>
                <w:szCs w:val="14"/>
                <w:color w:val="auto"/>
              </w:rPr>
              <w:t>position less than twelve months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position twelve months or longer</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rPr>
                <w:sz w:val="20"/>
                <w:szCs w:val="20"/>
                <w:color w:val="auto"/>
              </w:rPr>
            </w:pPr>
            <w:r>
              <w:rPr>
                <w:rFonts w:ascii="Arial" w:cs="Arial" w:eastAsia="Arial" w:hAnsi="Arial"/>
                <w:sz w:val="14"/>
                <w:szCs w:val="14"/>
                <w:color w:val="auto"/>
              </w:rPr>
              <w:t>position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determined the increase in unrealized losses was caused by widening spreads, which in most cases was driven by market illiquidity and perceived increases in credit risk. For securities in an unrealized loss position as of December 31, 2020 and an expected credit loss was not determined, we believe that the unrealized loss is being driven by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have not risen to the level of impacting the tranches of those securities.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Loans</w:t>
      </w:r>
    </w:p>
    <w:p>
      <w:pPr>
        <w:spacing w:after="0" w:line="23" w:lineRule="exact"/>
        <w:rPr>
          <w:sz w:val="20"/>
          <w:szCs w:val="20"/>
          <w:color w:val="auto"/>
        </w:rPr>
      </w:pPr>
    </w:p>
    <w:p>
      <w:pPr>
        <w:jc w:val="both"/>
        <w:ind w:right="20" w:firstLine="405"/>
        <w:spacing w:after="0" w:line="260" w:lineRule="auto"/>
        <w:rPr>
          <w:sz w:val="20"/>
          <w:szCs w:val="20"/>
          <w:color w:val="auto"/>
        </w:rPr>
      </w:pPr>
      <w:r>
        <w:rPr>
          <w:rFonts w:ascii="Arial" w:cs="Arial" w:eastAsia="Arial" w:hAnsi="Arial"/>
          <w:sz w:val="18"/>
          <w:szCs w:val="18"/>
          <w:color w:val="auto"/>
        </w:rPr>
        <w:t>Our mortgage loans are collateralized by commercial and residential properties. All mortgages were acquired in the F&amp;G acquisition, which is why no 2019 data is presented.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 Mortgage Loans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Commercial mortgage loans ("CMLs") represented approximately 3% of our total investments as of December 31, 2020.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Gross Carrying Value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Hotel</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 - General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Industrial - Warehouse</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Multifamily</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Office</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8"/>
        </w:trPr>
        <w:tc>
          <w:tcPr>
            <w:tcW w:w="8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commercial mortgage loans, gross of valuation allowance</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Allowance for expected credit loss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commercial mortgage loans</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Region:</w:t>
            </w: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East North Central</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East South Central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Middle Atlantic</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New England</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Pacific</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South Atlantic</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 North Central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West South Central</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8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commercial mortgage loans, gross of valuation allowance</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Allowance for expected credit loss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commercial mortgage loans</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of our investments in CMLs had a loan-to-value ("LTV") ratio of less than 75% at December 31, 2020, as measured at inception of the loans unless otherwise updated.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recorded investment in CMLs by LTV and DSC ratio categories and estimated fair value by the indicated loan-to-value ratios at December 31, 2020 (dollars in millions)</w:t>
      </w:r>
      <w:r>
        <w:rPr>
          <w:rFonts w:ascii="Arial" w:cs="Arial" w:eastAsia="Arial" w:hAnsi="Arial"/>
          <w:sz w:val="16"/>
          <w:szCs w:val="16"/>
          <w:color w:val="auto"/>
        </w:rPr>
        <w:t>:</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Debt-Service Coverage</w:t>
            </w:r>
          </w:p>
        </w:tc>
        <w:tc>
          <w:tcPr>
            <w:tcW w:w="14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Ratios</w:t>
            </w: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1060" w:type="dxa"/>
            <w:vAlign w:val="bottom"/>
            <w:gridSpan w:val="3"/>
            <w:vMerge w:val="continue"/>
          </w:tcPr>
          <w:p>
            <w:pPr>
              <w:spacing w:after="0"/>
              <w:rPr>
                <w:sz w:val="15"/>
                <w:szCs w:val="15"/>
                <w:color w:val="auto"/>
              </w:rPr>
            </w:pPr>
          </w:p>
        </w:tc>
        <w:tc>
          <w:tcPr>
            <w:tcW w:w="1000" w:type="dxa"/>
            <w:vAlign w:val="bottom"/>
          </w:tcPr>
          <w:p>
            <w:pPr>
              <w:jc w:val="right"/>
              <w:ind w:right="94"/>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4"/>
                <w:szCs w:val="14"/>
                <w:b w:val="1"/>
                <w:bCs w:val="1"/>
                <w:color w:val="auto"/>
              </w:rPr>
              <w:t>&gt;1.25</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b w:val="1"/>
                <w:bCs w:val="1"/>
                <w:color w:val="auto"/>
                <w:w w:val="92"/>
              </w:rPr>
              <w:t>1.00 - 1.25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Value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LTV Ratios: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than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50% to 60%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60% to 75%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Commercial mortgage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a mortgage loan as delinquent when payments on the loan are greater than 30 days past due. At December 31, 2020, we had no CMLs that were delinquent in principal or interest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Expected Credit Loss</w:t>
      </w:r>
    </w:p>
    <w:p>
      <w:pPr>
        <w:spacing w:after="0" w:line="144"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Consolidated Statements of Earnings.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Residential Mortgage Loans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Residential mortgage loans ("RMLs") represented approximately 3% of our total investments as of December 31, 2020.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State:</w:t>
            </w:r>
          </w:p>
        </w:tc>
        <w:tc>
          <w:tcPr>
            <w:tcW w:w="14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Unpaid Principal</w:t>
            </w:r>
          </w:p>
        </w:tc>
        <w:tc>
          <w:tcPr>
            <w:tcW w:w="15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8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1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States (1)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mortgage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8% as of December 31, 2020.</w:t>
      </w:r>
    </w:p>
    <w:p>
      <w:pPr>
        <w:spacing w:after="0" w:line="248" w:lineRule="exact"/>
        <w:rPr>
          <w:sz w:val="20"/>
          <w:szCs w:val="20"/>
          <w:color w:val="auto"/>
        </w:rPr>
      </w:pPr>
    </w:p>
    <w:p>
      <w:pPr>
        <w:jc w:val="both"/>
        <w:ind w:firstLine="210"/>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at December 31, 2020, was as follows (dollars in millions):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8360" w:type="dxa"/>
            <w:vAlign w:val="bottom"/>
          </w:tcPr>
          <w:p>
            <w:pPr>
              <w:spacing w:after="0"/>
              <w:rPr>
                <w:sz w:val="20"/>
                <w:szCs w:val="20"/>
                <w:color w:val="auto"/>
              </w:rPr>
            </w:pPr>
            <w:r>
              <w:rPr>
                <w:rFonts w:ascii="Arial" w:cs="Arial" w:eastAsia="Arial" w:hAnsi="Arial"/>
                <w:sz w:val="14"/>
                <w:szCs w:val="14"/>
                <w:b w:val="1"/>
                <w:bCs w:val="1"/>
                <w:color w:val="auto"/>
              </w:rPr>
              <w:t>Performance indicators:</w:t>
            </w:r>
          </w:p>
        </w:tc>
        <w:tc>
          <w:tcPr>
            <w:tcW w:w="1480" w:type="dxa"/>
            <w:vAlign w:val="bottom"/>
          </w:tcPr>
          <w:p>
            <w:pPr>
              <w:ind w:left="180"/>
              <w:spacing w:after="0"/>
              <w:rPr>
                <w:sz w:val="20"/>
                <w:szCs w:val="20"/>
                <w:color w:val="auto"/>
              </w:rPr>
            </w:pPr>
            <w:r>
              <w:rPr>
                <w:rFonts w:ascii="Arial" w:cs="Arial" w:eastAsia="Arial" w:hAnsi="Arial"/>
                <w:sz w:val="14"/>
                <w:szCs w:val="14"/>
                <w:b w:val="1"/>
                <w:bCs w:val="1"/>
                <w:color w:val="auto"/>
              </w:rPr>
              <w:t>Carrying Value</w:t>
            </w:r>
          </w:p>
        </w:tc>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 of 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80" w:type="dxa"/>
            <w:vAlign w:val="bottom"/>
          </w:tcPr>
          <w:p>
            <w:pPr>
              <w:ind w:left="20"/>
              <w:spacing w:after="0"/>
              <w:rPr>
                <w:sz w:val="20"/>
                <w:szCs w:val="20"/>
                <w:color w:val="auto"/>
              </w:rPr>
            </w:pPr>
            <w:r>
              <w:rPr>
                <w:rFonts w:ascii="Arial" w:cs="Arial" w:eastAsia="Arial" w:hAnsi="Arial"/>
                <w:sz w:val="18"/>
                <w:szCs w:val="18"/>
                <w:color w:val="auto"/>
              </w:rPr>
              <w:t>Performing</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Non-performing</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residential mortgage loans, gross of valuation allowance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expected loan loss</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Total residential mortgage loans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8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Loans segregated by risk rating exposure as of December 31, 2020, were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1"/>
              </w:rPr>
              <w:t>December 31, 2020</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4"/>
              </w:rPr>
              <w:t>Amortized Cost by Origination Year</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Current (less than 30 days past due)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545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w w:val="99"/>
              </w:rPr>
              <w:t>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30-89 days past due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90 days past due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residential mortgages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641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42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(less than 30 days past due)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30-89 days past due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90 days past due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commercial mortgage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1"/>
              </w:rPr>
              <w:t>December 31, 2020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4"/>
              </w:rPr>
              <w:t>Amortized Cost by Origination Year</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LTV</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50% to 60%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 to 75%</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commercial mortgages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Commercial mortgages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DSCR</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1.25x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1.00x - 1.25x</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1.00x</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commercial mortgages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660" w:type="dxa"/>
            <w:vAlign w:val="bottom"/>
            <w:gridSpan w:val="5"/>
          </w:tcPr>
          <w:p>
            <w:pPr>
              <w:spacing w:after="0"/>
              <w:rPr>
                <w:sz w:val="20"/>
                <w:szCs w:val="20"/>
                <w:color w:val="auto"/>
              </w:rPr>
            </w:pPr>
            <w:r>
              <w:rPr>
                <w:rFonts w:ascii="Arial" w:cs="Arial" w:eastAsia="Arial" w:hAnsi="Arial"/>
                <w:sz w:val="18"/>
                <w:szCs w:val="18"/>
                <w:color w:val="auto"/>
                <w:w w:val="91"/>
              </w:rPr>
              <w:t>Non-accrual loans by amortized cost as of December 31, 2020, was as follows (in millions):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 of loans on non-accrual</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right"/>
              <w:ind w:right="312"/>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non-accrual loans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Expected Credit Loss</w:t>
      </w:r>
    </w:p>
    <w:p>
      <w:pPr>
        <w:spacing w:after="0" w:line="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Consolidated Statements of Earnings. Credit losses on purchase credit deteriorated (“PCD”) financial assets were recognized on the opening balance sheet and PCD amounts as of December 31, 2020 are shown in the table below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December 31, 2020</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Credit Losses on PCD Financial 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Residential Mortgage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Commercial Mortgage</w:t>
            </w:r>
          </w:p>
        </w:tc>
        <w:tc>
          <w:tcPr>
            <w:tcW w:w="38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1680" w:type="dxa"/>
            <w:vAlign w:val="bottom"/>
            <w:tcBorders>
              <w:top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rPr>
              <w:t>For initial credit losses on purchased loans accounted for as PCD</w:t>
            </w:r>
          </w:p>
        </w:tc>
        <w:tc>
          <w:tcPr>
            <w:tcW w:w="16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assets</w:t>
            </w:r>
          </w:p>
        </w:tc>
        <w:tc>
          <w:tcPr>
            <w:tcW w:w="1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as seen in the tables below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income recognized during the period on nonaccrual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93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that are 90 days past due and still accruing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major sources of Interest and investment income reported on the accompanying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6"/>
        </w:trPr>
        <w:tc>
          <w:tcPr>
            <w:tcW w:w="732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26"/>
        </w:trPr>
        <w:tc>
          <w:tcPr>
            <w:tcW w:w="732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Preferred securities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Invested cash and short-term investments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Limited partnerships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Tax deferred property exchange income</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Gross investment income</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Interest and investment income</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7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Recognized Gains and Losses, net</w:t>
      </w:r>
    </w:p>
    <w:p>
      <w:pPr>
        <w:spacing w:after="0" w:line="13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Details underlying Recognized gains and losses, net reported on the accompanying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7"/>
        </w:trPr>
        <w:tc>
          <w:tcPr>
            <w:tcW w:w="732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gains (losses) on fixed maturity available-for-sale securities</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realized/unrealized gains (losses) on equity securities (2)(3)</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realized/unrealized gains (losses) on preferred securities (4)</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Realized gains (losses) on other invested assets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allowance for expected credit losses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Derivatives and embedded derivatives:</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gains on certain derivative instruments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Unrealized gains on certain derivative instruments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reinsurance related embedded derivatives (1)</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Change in fair value of other derivatives and embedded derivatives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gains on derivatives and embedded derivatives</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Recognized gains and losses, net</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7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50" w:lineRule="auto"/>
        <w:tabs>
          <w:tab w:leader="none" w:pos="2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Change in fair value of reinsurance related embedded derivatives is due to held for sale unaffiliated third party business under the fair value option election, and activity related to the FGL Insurance and Kubera reinsurance treaty.</w:t>
      </w: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unrealized gain on Forward Purchase Agreements of $199 million as of December 31, 2020.</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valuation gains (losses) of $248 million, $299 million and $(71) million for the year ended December 31, 2020, 2019 and 2018.</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valuation gains (losses) of $(40) million, $17 million and $(24) million for the year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ASU 2016-13 adoption on the P&amp;L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ASU 2016-13 adoption impact on P&amp;L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proceeds from the sale of fixed-maturity securities and the gross gains and losses associated with those transactions were as follows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7"/>
        </w:trPr>
        <w:tc>
          <w:tcPr>
            <w:tcW w:w="732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Gross gains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losses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owns investments in VIEs that are not consolidated within our financial statements, and one investment in a VIE that is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previously executed a commitment of $83 million to purchase common shares in an unaffiliated private business development company ("BDC"). The BDC invests in secured and unsecured fixed maturity and equity securities of middle market companies in the United States. Due to the voting structure of the transaction, the Company does not have voting power. As of December 31, 2020, the BDC was listed on the NASDAQ.</w:t>
      </w:r>
    </w:p>
    <w:p>
      <w:pPr>
        <w:spacing w:after="0" w:line="5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invest in various limited partnerships as a passive investor. These investments are in credit funds with a bias towards current income, real assets, or private equity. Limited partnership interests are accounted for under the equity method and are included in Investments in unconsolidated affiliates on our Consolidated Balance Sheets. Our maximum exposure to loss with respect to these investments is limited to the investment carrying amounts reported in our Consolidated Balance Sheets in addition to any required unfunded commitments. As of December 31, 2020, our maximum exposure to loss was $1,107 million in recorded carrying value and $394 million in unfunded commitments.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equity securities as of December 31, 2020 and December 31, 2019 are 5,706,134 shares of Cannae common stock (NYSE: CNNE), which were purchased during the fourth quarter of 2017 in connection with the split-off of our former portfolio company investments to Cannae. The fair value of our related party investment based on quoted market prices is $253 million and $212 million as of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Derivative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amounts of derivative instruments, including derivative instruments embedded in FIA contracts, and reinsurance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is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r>
      <w:tr>
        <w:trPr>
          <w:trHeight w:val="169"/>
        </w:trPr>
        <w:tc>
          <w:tcPr>
            <w:tcW w:w="98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investments:</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Call options</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investments: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embedded derivatives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9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Contractholder funds: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FIA embedded derivative</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related embedded derivative</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988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r>
      <w:tr>
        <w:trPr>
          <w:trHeight w:val="21"/>
        </w:trPr>
        <w:tc>
          <w:tcPr>
            <w:tcW w:w="9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change in fair value of derivative instruments included in the accompanying Consolidated Statements of Earnings is as follows (in millions):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860" w:type="dxa"/>
            <w:vAlign w:val="bottom"/>
          </w:tcPr>
          <w:p>
            <w:pPr>
              <w:spacing w:after="0"/>
              <w:rPr>
                <w:sz w:val="12"/>
                <w:szCs w:val="12"/>
                <w:color w:val="auto"/>
              </w:rPr>
            </w:pPr>
          </w:p>
        </w:tc>
        <w:tc>
          <w:tcPr>
            <w:tcW w:w="11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Period from June</w:t>
            </w:r>
          </w:p>
        </w:tc>
      </w:tr>
      <w:tr>
        <w:trPr>
          <w:trHeight w:val="135"/>
        </w:trPr>
        <w:tc>
          <w:tcPr>
            <w:tcW w:w="986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1 to December 31,</w:t>
            </w:r>
          </w:p>
        </w:tc>
      </w:tr>
      <w:tr>
        <w:trPr>
          <w:trHeight w:val="186"/>
        </w:trPr>
        <w:tc>
          <w:tcPr>
            <w:tcW w:w="9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169"/>
        </w:trPr>
        <w:tc>
          <w:tcPr>
            <w:tcW w:w="9860" w:type="dxa"/>
            <w:vAlign w:val="bottom"/>
          </w:tcPr>
          <w:p>
            <w:pPr>
              <w:spacing w:after="0"/>
              <w:rPr>
                <w:sz w:val="20"/>
                <w:szCs w:val="20"/>
                <w:color w:val="auto"/>
              </w:rPr>
            </w:pPr>
            <w:r>
              <w:rPr>
                <w:rFonts w:ascii="Arial" w:cs="Arial" w:eastAsia="Arial" w:hAnsi="Arial"/>
                <w:sz w:val="14"/>
                <w:szCs w:val="14"/>
                <w:b w:val="1"/>
                <w:bCs w:val="1"/>
                <w:color w:val="auto"/>
              </w:rPr>
              <w:t>Net investment gains (losses):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2"/>
        </w:trPr>
        <w:tc>
          <w:tcPr>
            <w:tcW w:w="9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Call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9860" w:type="dxa"/>
            <w:vAlign w:val="bottom"/>
          </w:tcPr>
          <w:p>
            <w:pPr>
              <w:ind w:left="120"/>
              <w:spacing w:after="0"/>
              <w:rPr>
                <w:sz w:val="20"/>
                <w:szCs w:val="20"/>
                <w:color w:val="auto"/>
              </w:rPr>
            </w:pPr>
            <w:r>
              <w:rPr>
                <w:rFonts w:ascii="Arial" w:cs="Arial" w:eastAsia="Arial" w:hAnsi="Arial"/>
                <w:sz w:val="18"/>
                <w:szCs w:val="18"/>
                <w:color w:val="auto"/>
              </w:rPr>
              <w:t>Futures contracts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forward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860" w:type="dxa"/>
            <w:vAlign w:val="bottom"/>
          </w:tcPr>
          <w:p>
            <w:pPr>
              <w:ind w:left="120"/>
              <w:spacing w:after="0"/>
              <w:rPr>
                <w:sz w:val="20"/>
                <w:szCs w:val="20"/>
                <w:color w:val="auto"/>
              </w:rPr>
            </w:pPr>
            <w:r>
              <w:rPr>
                <w:rFonts w:ascii="Arial" w:cs="Arial" w:eastAsia="Arial" w:hAnsi="Arial"/>
                <w:sz w:val="18"/>
                <w:szCs w:val="18"/>
                <w:color w:val="auto"/>
              </w:rPr>
              <w:t>Other derivatives and embedded derivatives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Reinsurance related embedded derivatives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Total net investment gains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9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8"/>
        </w:trPr>
        <w:tc>
          <w:tcPr>
            <w:tcW w:w="9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Benefits and other changes in policy reserves: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49"/>
        </w:trPr>
        <w:tc>
          <w:tcPr>
            <w:tcW w:w="9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FIA embedded derivatives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FIA Embedded Derivative and Call Options and Futures</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Consolidated Balance Sheets with changes in fair value included as a component of Benefits and other changes in policy reserves in the Consolidated Statements of Earnings. See a description of the fair value methodology used in Note E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one, two, three, or five year call options to fund the next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Recognized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regarding our exposure to credit loss on the call options we hold as of December 31, 2020, is presented in the following table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2020</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00" w:type="dxa"/>
            <w:vAlign w:val="bottom"/>
            <w:gridSpan w:val="2"/>
          </w:tcPr>
          <w:p>
            <w:pPr>
              <w:jc w:val="center"/>
              <w:ind w:left="694"/>
              <w:spacing w:after="0" w:line="135" w:lineRule="exact"/>
              <w:rPr>
                <w:sz w:val="20"/>
                <w:szCs w:val="20"/>
                <w:color w:val="auto"/>
              </w:rPr>
            </w:pPr>
            <w:r>
              <w:rPr>
                <w:rFonts w:ascii="Arial" w:cs="Arial" w:eastAsia="Arial" w:hAnsi="Arial"/>
                <w:sz w:val="14"/>
                <w:szCs w:val="14"/>
                <w:b w:val="1"/>
                <w:bCs w:val="1"/>
                <w:color w:val="auto"/>
                <w:w w:val="95"/>
              </w:rPr>
              <w:t>Credit Rating</w:t>
            </w:r>
          </w:p>
        </w:tc>
        <w:tc>
          <w:tcPr>
            <w:tcW w:w="200" w:type="dxa"/>
            <w:vAlign w:val="bottom"/>
          </w:tcPr>
          <w:p>
            <w:pPr>
              <w:spacing w:after="0"/>
              <w:rPr>
                <w:sz w:val="11"/>
                <w:szCs w:val="11"/>
                <w:color w:val="auto"/>
              </w:rPr>
            </w:pPr>
          </w:p>
        </w:tc>
        <w:tc>
          <w:tcPr>
            <w:tcW w:w="10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Collateral</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Credit Risk</w:t>
            </w:r>
          </w:p>
        </w:tc>
        <w:tc>
          <w:tcPr>
            <w:tcW w:w="0" w:type="dxa"/>
            <w:vAlign w:val="bottom"/>
          </w:tcPr>
          <w:p>
            <w:pPr>
              <w:spacing w:after="0"/>
              <w:rPr>
                <w:sz w:val="1"/>
                <w:szCs w:val="1"/>
                <w:color w:val="auto"/>
              </w:rPr>
            </w:pPr>
          </w:p>
        </w:tc>
      </w:tr>
      <w:tr>
        <w:trPr>
          <w:trHeight w:val="188"/>
        </w:trPr>
        <w:tc>
          <w:tcPr>
            <w:tcW w:w="3800" w:type="dxa"/>
            <w:vAlign w:val="bottom"/>
            <w:vMerge w:val="continue"/>
          </w:tcPr>
          <w:p>
            <w:pPr>
              <w:spacing w:after="0"/>
              <w:rPr>
                <w:sz w:val="16"/>
                <w:szCs w:val="16"/>
                <w:color w:val="auto"/>
              </w:rPr>
            </w:pPr>
          </w:p>
        </w:tc>
        <w:tc>
          <w:tcPr>
            <w:tcW w:w="2700" w:type="dxa"/>
            <w:vAlign w:val="bottom"/>
            <w:gridSpan w:val="2"/>
          </w:tcPr>
          <w:p>
            <w:pPr>
              <w:jc w:val="center"/>
              <w:ind w:left="694"/>
              <w:spacing w:after="0"/>
              <w:rPr>
                <w:sz w:val="20"/>
                <w:szCs w:val="20"/>
                <w:color w:val="auto"/>
              </w:rPr>
            </w:pPr>
            <w:r>
              <w:rPr>
                <w:rFonts w:ascii="Arial" w:cs="Arial" w:eastAsia="Arial" w:hAnsi="Arial"/>
                <w:sz w:val="14"/>
                <w:szCs w:val="14"/>
                <w:b w:val="1"/>
                <w:bCs w:val="1"/>
                <w:color w:val="auto"/>
                <w:w w:val="97"/>
              </w:rPr>
              <w:t>(Fitch/Moody's/S&amp;P) (1)</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Merrill Lynch</w:t>
            </w:r>
          </w:p>
        </w:tc>
        <w:tc>
          <w:tcPr>
            <w:tcW w:w="2600" w:type="dxa"/>
            <w:vAlign w:val="bottom"/>
            <w:tcBorders>
              <w:top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b w:val="1"/>
                <w:bCs w:val="1"/>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Morgan Stanley</w:t>
            </w:r>
          </w:p>
        </w:tc>
        <w:tc>
          <w:tcPr>
            <w:tcW w:w="2700" w:type="dxa"/>
            <w:vAlign w:val="bottom"/>
            <w:gridSpan w:val="2"/>
          </w:tcPr>
          <w:p>
            <w:pPr>
              <w:jc w:val="center"/>
              <w:ind w:left="734"/>
              <w:spacing w:after="0"/>
              <w:rPr>
                <w:sz w:val="20"/>
                <w:szCs w:val="20"/>
                <w:color w:val="auto"/>
              </w:rPr>
            </w:pPr>
            <w:r>
              <w:rPr>
                <w:rFonts w:ascii="Arial" w:cs="Arial" w:eastAsia="Arial" w:hAnsi="Arial"/>
                <w:sz w:val="18"/>
                <w:szCs w:val="18"/>
                <w:b w:val="1"/>
                <w:bCs w:val="1"/>
                <w:color w:val="auto"/>
                <w:w w:val="96"/>
              </w:rPr>
              <w:t>A/A2/BBB+</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Barclay's Bank</w:t>
            </w:r>
          </w:p>
        </w:tc>
        <w:tc>
          <w:tcPr>
            <w:tcW w:w="2700" w:type="dxa"/>
            <w:vAlign w:val="bottom"/>
            <w:gridSpan w:val="2"/>
            <w:shd w:val="clear" w:color="auto" w:fill="CCEEFF"/>
          </w:tcPr>
          <w:p>
            <w:pPr>
              <w:jc w:val="center"/>
              <w:ind w:left="734"/>
              <w:spacing w:after="0"/>
              <w:rPr>
                <w:sz w:val="20"/>
                <w:szCs w:val="20"/>
                <w:color w:val="auto"/>
              </w:rPr>
            </w:pPr>
            <w:r>
              <w:rPr>
                <w:rFonts w:ascii="Arial" w:cs="Arial" w:eastAsia="Arial" w:hAnsi="Arial"/>
                <w:sz w:val="18"/>
                <w:szCs w:val="18"/>
                <w:b w:val="1"/>
                <w:bCs w:val="1"/>
                <w:color w:val="auto"/>
                <w:w w:val="97"/>
              </w:rPr>
              <w:t>A+/A1/A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Canadian Imperial Bank of Commerce</w:t>
            </w:r>
          </w:p>
        </w:tc>
        <w:tc>
          <w:tcPr>
            <w:tcW w:w="2700" w:type="dxa"/>
            <w:vAlign w:val="bottom"/>
            <w:gridSpan w:val="2"/>
          </w:tcPr>
          <w:p>
            <w:pPr>
              <w:jc w:val="center"/>
              <w:ind w:left="734"/>
              <w:spacing w:after="0"/>
              <w:rPr>
                <w:sz w:val="20"/>
                <w:szCs w:val="20"/>
                <w:color w:val="auto"/>
              </w:rPr>
            </w:pPr>
            <w:r>
              <w:rPr>
                <w:rFonts w:ascii="Arial" w:cs="Arial" w:eastAsia="Arial" w:hAnsi="Arial"/>
                <w:sz w:val="18"/>
                <w:szCs w:val="18"/>
                <w:b w:val="1"/>
                <w:bCs w:val="1"/>
                <w:color w:val="auto"/>
                <w:w w:val="99"/>
              </w:rPr>
              <w:t>AA/Aa2/A+</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2700" w:type="dxa"/>
            <w:vAlign w:val="bottom"/>
            <w:gridSpan w:val="2"/>
            <w:shd w:val="clear" w:color="auto" w:fill="CCEEFF"/>
          </w:tcPr>
          <w:p>
            <w:pPr>
              <w:jc w:val="center"/>
              <w:ind w:left="734"/>
              <w:spacing w:after="0"/>
              <w:rPr>
                <w:sz w:val="20"/>
                <w:szCs w:val="20"/>
                <w:color w:val="auto"/>
              </w:rPr>
            </w:pPr>
            <w:r>
              <w:rPr>
                <w:rFonts w:ascii="Arial" w:cs="Arial" w:eastAsia="Arial" w:hAnsi="Arial"/>
                <w:sz w:val="18"/>
                <w:szCs w:val="18"/>
                <w:b w:val="1"/>
                <w:bCs w:val="1"/>
                <w:color w:val="auto"/>
                <w:w w:val="94"/>
              </w:rPr>
              <w:t>A+/A2/BBB+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Goldman Sachs</w:t>
            </w:r>
          </w:p>
        </w:tc>
        <w:tc>
          <w:tcPr>
            <w:tcW w:w="2700" w:type="dxa"/>
            <w:vAlign w:val="bottom"/>
            <w:gridSpan w:val="2"/>
          </w:tcPr>
          <w:p>
            <w:pPr>
              <w:jc w:val="center"/>
              <w:ind w:left="734"/>
              <w:spacing w:after="0"/>
              <w:rPr>
                <w:sz w:val="20"/>
                <w:szCs w:val="20"/>
                <w:color w:val="auto"/>
              </w:rPr>
            </w:pPr>
            <w:r>
              <w:rPr>
                <w:rFonts w:ascii="Arial" w:cs="Arial" w:eastAsia="Arial" w:hAnsi="Arial"/>
                <w:sz w:val="18"/>
                <w:szCs w:val="18"/>
                <w:b w:val="1"/>
                <w:bCs w:val="1"/>
                <w:color w:val="auto"/>
                <w:w w:val="96"/>
              </w:rPr>
              <w:t>A/A3/BBB+</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Suisse</w:t>
            </w:r>
          </w:p>
        </w:tc>
        <w:tc>
          <w:tcPr>
            <w:tcW w:w="2700" w:type="dxa"/>
            <w:vAlign w:val="bottom"/>
            <w:gridSpan w:val="2"/>
            <w:shd w:val="clear" w:color="auto" w:fill="CCEEFF"/>
          </w:tcPr>
          <w:p>
            <w:pPr>
              <w:jc w:val="center"/>
              <w:ind w:left="734"/>
              <w:spacing w:after="0"/>
              <w:rPr>
                <w:sz w:val="20"/>
                <w:szCs w:val="20"/>
                <w:color w:val="auto"/>
              </w:rPr>
            </w:pPr>
            <w:r>
              <w:rPr>
                <w:rFonts w:ascii="Arial" w:cs="Arial" w:eastAsia="Arial" w:hAnsi="Arial"/>
                <w:sz w:val="18"/>
                <w:szCs w:val="18"/>
                <w:b w:val="1"/>
                <w:bCs w:val="1"/>
                <w:color w:val="auto"/>
                <w:w w:val="95"/>
              </w:rPr>
              <w:t>A/Aa3/A+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Truist</w:t>
            </w:r>
          </w:p>
        </w:tc>
        <w:tc>
          <w:tcPr>
            <w:tcW w:w="2700" w:type="dxa"/>
            <w:vAlign w:val="bottom"/>
            <w:tcBorders>
              <w:bottom w:val="single" w:sz="8" w:color="CCEEFF"/>
            </w:tcBorders>
            <w:gridSpan w:val="2"/>
          </w:tcPr>
          <w:p>
            <w:pPr>
              <w:jc w:val="center"/>
              <w:ind w:left="734"/>
              <w:spacing w:after="0"/>
              <w:rPr>
                <w:sz w:val="20"/>
                <w:szCs w:val="20"/>
                <w:color w:val="auto"/>
              </w:rPr>
            </w:pPr>
            <w:r>
              <w:rPr>
                <w:rFonts w:ascii="Arial" w:cs="Arial" w:eastAsia="Arial" w:hAnsi="Arial"/>
                <w:sz w:val="18"/>
                <w:szCs w:val="18"/>
                <w:b w:val="1"/>
                <w:bCs w:val="1"/>
                <w:color w:val="auto"/>
                <w:w w:val="97"/>
              </w:rPr>
              <w:t>A+/A2/A</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An * represents credit ratings that were not available.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Collateral Agreements</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is required to maintain minimum ratings as a matter of routine practice as part of its over-the-counter derivative agreements on ISDA forms. Under some ISDA agreements, the Company has agreed to maintain certain financial strength ratings. A downgrade below these levels provides the counterparty under the agreement the right to terminate the open option contracts between the parties, at which time any amounts payable by the Company or the counterparty would be dependent on the market value of the underlying option contracts. The Company's current rating doesn't allow any counterparty the right to terminate ISDA agreements. In certain transactions, the Company and the counterparty have entered into a collateral support agreement requiring either party to post collateral when the net exposures exceed pre-determined thresholds. For all counterparties, except Merrill Lynch, this threshold is set to zero. As of December 31, 2020, counterparties posted $491 million of collateral of which $415 million is included in cash and cash equivalents with an associated payable for this collateral included in accounts payable and accrued liabilities on the Consolidated Balance Sheet. Accordingly, the maximum amount of loss due to credit risk that the Company would incur if parties to the call options failed completely to perform according to the terms of the contracts was $58 million at December 31, 2020.</w:t>
      </w:r>
    </w:p>
    <w:p>
      <w:pPr>
        <w:spacing w:after="0" w:line="9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 is required to pay counterparties the effective federal funds rate each day for cash collateral posted to F&amp;G for daily mark to market margin changes. The Company reinvests derivative cash collateral to reduce the interest cost. Cash collateral is invested in overnight investment sweep products, which are included in cash and cash equivalents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held 384 futures contracts at December 31, 2020. The fair value of the futures contracts represents the cumulative unsettled variation margin (open trade equity, net of cash settlements). The Company provides cash collateral to the counterparties for the initial and variation margin on the futures contracts, which is included in cash and cash equivalents in the accompanying Consolidated Balance Sheets. The amount of cash collateral held by the counterparties for such contracts was $4 million at December 31, 2020.</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13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FGL Insurance entered into a reinsurance agreement with Kubera effective December 31, 2018, to cede certain MYGA and deferred annuity statutory reserve on a coinsurance funds withheld basis, net of applicable existing reinsurance. Fair value movements in the funds withheld balances associated with this arrangement creates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were passed directly to the reinsurer pursuant to contractual terms of the reinsurance arrangement. The reinsurance related embedded derivative is reported in prepaid expenses and other assets if in a net gain position, or accounts payable and accrued liabilities, if in a net loss position, on the Consolidated Balance Sheets and the related gains or losses are reported in Recognized gains and losses, net on the Consolidated Statements of Earnings.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Notes Payable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2019</w:t>
            </w:r>
          </w:p>
        </w:tc>
      </w:tr>
      <w:tr>
        <w:trPr>
          <w:trHeight w:val="229"/>
        </w:trPr>
        <w:tc>
          <w:tcPr>
            <w:tcW w:w="5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Arial" w:cs="Arial" w:eastAsia="Arial" w:hAnsi="Arial"/>
                <w:sz w:val="18"/>
                <w:szCs w:val="18"/>
                <w:color w:val="auto"/>
              </w:rPr>
              <w:t>(In millions)</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5.50%</w:t>
            </w:r>
          </w:p>
        </w:tc>
        <w:tc>
          <w:tcPr>
            <w:tcW w:w="7620" w:type="dxa"/>
            <w:vAlign w:val="bottom"/>
          </w:tcPr>
          <w:p>
            <w:pPr>
              <w:ind w:left="20"/>
              <w:spacing w:after="0"/>
              <w:rPr>
                <w:sz w:val="20"/>
                <w:szCs w:val="20"/>
                <w:color w:val="auto"/>
              </w:rPr>
            </w:pPr>
            <w:r>
              <w:rPr>
                <w:rFonts w:ascii="Arial" w:cs="Arial" w:eastAsia="Arial" w:hAnsi="Arial"/>
                <w:sz w:val="18"/>
                <w:szCs w:val="18"/>
                <w:color w:val="auto"/>
              </w:rPr>
              <w:t>Notes, net of discount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3.40%</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2.45%</w:t>
            </w:r>
          </w:p>
        </w:tc>
        <w:tc>
          <w:tcPr>
            <w:tcW w:w="7620" w:type="dxa"/>
            <w:vAlign w:val="bottom"/>
          </w:tcPr>
          <w:p>
            <w:pPr>
              <w:ind w:left="20"/>
              <w:spacing w:after="0"/>
              <w:rPr>
                <w:sz w:val="20"/>
                <w:szCs w:val="20"/>
                <w:color w:val="auto"/>
              </w:rPr>
            </w:pPr>
            <w:r>
              <w:rPr>
                <w:rFonts w:ascii="Arial" w:cs="Arial" w:eastAsia="Arial" w:hAnsi="Arial"/>
                <w:sz w:val="18"/>
                <w:szCs w:val="18"/>
                <w:color w:val="auto"/>
              </w:rPr>
              <w:t>Notes, net of discount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5.50%</w:t>
            </w:r>
          </w:p>
        </w:tc>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F&amp;G Notes, net of discount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2025.The material terms of the Fourth Restated Credit Agreement are set forth in our Annual Report for the year ended December 31, 2019. As of December 31, 2020, there was no principal outstanding, $2 million of unamortized debt issuance costs, and $800 million of available borrowing capacity under the Revolving Credit Facility.</w:t>
      </w:r>
    </w:p>
    <w:p>
      <w:pPr>
        <w:spacing w:after="0" w:line="20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the Term Loan, and (ii) for general corporate purposes.</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On June 12, 2020, we completed our underwritten public offering of $650 million aggregate principal amount of the 3.40% Notes due June 15,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6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acquisition of F&amp;G, on April 22, 2020, we entered into the Term Loan, which provided for an aggregate principal borrowing of $1.0 billion with Bank of America, N.A, as the Administrative Agent, JPMorgan Chase Bank, N.A., as syndication agent, and the other lenders party thereto from time to time (the “Term Lenders”), pursuant to which the Term Lenders provided the $1.0 billion Term Loan. The Term Loan matures on April 21, 2021 and generally accrues interest based on a fluctuating rate per annum based on either (i) the base rate (which is equal to the highest of (a) the federal funds rate plus 0.5% of 1%, (b) the Administrative Agent’s "prime rate," and (c) LIBOR plus 1% (with a floor of 1.75%)), plus a margin of between 1% and 2% depending on the FNF Debt Rating or (ii) LIBOR (with a floor of 0.75%) plus a margin of between 2% and 0.03 depending on the FNF Debt Rating. On June 1, 2020, we drew down the full $1.0 billion in aggregate principal to fund a portion of the acquisition of F&amp;G. On June 12, 2020, we repaid $640 million of principal on the Term Loan and an additional $100 million of principal on July 31, 2020. On September 15, 2020, we repaid the remaining $260 million in principal on the Term Loan. As of December 31, 2020, we had no principal outstanding under the Term Loan.</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 The notes were priced at 99.513% of par to yield 5.564% annual interest. We pay interest on the 5.50% semi-annually on the 1st of March and September, beginning March 1, 2013.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20" w:type="dxa"/>
            <w:vAlign w:val="bottom"/>
          </w:tcPr>
          <w:p>
            <w:pPr>
              <w:ind w:left="280"/>
              <w:spacing w:after="0"/>
              <w:rPr>
                <w:sz w:val="20"/>
                <w:szCs w:val="20"/>
                <w:color w:val="auto"/>
              </w:rPr>
            </w:pPr>
            <w:r>
              <w:rPr>
                <w:rFonts w:ascii="Arial" w:cs="Arial" w:eastAsia="Arial" w:hAnsi="Arial"/>
                <w:sz w:val="18"/>
                <w:szCs w:val="18"/>
                <w:color w:val="auto"/>
              </w:rPr>
              <w:t>Gross principal maturities of notes payable at December 31, 2020 are as follows (in millions):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3"/>
        </w:trPr>
        <w:tc>
          <w:tcPr>
            <w:tcW w:w="98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r>
      <w:tr>
        <w:trPr>
          <w:trHeight w:val="21"/>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03" w:lineRule="exact"/>
        <w:rPr>
          <w:sz w:val="20"/>
          <w:szCs w:val="20"/>
          <w:color w:val="auto"/>
        </w:rPr>
      </w:pPr>
    </w:p>
    <w:p>
      <w:pPr>
        <w:jc w:val="both"/>
        <w:ind w:firstLine="356"/>
        <w:spacing w:after="0" w:line="255" w:lineRule="auto"/>
        <w:rPr>
          <w:sz w:val="20"/>
          <w:szCs w:val="20"/>
          <w:color w:val="auto"/>
        </w:rPr>
      </w:pPr>
      <w:r>
        <w:rPr>
          <w:rFonts w:ascii="Arial" w:cs="Arial" w:eastAsia="Arial" w:hAnsi="Arial"/>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Reserve for Title Claim Losses</w:t>
      </w:r>
      <w:r>
        <w:rPr>
          <w:rFonts w:ascii="Arial" w:cs="Arial" w:eastAsia="Arial" w:hAnsi="Arial"/>
          <w:sz w:val="18"/>
          <w:szCs w:val="18"/>
          <w:color w:val="auto"/>
        </w:rPr>
        <w:t>. Additionally, like other companies, our ordinary course litigation includes a number of class action and purported class</w:t>
      </w:r>
      <w:r>
        <w:rPr>
          <w:rFonts w:ascii="Arial" w:cs="Arial" w:eastAsia="Arial" w:hAnsi="Arial"/>
          <w:sz w:val="18"/>
          <w:szCs w:val="18"/>
          <w:i w:val="1"/>
          <w:iCs w:val="1"/>
          <w:color w:val="auto"/>
        </w:rPr>
        <w:t xml:space="preserve"> </w:t>
      </w:r>
      <w:r>
        <w:rPr>
          <w:rFonts w:ascii="Arial" w:cs="Arial" w:eastAsia="Arial" w:hAnsi="Arial"/>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57" w:lineRule="exact"/>
        <w:rPr>
          <w:sz w:val="20"/>
          <w:szCs w:val="20"/>
          <w:color w:val="auto"/>
        </w:rPr>
      </w:pPr>
    </w:p>
    <w:p>
      <w:pPr>
        <w:jc w:val="both"/>
        <w:ind w:firstLine="356"/>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represents our best estimate has been recorded. Our accrual for legal and regulatory matters was $13 million and $22 million as of December 31, 2020 and December 31, 2019,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 we do not believe that the ultimate resolution of currently pending legal proceedings, either individually or in the aggregate, will have a material adverse effect on our financial condition.</w:t>
      </w:r>
    </w:p>
    <w:p>
      <w:pPr>
        <w:spacing w:after="0" w:line="35" w:lineRule="exact"/>
        <w:rPr>
          <w:sz w:val="20"/>
          <w:szCs w:val="20"/>
          <w:color w:val="auto"/>
        </w:rPr>
      </w:pPr>
    </w:p>
    <w:p>
      <w:pPr>
        <w:jc w:val="both"/>
        <w:ind w:firstLine="356"/>
        <w:spacing w:after="0" w:line="271" w:lineRule="auto"/>
        <w:rPr>
          <w:sz w:val="20"/>
          <w:szCs w:val="20"/>
          <w:color w:val="auto"/>
        </w:rPr>
      </w:pPr>
      <w:r>
        <w:rPr>
          <w:rFonts w:ascii="Arial" w:cs="Arial" w:eastAsia="Arial" w:hAnsi="Arial"/>
          <w:sz w:val="17"/>
          <w:szCs w:val="17"/>
          <w:color w:val="auto"/>
        </w:rPr>
        <w:t xml:space="preserve">Two lawsuits have been filed related to FNF’s acquisition of F&amp;G. On August 4, 2020, a stockholder derivative lawsuit styled, </w:t>
      </w:r>
      <w:r>
        <w:rPr>
          <w:rFonts w:ascii="Arial" w:cs="Arial" w:eastAsia="Arial" w:hAnsi="Arial"/>
          <w:sz w:val="17"/>
          <w:szCs w:val="17"/>
          <w:i w:val="1"/>
          <w:iCs w:val="1"/>
          <w:color w:val="auto"/>
        </w:rPr>
        <w:t>City of Miami General</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Employees’ and Sanitation Employees’ Retirement Trust v. Fidelity National Financial, et al.</w:t>
      </w:r>
      <w:r>
        <w:rPr>
          <w:rFonts w:ascii="Arial" w:cs="Arial" w:eastAsia="Arial" w:hAnsi="Arial"/>
          <w:sz w:val="17"/>
          <w:szCs w:val="17"/>
          <w:color w:val="auto"/>
        </w:rPr>
        <w:t>, was filed in the Court of Chancery of the State of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the Company, its Board of Directors and others alleging breach of fiduciary duties as directors and officers relating to FNF’s acquisition of F&amp;G. The Company’s Board of Directors (“Board”) has designated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The parties have agreed to stay the action until June 2021, to allow sufficient time for the SLC to investigate the allegations and provide its evaluation.</w:t>
      </w:r>
    </w:p>
    <w:p>
      <w:pPr>
        <w:spacing w:after="0" w:line="43" w:lineRule="exact"/>
        <w:rPr>
          <w:sz w:val="20"/>
          <w:szCs w:val="20"/>
          <w:color w:val="auto"/>
        </w:rPr>
      </w:pPr>
    </w:p>
    <w:p>
      <w:pPr>
        <w:jc w:val="both"/>
        <w:ind w:firstLine="356"/>
        <w:spacing w:after="0" w:line="255" w:lineRule="auto"/>
        <w:rPr>
          <w:sz w:val="20"/>
          <w:szCs w:val="20"/>
          <w:color w:val="auto"/>
        </w:rPr>
      </w:pPr>
      <w:r>
        <w:rPr>
          <w:rFonts w:ascii="Arial" w:cs="Arial" w:eastAsia="Arial" w:hAnsi="Arial"/>
          <w:sz w:val="18"/>
          <w:szCs w:val="18"/>
          <w:color w:val="auto"/>
        </w:rPr>
        <w:t xml:space="preserve">On August 17, 2020, a lawsuit styled, </w:t>
      </w:r>
      <w:r>
        <w:rPr>
          <w:rFonts w:ascii="Arial" w:cs="Arial" w:eastAsia="Arial" w:hAnsi="Arial"/>
          <w:sz w:val="18"/>
          <w:szCs w:val="18"/>
          <w:i w:val="1"/>
          <w:iCs w:val="1"/>
          <w:color w:val="auto"/>
        </w:rPr>
        <w:t>In the Matter of FGL Holdings</w:t>
      </w:r>
      <w:r>
        <w:rPr>
          <w:rFonts w:ascii="Arial" w:cs="Arial" w:eastAsia="Arial" w:hAnsi="Arial"/>
          <w:sz w:val="18"/>
          <w:szCs w:val="18"/>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The Company is defending and is appealing a recent discovery ruling related to the scope of dissenting shareholder disclosures. Expert discovery is in process. We do not believe the result in either case will have a material adverse effect on our financial condition.</w:t>
      </w:r>
    </w:p>
    <w:p>
      <w:pPr>
        <w:spacing w:after="0" w:line="57" w:lineRule="exact"/>
        <w:rPr>
          <w:sz w:val="20"/>
          <w:szCs w:val="20"/>
          <w:color w:val="auto"/>
        </w:rPr>
      </w:pPr>
    </w:p>
    <w:p>
      <w:pPr>
        <w:jc w:val="both"/>
        <w:ind w:firstLine="356"/>
        <w:spacing w:after="0" w:line="271"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Contingencies - F&amp;G</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and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Balances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$26.5 billion at December 31, 2020. As a result of holding these customers’ assets in escrow, we have ongoing programs for realizing economic benefits during the year through favorable borrowing and vendor arrangements with various banks. There were no investments or loans outstanding as of December 31, 2020 and 2019 related to these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for Forward Purchases of Equity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December 7, 2020, certain of our wholly-owned subsidiaries entered into the FTAC II Subscription Agreements to purchase in the aggregate $500 million of common shares of Paysafe upon the closing of the transactions contemplated by the Agreement and Plan of Merger, dated December 7, 2020, by and among Paysafe, FTAC II, PGHL and other parties thereto. The closing of the transactions are expected to occur in the first half of 2021. For further information related to the FTAC II Subscription Agreements, refer to Note A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E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 Commitments</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unfunded investment commitments as of December 31, 2020 based upon the timing of when investments are executed compared to when the actual investments are funded, as some investments require that funding occur over a period of months or years. A summary of unfunded commitments by invested asset class as of December 31, 2020 is included below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9060" w:type="dxa"/>
            <w:vAlign w:val="bottom"/>
          </w:tcPr>
          <w:p>
            <w:pPr>
              <w:ind w:left="2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3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loans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Residential mortgage loans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17, 2021, our Board of Directors declared cash dividends of 0.36 per share, payable on March 31, 2021, to FNF common shareholders of record as of March 17,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On June 1, 2020, we completed our acquisition of F&amp;G. As a result we have a new segment as of and for the year ended December 31, 2020, F&amp;G, which contains our fixed annuity and life insurance businesses.</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3"/>
                <w:szCs w:val="13"/>
                <w:color w:val="auto"/>
              </w:rPr>
              <w:t>Title</w:t>
            </w:r>
          </w:p>
        </w:tc>
        <w:tc>
          <w:tcPr>
            <w:tcW w:w="22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3"/>
                <w:szCs w:val="13"/>
                <w:color w:val="auto"/>
              </w:rPr>
              <w:t>F&amp;G</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2"/>
                <w:szCs w:val="12"/>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48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6,298</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3,092</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9,390</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1,388</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10,778</w:t>
            </w:r>
          </w:p>
        </w:tc>
        <w:tc>
          <w:tcPr>
            <w:tcW w:w="0" w:type="dxa"/>
            <w:vAlign w:val="bottom"/>
          </w:tcPr>
          <w:p>
            <w:pPr>
              <w:spacing w:after="0"/>
              <w:rPr>
                <w:sz w:val="1"/>
                <w:szCs w:val="1"/>
                <w:color w:val="auto"/>
              </w:rPr>
            </w:pPr>
          </w:p>
        </w:tc>
      </w:tr>
      <w:tr>
        <w:trPr>
          <w:trHeight w:val="181"/>
        </w:trPr>
        <w:tc>
          <w:tcPr>
            <w:tcW w:w="69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88"/>
        </w:trPr>
        <w:tc>
          <w:tcPr>
            <w:tcW w:w="6980" w:type="dxa"/>
            <w:vAlign w:val="bottom"/>
          </w:tcPr>
          <w:p>
            <w:pPr>
              <w:ind w:left="20"/>
              <w:spacing w:after="0"/>
              <w:rPr>
                <w:sz w:val="20"/>
                <w:szCs w:val="20"/>
                <w:color w:val="auto"/>
              </w:rPr>
            </w:pPr>
            <w:r>
              <w:rPr>
                <w:rFonts w:ascii="Arial" w:cs="Arial" w:eastAsia="Arial" w:hAnsi="Arial"/>
                <w:sz w:val="14"/>
                <w:szCs w:val="14"/>
                <w:color w:val="auto"/>
                <w:w w:val="93"/>
              </w:rPr>
              <w:t>Earnings (loss) from continuing operations before income taxes and equity in earnings (loss)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1,784</w:t>
            </w:r>
          </w:p>
        </w:tc>
        <w:tc>
          <w:tcPr>
            <w:tcW w:w="0" w:type="dxa"/>
            <w:vAlign w:val="bottom"/>
          </w:tcPr>
          <w:p>
            <w:pPr>
              <w:spacing w:after="0"/>
              <w:rPr>
                <w:sz w:val="1"/>
                <w:szCs w:val="1"/>
                <w:color w:val="auto"/>
              </w:rPr>
            </w:pPr>
          </w:p>
        </w:tc>
      </w:tr>
      <w:tr>
        <w:trPr>
          <w:trHeight w:val="190"/>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w:t>
            </w:r>
          </w:p>
        </w:tc>
        <w:tc>
          <w:tcPr>
            <w:tcW w:w="0" w:type="dxa"/>
            <w:vAlign w:val="bottom"/>
          </w:tcPr>
          <w:p>
            <w:pPr>
              <w:spacing w:after="0"/>
              <w:rPr>
                <w:sz w:val="1"/>
                <w:szCs w:val="1"/>
                <w:color w:val="auto"/>
              </w:rPr>
            </w:pPr>
          </w:p>
        </w:tc>
      </w:tr>
      <w:tr>
        <w:trPr>
          <w:trHeight w:val="181"/>
        </w:trPr>
        <w:tc>
          <w:tcPr>
            <w:tcW w:w="698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1,462</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84"/>
        </w:trPr>
        <w:tc>
          <w:tcPr>
            <w:tcW w:w="698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1,477</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50,455</w:t>
            </w:r>
          </w:p>
        </w:tc>
        <w:tc>
          <w:tcPr>
            <w:tcW w:w="0" w:type="dxa"/>
            <w:vAlign w:val="bottom"/>
          </w:tcPr>
          <w:p>
            <w:pPr>
              <w:spacing w:after="0"/>
              <w:rPr>
                <w:sz w:val="1"/>
                <w:szCs w:val="1"/>
                <w:color w:val="auto"/>
              </w:rPr>
            </w:pPr>
          </w:p>
        </w:tc>
      </w:tr>
      <w:tr>
        <w:trPr>
          <w:trHeight w:val="186"/>
        </w:trPr>
        <w:tc>
          <w:tcPr>
            <w:tcW w:w="69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2019:</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5,342</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2,584</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7,926</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8,469</w:t>
            </w:r>
          </w:p>
        </w:tc>
        <w:tc>
          <w:tcPr>
            <w:tcW w:w="0" w:type="dxa"/>
            <w:vAlign w:val="bottom"/>
          </w:tcPr>
          <w:p>
            <w:pPr>
              <w:spacing w:after="0"/>
              <w:rPr>
                <w:sz w:val="1"/>
                <w:szCs w:val="1"/>
                <w:color w:val="auto"/>
              </w:rPr>
            </w:pPr>
          </w:p>
        </w:tc>
      </w:tr>
      <w:tr>
        <w:trPr>
          <w:trHeight w:val="181"/>
        </w:trPr>
        <w:tc>
          <w:tcPr>
            <w:tcW w:w="80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1,369</w:t>
            </w:r>
          </w:p>
        </w:tc>
        <w:tc>
          <w:tcPr>
            <w:tcW w:w="0" w:type="dxa"/>
            <w:vAlign w:val="bottom"/>
          </w:tcPr>
          <w:p>
            <w:pPr>
              <w:spacing w:after="0"/>
              <w:rPr>
                <w:sz w:val="1"/>
                <w:szCs w:val="1"/>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81"/>
        </w:trPr>
        <w:tc>
          <w:tcPr>
            <w:tcW w:w="804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84"/>
        </w:trPr>
        <w:tc>
          <w:tcPr>
            <w:tcW w:w="80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10,677</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2,727</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2018:</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4,911</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2,615</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7,526</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7,594</w:t>
            </w:r>
          </w:p>
        </w:tc>
        <w:tc>
          <w:tcPr>
            <w:tcW w:w="0" w:type="dxa"/>
            <w:vAlign w:val="bottom"/>
          </w:tcPr>
          <w:p>
            <w:pPr>
              <w:spacing w:after="0"/>
              <w:rPr>
                <w:sz w:val="1"/>
                <w:szCs w:val="1"/>
                <w:color w:val="auto"/>
              </w:rPr>
            </w:pPr>
          </w:p>
        </w:tc>
      </w:tr>
      <w:tr>
        <w:trPr>
          <w:trHeight w:val="181"/>
        </w:trPr>
        <w:tc>
          <w:tcPr>
            <w:tcW w:w="80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0" w:type="dxa"/>
            <w:vAlign w:val="bottom"/>
          </w:tcPr>
          <w:p>
            <w:pPr>
              <w:spacing w:after="0"/>
              <w:rPr>
                <w:sz w:val="1"/>
                <w:szCs w:val="1"/>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750</w:t>
            </w:r>
          </w:p>
        </w:tc>
        <w:tc>
          <w:tcPr>
            <w:tcW w:w="0" w:type="dxa"/>
            <w:vAlign w:val="bottom"/>
          </w:tcPr>
          <w:p>
            <w:pPr>
              <w:spacing w:after="0"/>
              <w:rPr>
                <w:sz w:val="1"/>
                <w:szCs w:val="1"/>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81"/>
        </w:trPr>
        <w:tc>
          <w:tcPr>
            <w:tcW w:w="804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630</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4"/>
        </w:trPr>
        <w:tc>
          <w:tcPr>
            <w:tcW w:w="80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9,301</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04" w:lineRule="exact"/>
        <w:rPr>
          <w:sz w:val="20"/>
          <w:szCs w:val="20"/>
          <w:color w:val="auto"/>
        </w:rPr>
      </w:pPr>
    </w:p>
    <w:p>
      <w:pPr>
        <w:jc w:val="both"/>
        <w:ind w:left="660" w:hanging="409"/>
        <w:spacing w:after="0" w:line="259"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59"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consists of operations of our annuities and life insurance related businesses. This segment issues a broad portfolio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(fixed indexed and fixed rate annuities), immediate annuities and indexed universal life insurance. Premiums and annuity deposits (net of reinsurance), which are not included as revenues (except for traditional premiums) in the accompany Consolidated Statements of Operations, collected by product type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ind w:left="73"/>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73" w:type="dxa"/>
        <w:tblCellMar>
          <w:top w:w="0" w:type="dxa"/>
          <w:left w:w="0" w:type="dxa"/>
          <w:bottom w:w="0" w:type="dxa"/>
          <w:right w:w="0" w:type="dxa"/>
        </w:tblCellMar>
      </w:tblPr>
      <w:tr>
        <w:trPr>
          <w:trHeight w:val="186"/>
        </w:trPr>
        <w:tc>
          <w:tcPr>
            <w:tcW w:w="9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615"/>
              <w:spacing w:after="0"/>
              <w:rPr>
                <w:sz w:val="20"/>
                <w:szCs w:val="20"/>
                <w:color w:val="auto"/>
              </w:rPr>
            </w:pPr>
            <w:r>
              <w:rPr>
                <w:rFonts w:ascii="Arial" w:cs="Arial" w:eastAsia="Arial" w:hAnsi="Arial"/>
                <w:sz w:val="14"/>
                <w:szCs w:val="14"/>
                <w:b w:val="1"/>
                <w:bCs w:val="1"/>
                <w:color w:val="auto"/>
              </w:rPr>
              <w:t>Year ended</w:t>
            </w:r>
          </w:p>
        </w:tc>
      </w:tr>
      <w:tr>
        <w:trPr>
          <w:trHeight w:val="195"/>
        </w:trPr>
        <w:tc>
          <w:tcPr>
            <w:tcW w:w="9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December 31, 2020</w:t>
            </w:r>
          </w:p>
        </w:tc>
      </w:tr>
      <w:tr>
        <w:trPr>
          <w:trHeight w:val="170"/>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Product Type</w:t>
            </w: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35"/>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indexed annuities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Fixed rate annuities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premium immediate annuities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Life insurance (a)</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r>
      <w:tr>
        <w:trPr>
          <w:trHeight w:val="20"/>
        </w:trPr>
        <w:tc>
          <w:tcPr>
            <w:tcW w:w="9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53" w:hanging="253"/>
        <w:spacing w:after="0"/>
        <w:tabs>
          <w:tab w:leader="none" w:pos="2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Life insurance includes Universal Life (“UL”) and traditional life insurance products for FGL Insurance and FGL NY Insurance.</w:t>
      </w:r>
    </w:p>
    <w:p>
      <w:pPr>
        <w:spacing w:after="0" w:line="238" w:lineRule="exact"/>
        <w:rPr>
          <w:rFonts w:ascii="Arial" w:cs="Arial" w:eastAsia="Arial" w:hAnsi="Arial"/>
          <w:sz w:val="18"/>
          <w:szCs w:val="18"/>
          <w:color w:val="auto"/>
        </w:rPr>
      </w:pPr>
    </w:p>
    <w:p>
      <w:pPr>
        <w:jc w:val="both"/>
        <w:ind w:left="733" w:hanging="409"/>
        <w:spacing w:after="0" w:line="263" w:lineRule="auto"/>
        <w:tabs>
          <w:tab w:leader="none" w:pos="728" w:val="left"/>
        </w:tabs>
        <w:numPr>
          <w:ilvl w:val="1"/>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331"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K — Supplemental Cash Flow Information</w:t>
      </w:r>
    </w:p>
    <w:p>
      <w:pPr>
        <w:spacing w:after="0" w:line="27" w:lineRule="exact"/>
        <w:rPr>
          <w:sz w:val="20"/>
          <w:szCs w:val="20"/>
          <w:color w:val="auto"/>
        </w:rPr>
      </w:pPr>
    </w:p>
    <w:p>
      <w:pPr>
        <w:ind w:left="413"/>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50"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left="31"/>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66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sales inducements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financing associated with the acquisition of F&amp;G</w:t>
            </w:r>
          </w:p>
        </w:tc>
        <w:tc>
          <w:tcPr>
            <w:tcW w:w="7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Change in treasury stock purchases payable in period</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dividends payable in period</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Remeasurement of lease liabilities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160"/>
              <w:spacing w:after="0"/>
              <w:rPr>
                <w:sz w:val="20"/>
                <w:szCs w:val="20"/>
                <w:color w:val="auto"/>
              </w:rPr>
            </w:pPr>
            <w:r>
              <w:rPr>
                <w:rFonts w:ascii="Arial" w:cs="Arial" w:eastAsia="Arial" w:hAnsi="Arial"/>
                <w:sz w:val="18"/>
                <w:szCs w:val="18"/>
                <w:color w:val="auto"/>
              </w:rPr>
              <w:t>Liabilities assumed in connection with acquisitions (excluding F&amp;G)(1)</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assets acquired</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Total Purchase price</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Liabilities and noncontrolling interests assumed</w:t>
            </w: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xml:space="preserve">(1) For further information related to the acquisition of F&amp;G, refer to Note B </w:t>
            </w:r>
            <w:r>
              <w:rPr>
                <w:rFonts w:ascii="Arial" w:cs="Arial" w:eastAsia="Arial" w:hAnsi="Arial"/>
                <w:sz w:val="18"/>
                <w:szCs w:val="18"/>
                <w:i w:val="1"/>
                <w:iCs w:val="1"/>
                <w:color w:val="auto"/>
              </w:rPr>
              <w:t>Acquisitions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125"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327"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374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insurance contracts: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 title insurance premiums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Agency title insurance premiums</w:t>
      </w:r>
    </w:p>
    <w:p>
      <w:pPr>
        <w:spacing w:after="0" w:line="32" w:lineRule="exact"/>
        <w:rPr>
          <w:sz w:val="20"/>
          <w:szCs w:val="20"/>
          <w:color w:val="auto"/>
        </w:rPr>
      </w:pPr>
    </w:p>
    <w:p>
      <w:pPr>
        <w:ind w:left="140" w:right="300"/>
        <w:spacing w:after="0"/>
        <w:rPr>
          <w:sz w:val="20"/>
          <w:szCs w:val="20"/>
          <w:color w:val="auto"/>
        </w:rPr>
      </w:pPr>
      <w:r>
        <w:rPr>
          <w:rFonts w:ascii="Arial" w:cs="Arial" w:eastAsia="Arial" w:hAnsi="Arial"/>
          <w:sz w:val="16"/>
          <w:szCs w:val="16"/>
          <w:color w:val="auto"/>
        </w:rPr>
        <w:t>Life insurance premiums, insurance and investment product fees, and other</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Home warranty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 from insurance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contracts with customers: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Escrow fees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title-related fees and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ServiceLink, excluding title premiums, escrow fees, and subservicing fees</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Real estate technology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Real estate brokerage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 from contracts with customers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Loan subservicing 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and investment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Recognized gains and losses, net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79"/>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r>
      <w:tr>
        <w:trPr>
          <w:trHeight w:val="192"/>
        </w:trPr>
        <w:tc>
          <w:tcPr>
            <w:tcW w:w="28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Income Statement Classification</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8"/>
              </w:rPr>
              <w:t>(in millions)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222"/>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2,699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2,381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2,221</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2,690</w:t>
            </w:r>
          </w:p>
        </w:tc>
      </w:tr>
      <w:tr>
        <w:trPr>
          <w:trHeight w:val="378"/>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F&amp;G</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07"/>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5,093</w:t>
            </w:r>
          </w:p>
        </w:tc>
      </w:tr>
      <w:tr>
        <w:trPr>
          <w:trHeight w:val="432"/>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78"/>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Corporate and 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Corporate and 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Corporate and other</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2,216</w:t>
            </w:r>
          </w:p>
        </w:tc>
      </w:tr>
      <w:tr>
        <w:trPr>
          <w:trHeight w:val="432"/>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Various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Recognized gains and losses, net</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Various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1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10,778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8,469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7,594</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-2733675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-2459355</wp:posOffset>
            </wp:positionV>
            <wp:extent cx="713232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-2082165</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-1799590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-1525270</wp:posOffset>
            </wp:positionV>
            <wp:extent cx="713232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-1148080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-873760</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-591185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-316230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800" w:space="320"/>
            <w:col w:w="7120"/>
          </w:cols>
          <w:pgMar w:left="320" w:top="125" w:right="339" w:bottom="1440" w:gutter="0" w:footer="0" w:header="0"/>
        </w:sectPr>
      </w:pPr>
    </w:p>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5"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Life insurance premiums in our F&amp;G segment reflect premiums for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IUL policies, unearned revenue ("UREV") on IUL policies, policy rider fees primarily on FIA policies and surrender charges assessed against policy withdrawals in excess of the policyholder's allowable penalty-free amounts.</w:t>
      </w:r>
    </w:p>
    <w:p>
      <w:pPr>
        <w:spacing w:after="0" w:line="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2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2020</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2019</w:t>
            </w:r>
          </w:p>
        </w:tc>
      </w:tr>
      <w:tr>
        <w:trPr>
          <w:trHeight w:val="186"/>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3"/>
          </w:tcPr>
          <w:p>
            <w:pPr>
              <w:jc w:val="center"/>
              <w:ind w:right="96"/>
              <w:spacing w:after="0"/>
              <w:rPr>
                <w:sz w:val="20"/>
                <w:szCs w:val="20"/>
                <w:color w:val="auto"/>
              </w:rPr>
            </w:pPr>
            <w:r>
              <w:rPr>
                <w:rFonts w:ascii="Arial" w:cs="Arial" w:eastAsia="Arial" w:hAnsi="Arial"/>
                <w:sz w:val="14"/>
                <w:szCs w:val="14"/>
                <w:b w:val="1"/>
                <w:bCs w:val="1"/>
                <w:color w:val="auto"/>
                <w:w w:val="96"/>
              </w:rPr>
              <w:t>(In millions)</w:t>
            </w:r>
          </w:p>
        </w:tc>
      </w:tr>
      <w:tr>
        <w:trPr>
          <w:trHeight w:val="232"/>
        </w:trPr>
        <w:tc>
          <w:tcPr>
            <w:tcW w:w="602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404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2020 and 2019, we recognized $103 million and $103 million of revenue, respectively, which was included in deferred revenue at the beginning of the period.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Intangibles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changes in the carrying amounts of the Company's VOBA, DAC and DSI intangible assets are as follows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VOBA</w:t>
            </w:r>
          </w:p>
        </w:tc>
        <w:tc>
          <w:tcPr>
            <w:tcW w:w="20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DAC</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DSI</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29"/>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Balance at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F&amp;G acquisition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Deferrals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Unlocking</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net unrealized investment (gains) losses</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Consolidated Statements of Earnings. As of December 31, 2020, the VOBA balances included cumulative adjustments for net unrealized investment gains of $283 million, the DAC balances included cumulative adjustments for net unrealized investment gains of $25 million, and the DSI balance included net unrealized investment gains of $5 million.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in-force liabilities as of December 31, 2020, the estimated amortization expense for VOBA in future fiscal periods is as follows (in millions):</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Estimated</w:t>
            </w:r>
          </w:p>
        </w:tc>
      </w:tr>
      <w:tr>
        <w:trPr>
          <w:trHeight w:val="186"/>
        </w:trPr>
        <w:tc>
          <w:tcPr>
            <w:tcW w:w="9700" w:type="dxa"/>
            <w:vAlign w:val="bottom"/>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Amortization Expense</w:t>
            </w:r>
          </w:p>
        </w:tc>
      </w:tr>
      <w:tr>
        <w:trPr>
          <w:trHeight w:val="212"/>
        </w:trPr>
        <w:tc>
          <w:tcPr>
            <w:tcW w:w="970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w:t>
            </w:r>
          </w:p>
        </w:tc>
      </w:tr>
    </w:tbl>
    <w:p>
      <w:pPr>
        <w:spacing w:after="0" w:line="21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F&amp;G segment had an unearned revenue liability balance of $2 million as of December 31, 2020, including deferrals of $31 million, amortization of $4 million, interest of $0 million, unlocking of $0 million and adjustment for net unrealized investment gains (losses) of $25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 and Indefinite Lived 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as of December 31, 2020 consist of the following (in millions):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 amount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 (years)</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 and contracts</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 to 10</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Value of Distribution Asset (VODA)</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 lived trademarks, tradenames, and other</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 lived tradenames and other</w:t>
            </w:r>
          </w:p>
        </w:tc>
        <w:tc>
          <w:tcPr>
            <w:tcW w:w="10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90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amortizable intangible assets, which consist primarily of VODA, customer relationships and computer software, was $138 million, $131 million, and $119 million for the years ended December 31, 2020, 2019 and 2018, respectively. Estimated amortization expense for the next five years for assets owned at December 31, 2020, is $123 million in 2021, $98 million in 2022, $76 million in 2023, $45 million in 2024 and $31 million in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Goodwill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consists of the following:</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F&amp;G</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Adjustments to prior year acquisitions</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associated with acquisitions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Discontinued Operations</w:t>
      </w:r>
    </w:p>
    <w:p>
      <w:pPr>
        <w:spacing w:after="0" w:line="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F&amp;G acquisition, certain third party offshore reinsurance businesses acquired were deemed discontinued operations and are presented as such within our Consolidated Statements of Earnings for the period from June 1, 2020 through December 31, 2020. As of December 31, 2020, we have sold F&amp;G Reinsurance Ltd (“F&amp;G Re”) to Aspida Holdings Ltd (“Aspida”). The closing of the transaction occurred on December 18, 2020. The transaction did not have a material impact to our GAAP financial results.</w:t>
      </w:r>
    </w:p>
    <w:p>
      <w:pPr>
        <w:spacing w:after="0" w:line="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and Aspida entered into a funds withheld reinsurance agreement, as of January 1, 2021, wherein F&amp;G agreed to cede a quota share of MYGA sales occurring after the closing date of the sale.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F&amp;G Reinsurance</w:t>
      </w:r>
    </w:p>
    <w:p>
      <w:pPr>
        <w:spacing w:after="0" w:line="27" w:lineRule="exact"/>
        <w:rPr>
          <w:sz w:val="20"/>
          <w:szCs w:val="20"/>
          <w:color w:val="auto"/>
        </w:rPr>
      </w:pPr>
    </w:p>
    <w:p>
      <w:pPr>
        <w:ind w:right="180" w:firstLine="405"/>
        <w:spacing w:after="0" w:line="237" w:lineRule="auto"/>
        <w:rPr>
          <w:sz w:val="20"/>
          <w:szCs w:val="20"/>
          <w:color w:val="auto"/>
        </w:rPr>
      </w:pPr>
      <w:r>
        <w:rPr>
          <w:rFonts w:ascii="Arial" w:cs="Arial" w:eastAsia="Arial" w:hAnsi="Arial"/>
          <w:sz w:val="18"/>
          <w:szCs w:val="18"/>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If the underlying policy being reinsured is an investment contract or there is inadequate risk transfer, deposit accounting is followed. F&amp;G also assumes policy risks from other insurance companies.</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 of reinsurance on net premiums earned and net benefits incurred (benefits paid and reserve changes) for the seven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9"/>
              </w:rPr>
              <w:t>Seven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1"/>
              </w:rPr>
              <w:t>December 31, 2020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3"/>
              </w:rPr>
              <w:t>Net Premiums</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Net Benefits Incurred</w:t>
            </w:r>
          </w:p>
        </w:tc>
        <w:tc>
          <w:tcPr>
            <w:tcW w:w="0" w:type="dxa"/>
            <w:vAlign w:val="bottom"/>
          </w:tcPr>
          <w:p>
            <w:pPr>
              <w:spacing w:after="0"/>
              <w:rPr>
                <w:sz w:val="1"/>
                <w:szCs w:val="1"/>
                <w:color w:val="auto"/>
              </w:rPr>
            </w:pPr>
          </w:p>
        </w:tc>
      </w:t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Earned</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Amounts payable or recoverable for reinsurance on paid and unpaid claims are not subject to periodic or maximum limits. F&amp;G did not write off any significant reinsurance balances during the seven months ended December 31, 2020. F&amp;G did not commute any ceded reinsurance treaties during the seven months ended December 31, 2020.</w:t>
      </w:r>
    </w:p>
    <w:p>
      <w:pPr>
        <w:spacing w:after="0" w:line="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acquisition of F&amp;G, due to purchase accounting adjustments, our expected credit loss reserve was valued at $0. During the seven months ended December 31, 2020, the expected credit loss reserve was increased to $21 million.</w:t>
      </w:r>
    </w:p>
    <w:p>
      <w:pPr>
        <w:spacing w:after="0" w:line="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policies issued by F&amp;G have been reinsured with any foreign company, which is controlled, either directly or indirectly, by a party not primarily engaged in the business of insurance.</w:t>
      </w:r>
    </w:p>
    <w:p>
      <w:pPr>
        <w:spacing w:after="0" w:line="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FGL Insurance has an indemnity reinsurance agreement with Hannover Re, a third party reinsurer, to cede a quota share percentage of the net retention of guarantee payments in excess of account value for guaranteed minimum withdrawal benefits ("GMWB") and Guaranteed Minimum Death Benefit (“GMDB”) guarantees associated with an in-force block of its FIA and fixed deferred annuity contracts. The effects of this agreement are not accounted for as reinsurance as it does not satisfy the risk transfer requirements for GAAP, since it is not “reasonably possible” that the reinsurer may realize significant loss from assuming the insurance risk. FGL Insurance incurred risk charge fees of $12 million during the seven months ended December 31, 2020, respectively, in relation to this reinsurance agreement.</w:t>
      </w:r>
    </w:p>
    <w:p>
      <w:pPr>
        <w:spacing w:after="0" w:line="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FGL Insurance has a reinsurance agreement with Kubera Insurance (SAC) Ltd. ("Kubera"), a third party reinsurer, to initially cede approximately $943 million of certain MYGA and deferred annuity GAAP reserves on a coinsurance funds withheld basis, net of applicable existing reinsurance. In accordance with the terms of this agreement, FGL Insurance cedes a quota share percentage of MYGA and deferred annuity policies for certain issue years to Kubera. As the policies ceded to Kubera are investment contracts, there is no significant insurance risk present and therefore deposit accounting is applied. The application of deposit accounting for this agreement, however, results in accounting for and presentation similar to other reinsurance agreements that apply reinsurance accounting.</w:t>
      </w:r>
    </w:p>
    <w:p>
      <w:pPr>
        <w:spacing w:after="0" w:line="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FGL Insurance has a reinsurance agreement with Kubera to initially cede approximately $5.0 billion of certain FIA statutory reserves on a coinsurance funds withheld basis, net of applicable existing reinsurance. In accordance with the terms of this agreement, FGL Insurance cedes a quota share percentage of FIA policies for certain issue years to Kubera. As the policies ceded to Kubera are investment contracts, there is no significant insurance risk present and therefore deposit accounting is applied. For financial statement presentation, we net the deposit asset with the funds withheld liability. FGL Insurance incurred risk charge fees of $4 million during the seven months ended December 31, 2020, respectively, in relation to this reinsurance agreement.</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May 1, 2020, FGL Insurance entered into an indemnity reinsurance agreement with Canada Life Assurance 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The effects of this agreement are not accounted for 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reinsurance as it does not satisfy the risk transfer requirements for GAAP, since it is not “reasonably possible” that the reinsurer may realize significant loss from assuming the insurance risk. FGL Insurance incurred risk charge fees of $1 million during the seven months ended December 31, 2020, respectively, in relation to this reinsurance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F&amp;G has a significant concentration of reinsurance risk with third party reinsurers, Wilton Reassurance Company (“Wilton Re”) and Kubera that could have a material impact on the Company’s financial position in the event that either Wilton Re or Kubera fail to perform their obligations under the various reinsurance treaties. Wilton Re is a wholly-owned subsidiary of Canada Pension Plan Investment Board ("CPPIB"). CPPIB has an AAA issuer credit rating from Standard &amp; Poor's Ratings Services ("S&amp;P") as of December 31, 2020. Kubera is not rated; however, management has attempted to mitigate the risk of non-performance through the funds withheld arrangement. As of December 31, 2020, the net amount recoverable from Wilton Re was $1,481 million and the net amount recoverable from Kubera was $810 million.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and Kubera for periodic treaty settlements are collectible as of December 31, 2020.</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6, 2019, Scottish Re (U.S.), Inc. (“SRUS”), a Delaware domestic life and health reinsurer of FGL Insurance, was ordered into receivership for purposes of rehabilitation. As of December 31, 2020, the net amount recoverable from SRUS was $50 million. The financial exposure related to these ceded reserves are substantially mitigated via a reinsurance agreement whereby Wilton Re assumes treaty non-performance including credit risk for this business.</w:t>
      </w:r>
    </w:p>
    <w:p>
      <w:pPr>
        <w:spacing w:after="0" w:line="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December 31, 2020, the net amount recoverable from Pavonia was $94 million. The financial exposure related to these ceded reserves are substantially mitigated via a reinsurance agreement whereby Wilton Re assumes treaty non-performance including credit risk for this business.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Intercompany Reinsurance Agreements</w:t>
      </w:r>
    </w:p>
    <w:p>
      <w:pPr>
        <w:spacing w:after="0" w:line="90"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F&amp;G entered has a reinsurance treaty with Raven Reinsurance Company ("Raven Re"), its wholly-owned captive reinsurance company, to cede the Commissioners Annuity Reserve Valuation Method (CARVM) liability for annuity benefits where surrender charges are waived. In connection with the CARVM reinsurance agreement, FGL Insurance and Raven Re entered into an agreement with Nomura Bank International plc (“NBI”) to establish a reserve financing facility in the form of a letter of credit issued by NBI. The financing facility has $85 million available to draw on as of December 31, 2020. The facility may terminate earlier, in accordance with the terms of the Reimbursement Agreement. Under the terms of the reimbursement agreement, in the event the letter of credit is drawn upon, Raven Re is required to repay the amounts utilized, and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2020 and 2019, Raven Re’s statutory capital and surplus was $29 million and $33 million, respectively, in excess of the minimum level required under the Reimbursement Agreement. As this letter of credit is provided by an unaffiliated financial institution, Raven Re is permitted to carry the letter of credit as an admitted asset on the Raven Re statutory balance sheet.</w:t>
      </w:r>
    </w:p>
    <w:p>
      <w:pPr>
        <w:spacing w:after="0" w:line="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7"/>
          <w:szCs w:val="17"/>
          <w:color w:val="auto"/>
        </w:rPr>
        <w:t>FGL Insurance entered into a reinsurance treaty with FSRC, an affiliated reinsurer, whereby FGL Insurance ceded 10% of its June 30, 2012 in-force annuity block of business not already reinsured on a funds withheld basis. FGL Insurance later entered into a second reinsurance treaty with FSRC whereby FGL Insurance ceded 30% of any new business of its MYGA issued on a funds withheld basis. The second treaty was subsequently terminated as to new business, but will remain in effect for policies ceded to FSRC with an effective date between September 17, 2014 and April 30, 2015. Accordingly, MYGA policies issued with an effective date of May 1, 2015 and later will not be ceded to FSRC.</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Effective December 31, 2020, FGL Insurance executed a Coinsurance Agreement with F&amp;G Life Re Ltd. ("Reinsurer"), an affiliated Bermuda reinsurer, to reinsure a quota share of FIA policies to the Reinsurer. Concurrently, the Reinsurer and F&amp;G Cayman Re Ltd., an affiliated reinsurer of both FGL Insurance and the Reinsurer, entered into a Retrocession Agreement. The cession from FGL Insurance to the Reinsurer is on a 100% quota share basis, net of applicable existing reinsurance and the retrocession to F&amp;G Cayman Re Ltd. from the Reinsurer is on a 45% quota share basis. Additionally, both treaties are maintained on a funds withheld basis. FGL Insurance ceded and the Reinsurer retroceded approximately $5.0 billion and $2.2 billion, respectively, in certain FIA Statutory Reserves and Interest Maintenance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Regulation and Equity</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2020 and 2019 was lower by approximately $28 million and $33 million than if we had reported such amounts in accordance with NAIC SAP.</w:t>
      </w:r>
    </w:p>
    <w:p>
      <w:pPr>
        <w:spacing w:after="0" w:line="6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2020, the combined statutory unearned premium reserve required and reported for our title insurers was $1,532 million. In addition to statutory unearned premium reserves, each of our insurers maintains reserves for known claims and surplus funds for policyholder protection and business operations.</w:t>
      </w:r>
    </w:p>
    <w:p>
      <w:pPr>
        <w:spacing w:after="0" w:line="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2020, $2,559 million of our net assets are restricted from dividend payments without prior approval from the Departments of Insurance. During 2021, our title insurers can pay or make distributions to us of approximately $551 million, without prior approval.</w:t>
      </w:r>
    </w:p>
    <w:p>
      <w:pPr>
        <w:spacing w:after="0" w:line="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combined statutory capital and surplus of our title insurers was approximately $1,699 million and $1,581 million as of December 31, 2020 and 2019, respectively. The combined statutory net earnings of our title insurance subsidiaries were $629 million, $583 million, and $625 million for the years ended December 31, 2020, 2019, and 2018, respectively.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62" w:lineRule="exact"/>
        <w:rPr>
          <w:sz w:val="20"/>
          <w:szCs w:val="20"/>
          <w:color w:val="auto"/>
        </w:rPr>
      </w:pPr>
    </w:p>
    <w:p>
      <w:pPr>
        <w:jc w:val="both"/>
        <w:ind w:right="20" w:firstLine="342"/>
        <w:spacing w:after="0" w:line="263" w:lineRule="auto"/>
        <w:rPr>
          <w:sz w:val="20"/>
          <w:szCs w:val="20"/>
          <w:color w:val="auto"/>
        </w:rPr>
      </w:pPr>
      <w:r>
        <w:rPr>
          <w:rFonts w:ascii="Arial" w:cs="Arial" w:eastAsia="Arial" w:hAnsi="Arial"/>
          <w:sz w:val="18"/>
          <w:szCs w:val="18"/>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2020.</w:t>
      </w:r>
    </w:p>
    <w:p>
      <w:pPr>
        <w:spacing w:after="0" w:line="49"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Our underwritten title companies, primarily those domiciled in California, are also subject to certain regulation by insurance regulatory or banking authorities relating to their net worth and working capital. Minimum net worth and working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requirements for each underwritten title company is less than $1 million. These companies were in compliance with their respective minimum net worth and working capital requirements at December 31, 2020.</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F&amp;G</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Through our wholly owned F&amp;G subsidiary, our U.S. insurance subsidiaries, FGL Insurance, Fidelity &amp; Guaranty Life Insurance Company of New York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 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principal insurance subsidiaries' statutory (SAP and GAAP) financial statements are based on a December 31 year end. Statutory net income and statutory capital and surplus of the Company's wholly owned insurance subsidiaries were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6"/>
          </w:tcPr>
          <w:p>
            <w:pPr>
              <w:ind w:left="1400"/>
              <w:spacing w:after="0"/>
              <w:rPr>
                <w:sz w:val="20"/>
                <w:szCs w:val="20"/>
                <w:color w:val="auto"/>
              </w:rPr>
            </w:pPr>
            <w:r>
              <w:rPr>
                <w:rFonts w:ascii="Arial" w:cs="Arial" w:eastAsia="Arial" w:hAnsi="Arial"/>
                <w:sz w:val="14"/>
                <w:szCs w:val="14"/>
                <w:b w:val="1"/>
                <w:bCs w:val="1"/>
                <w:color w:val="auto"/>
                <w:w w:val="99"/>
              </w:rPr>
              <w:t>Subsidiary (state/country of domicile) (a)</w:t>
            </w:r>
          </w:p>
        </w:tc>
        <w:tc>
          <w:tcPr>
            <w:tcW w:w="142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FGL Insurance (IA)</w:t>
            </w:r>
          </w:p>
        </w:tc>
        <w:tc>
          <w:tcPr>
            <w:tcW w:w="18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FGL NY Insurance (NY)</w:t>
            </w:r>
          </w:p>
        </w:tc>
        <w:tc>
          <w:tcPr>
            <w:tcW w:w="22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Raven Re (VT)</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Statutory Net Income (loss):</w:t>
            </w:r>
          </w:p>
        </w:tc>
        <w:tc>
          <w:tcPr>
            <w:tcW w:w="22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1400"/>
              <w:spacing w:after="0"/>
              <w:rPr>
                <w:sz w:val="20"/>
                <w:szCs w:val="20"/>
                <w:color w:val="auto"/>
              </w:rPr>
            </w:pPr>
            <w:r>
              <w:rPr>
                <w:rFonts w:ascii="Arial" w:cs="Arial" w:eastAsia="Arial" w:hAnsi="Arial"/>
                <w:sz w:val="18"/>
                <w:szCs w:val="18"/>
                <w:color w:val="auto"/>
                <w:w w:val="99"/>
              </w:rPr>
              <w:t>(46)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ind w:left="156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Statutory Capital and Surplus:</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 FGL NY Insurance and Raven Re are subsidiaries of FGL Insurance, and the columns should not be added together.</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FGL insurance, FGL NY Insurance and Raven Re's respective statutory capital and surplus satisfies the applicable minimum regulatory requirements.</w:t>
      </w:r>
    </w:p>
    <w:p>
      <w:pPr>
        <w:spacing w:after="0" w:line="11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Life insurance companies domiciled in the U.S. are subject to certain Risk-Based Capital (“RBC”) requirements as specified by the NAIC. The RBC is used to evaluate the adequacy of capital and surplus maintained by an insurance company in relation to risks associated with: (i) asset risk, (ii) insurance risk, (iii) interest rate risk and (iv) business risk. We monitor the RBC of FGLH’s insurance subsidiaries. As of December 31, 2020, each of FGLH's insurance subsidiaries had exceeded the minimum RBC requirements.</w:t>
      </w:r>
    </w:p>
    <w:p>
      <w:pPr>
        <w:spacing w:after="0" w:line="5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insurance subsidiaries domiciled in the U.S. are restricted by state laws and regulations as to the amount of dividends they may pay to their parent, our wholly owned F&amp;G subsidiary, without regulatory approval in any year, the purpose of which is to protect affected insurance policyholders, depositors or investors. Any dividends in excess of limits are deemed “extraordinary” and require regulatory approval. In addition, and pursuant to an order issued by the Iowa Commissioner on November 28, 2017, FGL Insurance shall not pay any dividend or other distribution to shareholders prior to November 28, 2020 without the prior approval of the Iowa Commissioner. As of December 31, 2020, upon approval by the Iowa Commissioner, FGL Insurance declared and paid extraordinary dividends of $151 to its parent.</w:t>
      </w:r>
    </w:p>
    <w:p>
      <w:pPr>
        <w:spacing w:after="0" w:line="4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$204 million decrease to statutory capital and surplus at December 31, 2020.</w:t>
      </w:r>
    </w:p>
    <w:p>
      <w:pPr>
        <w:spacing w:after="0" w:line="5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FGL Insurance’s statutory carrying value of Raven Re reflects the effect of permitted practices Raven Re received to treat the available amount of a letter of credit as an admitted asset, which increased Raven Re’s statutory capital and surplus by $85 million at December 31, 2020.</w:t>
      </w:r>
    </w:p>
    <w:p>
      <w:pPr>
        <w:spacing w:after="0" w:line="1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Raven Re is also permitted to follow Iowa prescribed statutory accounting practice for its reserves on reinsurance assumed from FGL Insurance, which increased Raven Re’s statutory capital and surplus by $5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Without such permitted statutory accounting practices Raven Re’s statutory capital and surplus (deficit) would be $(6) million as of December 31, 2020,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as discussed in Note P </w:t>
      </w:r>
      <w:r>
        <w:rPr>
          <w:rFonts w:ascii="Arial" w:cs="Arial" w:eastAsia="Arial" w:hAnsi="Arial"/>
          <w:sz w:val="17"/>
          <w:szCs w:val="17"/>
          <w:i w:val="1"/>
          <w:iCs w:val="1"/>
          <w:color w:val="auto"/>
        </w:rPr>
        <w:t>F&amp;G Reinsurance</w:t>
      </w:r>
      <w:r>
        <w:rPr>
          <w:rFonts w:ascii="Arial" w:cs="Arial" w:eastAsia="Arial" w:hAnsi="Arial"/>
          <w:sz w:val="17"/>
          <w:szCs w:val="17"/>
          <w:color w:val="auto"/>
        </w:rPr>
        <w:t>. FGL Insurance’s statutory carrying value of Raven Re at December 31, 2020 was $84 million.</w:t>
      </w:r>
    </w:p>
    <w:p>
      <w:pPr>
        <w:spacing w:after="0" w:line="3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FGL NY Insurance did not follow any prescribed or permitted statutory accounting practices that differ from the NAIC's statutory accounting practices.</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prescribed and permitted statutory accounting practices have no impact on our Consolidated Financial Statements, which are prepared in accordance with GAAP.</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17, 2018, our Board of Directors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On October 28, 2020, we announced that we intend to purchase approximately $500 million of FNF common shares over the following 12 months, based on market conditions. During the year ended December 31, 2020, we repurchased a total of 7,450,000 FNF common shares for an aggregate of $244 million or an average of $32.75 per share. Subsequent to December 31, 2020 and through market close on February 19, 2021, we repurchased a total of 400,000 shares for $16 million, or an average of $40.00 under this program. Since the original commencement of the 2018 Repurchase Program, we repurchased a total of 10,630,000 FNF common shares for an aggregate of $366 million, or an average of $34.43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Net Income Attributable to FNF Common Shareholders and Change in Total Equity</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we purchased for $90 million the outstanding Class A units of ServiceLink held by its minority owners. As of the purchase date, ServiceLink is a wholly owned subsidiary of FNF.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change in our ownership percentage in ServiceLink on equity attributable to FNF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FNF common shareholders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Increase in additional paid-in capital for increase in ownership percentage in ServiceLink</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noncontrolling interests resulting from increased ownership percentage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total equity</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FNF common shareholders and change in total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our redeemable non-controlling interest during the years ended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Redemption of ServiceLink non-controlling interest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adopted ASC Topic 842 on January 1, 2019 using a modified retrospective approach. Prior year periods continue to be reported under ASC Topic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Right-of-use assets and lease liabilities related to operating leases under ASC Topic 842 are recorded when we are party to a contract, which conveys the right for the Company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operating leases range in term from one to ten years. As of December 31, 2020, the weighted-average remaining lease term of our operating leases was 4.2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lease agreements do not contain material variable lease payments, buyout options, residual value guarantees or restrictive covenants.</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 liability is determined by discounting future lease payments using a discount rate based on the Company's incremental borrowing rate for similar collateralized borrowing. The discount rate is calculated as an average of the current yield on our unsecured notes payable and 140 basis points in excess of the current five year LIBOR swap rate. As of December 31, 2020 the weighted-average discount rate used to determine our operating lease liability was 3.8%.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separate lease components from non-lease components for any of our right-of-use assets.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lease costs are included in Other operating expenses on the Consolidated Statements of Income and was $150 million and $146 million for the years ended December 31, 2020 and 2019, respectively. We do not have any material short term lease costs, variable lease costs, or sublease income.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incurred for operating leases under ASC Topic 840 during the year ended December 31, 2018 was $150 million.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842 as of December 31, 2020 are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payments, undiscounted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 at present value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Supplementary Cash Flow Information</w:t>
      </w:r>
      <w:r>
        <w:rPr>
          <w:rFonts w:ascii="Arial" w:cs="Arial" w:eastAsia="Arial" w:hAnsi="Arial"/>
          <w:sz w:val="18"/>
          <w:szCs w:val="18"/>
          <w:color w:val="auto"/>
        </w:rPr>
        <w:t xml:space="preserve"> for certain information on noncash investing and financing activities related to our operating lease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Property and Equipment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Property and equipment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87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r>
      <w:tr>
        <w:trPr>
          <w:trHeight w:val="181"/>
        </w:trPr>
        <w:tc>
          <w:tcPr>
            <w:tcW w:w="8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r>
      <w:tr>
        <w:trPr>
          <w:trHeight w:val="232"/>
        </w:trPr>
        <w:tc>
          <w:tcPr>
            <w:tcW w:w="878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processing equipment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Land</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780" w:type="dxa"/>
            <w:vAlign w:val="bottom"/>
          </w:tcPr>
          <w:p>
            <w:pPr>
              <w:ind w:left="140"/>
              <w:spacing w:after="0"/>
              <w:rPr>
                <w:sz w:val="20"/>
                <w:szCs w:val="20"/>
                <w:color w:val="auto"/>
              </w:rPr>
            </w:pPr>
            <w:r>
              <w:rPr>
                <w:rFonts w:ascii="Arial" w:cs="Arial" w:eastAsia="Arial" w:hAnsi="Arial"/>
                <w:sz w:val="18"/>
                <w:szCs w:val="18"/>
                <w:color w:val="auto"/>
              </w:rPr>
              <w:t>Total property and equipment, gross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78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8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expense on property and equipment was $48 million, $42 million, and $46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 - Accounts Payable and Other Accrued Liabilities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Salaries and incentives</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benefits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Contingent consideration - acquisitions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recording fees and transfer taxes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premium taxes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Liability for policy and contract claims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Retained asset account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Remittances and items not allocated</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Option collateral liabilities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Funds withheld embedded derivative</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5750"/>
              <w:spacing w:after="0"/>
              <w:rPr>
                <w:sz w:val="20"/>
                <w:szCs w:val="20"/>
                <w:color w:val="auto"/>
              </w:rPr>
            </w:pPr>
            <w:r>
              <w:rPr>
                <w:rFonts w:ascii="Arial" w:cs="Arial" w:eastAsia="Arial" w:hAnsi="Arial"/>
                <w:sz w:val="18"/>
                <w:szCs w:val="18"/>
                <w:b w:val="1"/>
                <w:bCs w:val="1"/>
                <w:color w:val="auto"/>
                <w:w w:val="92"/>
              </w:rPr>
              <w:t>Note V.   Income Taxes</w:t>
            </w: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7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Arial" w:cs="Arial" w:eastAsia="Arial" w:hAnsi="Arial"/>
                <w:sz w:val="18"/>
                <w:szCs w:val="18"/>
                <w:color w:val="auto"/>
              </w:rPr>
              <w:t>Income tax expense (benefit) on continuing operations consists of the following:</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9"/>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CCEEFF"/>
            </w:tcBorders>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7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Total income tax expense was allocated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9"/>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left="5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CCEEFF"/>
            </w:tcBorders>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Tax expense attributable to net earnings from discontinued operations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Unrealized gain (loss) on investments and other financial instruments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Minimum pension liability adjustment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 allocated to other comprehensive earnings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80" w:type="dxa"/>
            <w:vAlign w:val="bottom"/>
            <w:gridSpan w:val="2"/>
            <w:vMerge w:val="restart"/>
          </w:tcPr>
          <w:p>
            <w:pPr>
              <w:jc w:val="right"/>
              <w:ind w:right="1830"/>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7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94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0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4240" w:type="dxa"/>
            <w:vAlign w:val="bottom"/>
            <w:gridSpan w:val="2"/>
          </w:tcPr>
          <w:p>
            <w:pPr>
              <w:jc w:val="right"/>
              <w:ind w:right="1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42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4240" w:type="dxa"/>
            <w:vAlign w:val="bottom"/>
            <w:gridSpan w:val="2"/>
          </w:tcPr>
          <w:p>
            <w:pPr>
              <w:jc w:val="right"/>
              <w:ind w:right="9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partnerships</w:t>
            </w:r>
          </w:p>
        </w:tc>
        <w:tc>
          <w:tcPr>
            <w:tcW w:w="42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Tax reform</w:t>
            </w:r>
          </w:p>
        </w:tc>
        <w:tc>
          <w:tcPr>
            <w:tcW w:w="30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42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Change in tax status benefit</w:t>
            </w:r>
          </w:p>
        </w:tc>
        <w:tc>
          <w:tcPr>
            <w:tcW w:w="4240" w:type="dxa"/>
            <w:vAlign w:val="bottom"/>
            <w:gridSpan w:val="2"/>
          </w:tcPr>
          <w:p>
            <w:pPr>
              <w:jc w:val="right"/>
              <w:ind w:right="9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 net</w:t>
            </w:r>
          </w:p>
        </w:tc>
        <w:tc>
          <w:tcPr>
            <w:tcW w:w="42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60"/>
              <w:spacing w:after="0"/>
              <w:rPr>
                <w:sz w:val="20"/>
                <w:szCs w:val="20"/>
                <w:color w:val="auto"/>
              </w:rPr>
            </w:pPr>
            <w:r>
              <w:rPr>
                <w:rFonts w:ascii="Arial" w:cs="Arial" w:eastAsia="Arial" w:hAnsi="Arial"/>
                <w:sz w:val="18"/>
                <w:szCs w:val="18"/>
                <w:color w:val="auto"/>
              </w:rPr>
              <w:t>Effective tax rate</w:t>
            </w:r>
          </w:p>
        </w:tc>
        <w:tc>
          <w:tcPr>
            <w:tcW w:w="30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20" w:type="dxa"/>
            <w:vAlign w:val="bottom"/>
            <w:vMerge w:val="restart"/>
          </w:tcPr>
          <w:p>
            <w:pPr>
              <w:jc w:val="right"/>
              <w:ind w:right="1470"/>
              <w:spacing w:after="0"/>
              <w:rPr>
                <w:sz w:val="20"/>
                <w:szCs w:val="20"/>
                <w:color w:val="auto"/>
              </w:rPr>
            </w:pPr>
            <w:r>
              <w:rPr>
                <w:rFonts w:ascii="Arial" w:cs="Arial" w:eastAsia="Arial" w:hAnsi="Arial"/>
                <w:sz w:val="18"/>
                <w:szCs w:val="18"/>
                <w:color w:val="auto"/>
              </w:rPr>
              <w:t>153</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6"/>
        </w:trPr>
        <w:tc>
          <w:tcPr>
            <w:tcW w:w="43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2020 and 2019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7"/>
        </w:trPr>
        <w:tc>
          <w:tcPr>
            <w:tcW w:w="9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r>
      <w:tr>
        <w:trPr>
          <w:trHeight w:val="231"/>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Employee benefit accruals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uncollectible accounts receivable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Pension plan</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carryover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Basis difference held-for-sale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insurance and claim related adjustments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Funds held under reinsurance agreements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Total gross deferred tax asset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Title plant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goodwill and intangible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Partnerships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business acquired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Transition reserve on new reserve method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under reinsurance agreements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Title Insurance reserve discounting</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Our net deferred tax liability was $292 million and $284 million as of December 31, 2020, and 2019, respectively. The significant changes in the deferred taxes are as follows: the deferred tax liability for investment securities increased by $526 million primarily due to unrealized gains recorded for investment securities and the acquisition of F&amp;G ($68 million was related to unrealized gains in our title business, $383 million was related to unrealized gains of F&amp;G and $75 million was related to F&amp;G mortgage loans and other investment related deferreds). The deferred tax liability relating to partnerships and amortization increased by $29 million and $35 million, respectively, primarily related to the acquisition of F&amp;G related deferred tax items. The increase in the deferred tax asset relating to employee benefits of $23 million is also primarily related to the acquisition of F&amp;G. Other notable deferred assets solely related to the F&amp;G acquisition are the deferred tax assets for: life insurance and claim related adjustments of $861 million, capital loss carryover of $35 million, funds held under reinsurance agreements of $85 million and basis differences in held for sale assets of $19 million. Other notable deferred tax liabilities solely related to the F&amp;G acquisition are the deferred tax liabilities for: value of business acquired of $308 million, derivatives of $38 million, funds withheld under reinsurance agreements of $58 million and transition reserve on new reserve method of $43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2020, we have net operating losses ("NOL") on a pretax basis of $82 million available to carryforward and offset future federal taxable income. The net operating losses are US federal net operating losses arising from acquisitions made since 2012, including Buyers Protection Group, Inc., Digital Insurance Holdings, Inc., ServiceLink, THL Corporations and F&amp;G. Most of the NOLs are subject to an annual Internal Revenue Code Section 382 limitation. These losses will begin to expire in year 2023 and we fully anticipate utilizing these losses prior to expiration with the exception of $42 million of gross net operating losses that are offset by a $42 million valuation allowance.</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and 2019, we had $59 million and $39 million of tax credits, respectively, which expire between 2032 and 2040. The credits primarily consist of general business credits from historical acquisitions, including $20 million associated with the acquisition of F&amp;G. We anticipate that these credits will be utilized prior to expiration after a valuation allowance of $24 million on the general business credits.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and 2019, the balance of unrecognized tax benefits which would, if recognized, favorably affect our effective tax rate was $28 million and $6 million, respectively. Interest and penalties accrued on income tax uncertainties are recorded as a component of income tax expense and were $1 million and $2 million as of December 31, 2020, and 2019, respectively. It is reasonably possible that as a result of the carryback request and approval of the Joint Committee of Taxation, unrecognized tax benefits could decrease as much as $58 million within the next 12 months. This reserve relates to a timing difference.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unrecognized tax benefits is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Year ended</w:t>
            </w:r>
          </w:p>
        </w:tc>
      </w:tr>
      <w:tr>
        <w:trPr>
          <w:trHeight w:val="135"/>
        </w:trPr>
        <w:tc>
          <w:tcPr>
            <w:tcW w:w="10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2020</w:t>
            </w:r>
          </w:p>
        </w:tc>
      </w:tr>
      <w:tr>
        <w:trPr>
          <w:trHeight w:val="226"/>
        </w:trPr>
        <w:tc>
          <w:tcPr>
            <w:tcW w:w="100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positions taken in current year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10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Reductions related to statute of limitation lapses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F&amp;G's life insurance subsidiaries, as well as certain F&amp;G non-life subsidiaries file separate tax returns from the FNF consolidated group. Prepaid expenses and other assets in the accompanying Consolidated Balance Sheets as of December 31, 2020 includes $20 million of tax receivables and $8 million of deferred tax assets related to F&amp;G subsidiaries who file separate tax returns.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Internal Revenue Service (“IRS”) has selected us to participate in the Compliance Assurance Program that is a real-time audit. We are currently under audit by the IRS for the 2020 through 2021 tax years. We file income tax returns in various foreign and US state jurisdictions. Our state income tax returns for the 2016 through 2020 tax years remain subject to examination by state jurisdictions. The F&amp;G life insurance group files a separate consolidated return with the IRS. F&amp;G is not currently under examination by the IRS.</w:t>
      </w:r>
    </w:p>
    <w:p>
      <w:pPr>
        <w:spacing w:after="0" w:line="3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W.</w:t>
      </w:r>
      <w:r>
        <w:rPr>
          <w:sz w:val="20"/>
          <w:szCs w:val="20"/>
          <w:color w:val="auto"/>
        </w:rPr>
        <w:tab/>
      </w:r>
      <w:r>
        <w:rPr>
          <w:rFonts w:ascii="Arial" w:cs="Arial" w:eastAsia="Arial" w:hAnsi="Arial"/>
          <w:sz w:val="16"/>
          <w:szCs w:val="16"/>
          <w:b w:val="1"/>
          <w:bCs w:val="1"/>
          <w:color w:val="auto"/>
        </w:rPr>
        <w:t>Employee Benefit Plans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three-year period ended December 31, 2020,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$30 million, $28 million, and $25 million to the ESPP in the years ended December 31, 2020, 2019, and 2018, respectively, in accordance with our matching contribution.</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three-year period ended December 31, 2020,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We make an employer match on the 401(k) Plan of $0.375 on each $1.00 contributed up to the first 6% of eligible earnings contributed to the 401(k) Plan by employees. The employer match was $31 million, $29 million, and $30 million for the years ended December 31, 2020, 2019, and 2018, respectively, and was credited based on the participant's individual investment elections in the FNF 401(k) Plan.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1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2020, there were 1,716,555 shares of restricted stock and 2,321,413 stock options outstanding under the Omnibus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F&amp;G Omnibus Incentive Plan</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common stock that may be issued pursuant to future awards granted under the F&amp;G Omnibus Plan and 2,411,585 shares of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2020, there were 449,870 shares of restricted stock and 2,002,690 stock options outstanding under the Omnibus Plan.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stock option transactions under the Omnibus Plan for 2020, 2019, and 2018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88"/>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8,529,427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7,648,837</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7,543,787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7,530,137</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04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5,530,125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5,530,125</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Exercised</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(3,208,712)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2,321,413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2,321,413</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380" w:type="dxa"/>
            <w:vAlign w:val="bottom"/>
            <w:gridSpan w:val="2"/>
          </w:tcPr>
          <w:p>
            <w:pPr>
              <w:ind w:left="340"/>
              <w:spacing w:after="0"/>
              <w:rPr>
                <w:sz w:val="20"/>
                <w:szCs w:val="20"/>
                <w:color w:val="auto"/>
              </w:rPr>
            </w:pPr>
            <w:r>
              <w:rPr>
                <w:rFonts w:ascii="Arial" w:cs="Arial" w:eastAsia="Arial" w:hAnsi="Arial"/>
                <w:sz w:val="18"/>
                <w:szCs w:val="18"/>
                <w:color w:val="auto"/>
                <w:w w:val="92"/>
              </w:rPr>
              <w:t>FNF stock options transactions under the F&amp;G Omnibus Incentive Plan for 2020 are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88"/>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Options assumed in connection with the F&amp;G acquisition</w:t>
            </w:r>
          </w:p>
        </w:tc>
        <w:tc>
          <w:tcPr>
            <w:tcW w:w="1040" w:type="dxa"/>
            <w:vAlign w:val="bottom"/>
          </w:tcPr>
          <w:p>
            <w:pPr>
              <w:jc w:val="right"/>
              <w:spacing w:after="0"/>
              <w:rPr>
                <w:sz w:val="20"/>
                <w:szCs w:val="20"/>
                <w:color w:val="auto"/>
              </w:rPr>
            </w:pPr>
            <w:r>
              <w:rPr>
                <w:rFonts w:ascii="Arial" w:cs="Arial" w:eastAsia="Arial" w:hAnsi="Arial"/>
                <w:sz w:val="18"/>
                <w:szCs w:val="18"/>
                <w:color w:val="auto"/>
              </w:rPr>
              <w:t>2,411,585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1,021,671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restricted stock transactions under the Omnibus Plan in 2020, 2019, and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35"/>
        </w:trPr>
        <w:tc>
          <w:tcPr>
            <w:tcW w:w="8700" w:type="dxa"/>
            <w:vAlign w:val="bottom"/>
          </w:tcPr>
          <w:p>
            <w:pPr>
              <w:spacing w:after="0"/>
              <w:rPr>
                <w:sz w:val="11"/>
                <w:szCs w:val="11"/>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6"/>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1,839,061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(15,201)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1200" w:type="dxa"/>
            <w:vAlign w:val="bottom"/>
          </w:tcPr>
          <w:p>
            <w:pPr>
              <w:jc w:val="right"/>
              <w:spacing w:after="0"/>
              <w:rPr>
                <w:sz w:val="20"/>
                <w:szCs w:val="20"/>
                <w:color w:val="auto"/>
              </w:rPr>
            </w:pPr>
            <w:r>
              <w:rPr>
                <w:rFonts w:ascii="Arial" w:cs="Arial" w:eastAsia="Arial" w:hAnsi="Arial"/>
                <w:sz w:val="18"/>
                <w:szCs w:val="18"/>
                <w:color w:val="auto"/>
              </w:rPr>
              <w:t>1,821,238</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(14,937)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1,517,176</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1,716,555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340"/>
              <w:spacing w:after="0"/>
              <w:rPr>
                <w:sz w:val="20"/>
                <w:szCs w:val="20"/>
                <w:color w:val="auto"/>
              </w:rPr>
            </w:pPr>
            <w:r>
              <w:rPr>
                <w:rFonts w:ascii="Arial" w:cs="Arial" w:eastAsia="Arial" w:hAnsi="Arial"/>
                <w:sz w:val="18"/>
                <w:szCs w:val="18"/>
                <w:color w:val="auto"/>
              </w:rPr>
              <w:t>FNF restricted stock transactions under the F&amp;G Omnibus Plan in 2020 are as follows:</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7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35"/>
        </w:trPr>
        <w:tc>
          <w:tcPr>
            <w:tcW w:w="8700" w:type="dxa"/>
            <w:vAlign w:val="bottom"/>
          </w:tcPr>
          <w:p>
            <w:pPr>
              <w:spacing w:after="0"/>
              <w:rPr>
                <w:sz w:val="11"/>
                <w:szCs w:val="11"/>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6"/>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Range of</w:t>
            </w:r>
          </w:p>
        </w:tc>
        <w:tc>
          <w:tcPr>
            <w:tcW w:w="1260" w:type="dxa"/>
            <w:vAlign w:val="bottom"/>
          </w:tcPr>
          <w:p>
            <w:pPr>
              <w:jc w:val="right"/>
              <w:ind w:right="256"/>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Contractual</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Intrinsic</w:t>
            </w:r>
          </w:p>
        </w:tc>
        <w:tc>
          <w:tcPr>
            <w:tcW w:w="1240" w:type="dxa"/>
            <w:vAlign w:val="bottom"/>
          </w:tcPr>
          <w:p>
            <w:pPr>
              <w:jc w:val="right"/>
              <w:ind w:right="236"/>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15"/>
                <w:szCs w:val="15"/>
                <w:color w:val="auto"/>
              </w:rPr>
            </w:pPr>
          </w:p>
        </w:tc>
        <w:tc>
          <w:tcPr>
            <w:tcW w:w="84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Intrinsic</w:t>
            </w:r>
          </w:p>
        </w:tc>
      </w:tr>
      <w:tr>
        <w:trPr>
          <w:trHeight w:val="151"/>
        </w:trPr>
        <w:tc>
          <w:tcPr>
            <w:tcW w:w="20" w:type="dxa"/>
            <w:vAlign w:val="bottom"/>
          </w:tcPr>
          <w:p>
            <w:pPr>
              <w:spacing w:after="0"/>
              <w:rPr>
                <w:sz w:val="13"/>
                <w:szCs w:val="13"/>
                <w:color w:val="auto"/>
              </w:rPr>
            </w:pPr>
          </w:p>
        </w:tc>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260" w:type="dxa"/>
            <w:vAlign w:val="bottom"/>
          </w:tcPr>
          <w:p>
            <w:pPr>
              <w:jc w:val="right"/>
              <w:ind w:right="336"/>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Life</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40" w:type="dxa"/>
            <w:vAlign w:val="bottom"/>
          </w:tcPr>
          <w:p>
            <w:pPr>
              <w:jc w:val="right"/>
              <w:ind w:right="316"/>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840" w:type="dxa"/>
            <w:vAlign w:val="bottom"/>
          </w:tcPr>
          <w:p>
            <w:pPr>
              <w:jc w:val="center"/>
              <w:ind w:right="58"/>
              <w:spacing w:after="0"/>
              <w:rPr>
                <w:sz w:val="20"/>
                <w:szCs w:val="20"/>
                <w:color w:val="auto"/>
              </w:rPr>
            </w:pPr>
            <w:r>
              <w:rPr>
                <w:rFonts w:ascii="Arial" w:cs="Arial" w:eastAsia="Arial" w:hAnsi="Arial"/>
                <w:sz w:val="13"/>
                <w:szCs w:val="13"/>
                <w:b w:val="1"/>
                <w:bCs w:val="1"/>
                <w:color w:val="auto"/>
                <w:w w:val="86"/>
              </w:rPr>
              <w:t>Value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(In millions)</w:t>
            </w:r>
          </w:p>
        </w:tc>
      </w:tr>
      <w:tr>
        <w:trPr>
          <w:trHeight w:val="235"/>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$0.00 - $21.84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$21.85 - $25.53</w:t>
            </w:r>
          </w:p>
        </w:tc>
        <w:tc>
          <w:tcPr>
            <w:tcW w:w="1260" w:type="dxa"/>
            <w:vAlign w:val="bottom"/>
          </w:tcPr>
          <w:p>
            <w:pPr>
              <w:jc w:val="right"/>
              <w:spacing w:after="0"/>
              <w:rPr>
                <w:sz w:val="20"/>
                <w:szCs w:val="20"/>
                <w:color w:val="auto"/>
              </w:rPr>
            </w:pPr>
            <w:r>
              <w:rPr>
                <w:rFonts w:ascii="Arial" w:cs="Arial" w:eastAsia="Arial" w:hAnsi="Arial"/>
                <w:sz w:val="18"/>
                <w:szCs w:val="18"/>
                <w:color w:val="auto"/>
              </w:rPr>
              <w:t>1,512,297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1,512,297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$25.54 - $27.53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$27.54 - $28.00</w:t>
            </w:r>
          </w:p>
        </w:tc>
        <w:tc>
          <w:tcPr>
            <w:tcW w:w="1260" w:type="dxa"/>
            <w:vAlign w:val="bottom"/>
          </w:tcPr>
          <w:p>
            <w:pPr>
              <w:jc w:val="right"/>
              <w:spacing w:after="0"/>
              <w:rPr>
                <w:sz w:val="20"/>
                <w:szCs w:val="20"/>
                <w:color w:val="auto"/>
              </w:rPr>
            </w:pPr>
            <w:r>
              <w:rPr>
                <w:rFonts w:ascii="Arial" w:cs="Arial" w:eastAsia="Arial" w:hAnsi="Arial"/>
                <w:sz w:val="18"/>
                <w:szCs w:val="18"/>
                <w:color w:val="auto"/>
              </w:rPr>
              <w:t>61,084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$28.01 - $35.89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$35.90 - $39.10</w:t>
            </w:r>
          </w:p>
        </w:tc>
        <w:tc>
          <w:tcPr>
            <w:tcW w:w="1260" w:type="dxa"/>
            <w:vAlign w:val="bottom"/>
          </w:tcPr>
          <w:p>
            <w:pPr>
              <w:jc w:val="right"/>
              <w:spacing w:after="0"/>
              <w:rPr>
                <w:sz w:val="20"/>
                <w:szCs w:val="20"/>
                <w:color w:val="auto"/>
              </w:rPr>
            </w:pPr>
            <w:r>
              <w:rPr>
                <w:rFonts w:ascii="Arial" w:cs="Arial" w:eastAsia="Arial" w:hAnsi="Arial"/>
                <w:sz w:val="18"/>
                <w:szCs w:val="18"/>
                <w:color w:val="auto"/>
              </w:rPr>
              <w:t>1,463,591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774,246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2020, 2019 and 2018 was $50 million, $29 million, and $31 million, respectively.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fair value of restricted stock awards, which vested in the years ended December 31, 2020, 2019 and 2018 was $25 million, $42 million, and $29 million, respectively. Option awards are measured at fair value on the grant date using the Black Scholes Option Pricing Model. The intrinsic value of options exercised in the years ended December 31, 2020, 2019 and 2018 was $50 million, $48 million, and $19 million, respectively. Net earnings attributable to FNF Shareholders reflects stock-based compensation expense amounts of $39 million for the year ended December 31, 2020, $38 million for the year ended December 31, 2019, and $31 million for the year ended December 31, 2018, which are included in personnel costs in the reported financial results of each period.</w:t>
      </w:r>
    </w:p>
    <w:p>
      <w:pPr>
        <w:spacing w:after="0" w:line="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the total unrecognized compensation cost related to non-vested stock option grants and restricted stock grants is $62 million, which is expected to be recognized in pre-tax income over a weighted average period of 1.8 years.</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w:t>
      </w:r>
    </w:p>
    <w:p>
      <w:pPr>
        <w:spacing w:after="0" w:line="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discount rate used to determine the benefit obligation as of the years ended December 31, 2020 and 2019 was 1.85% and 2.79%, respectively. As of the years ended December 31, 2020 and 2019, the projected benefit obligation was $153 million and $160 million, respectively, and the fair value of plan assets was $157 million and $150 million, respectively. The net pension liability and net periodic expense included in our financial position and results of operations relating to the Pension Plan is not considered material for any period presented.</w:t>
      </w:r>
    </w:p>
    <w:p>
      <w:pPr>
        <w:spacing w:after="0" w:line="3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X.</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27" w:lineRule="exact"/>
        <w:rPr>
          <w:sz w:val="20"/>
          <w:szCs w:val="20"/>
          <w:color w:val="auto"/>
        </w:rPr>
      </w:pPr>
    </w:p>
    <w:p>
      <w:pPr>
        <w:jc w:val="both"/>
        <w:ind w:firstLine="369"/>
        <w:spacing w:after="0" w:line="260"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We generate a significant amount of title insurance premiums in Texas, California, Florida and New York. Title insurance premiums as a percentage of the total title insurance premiums written from those four states are detailed as follows:</w:t>
      </w: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Texas</w:t>
            </w:r>
          </w:p>
        </w:tc>
        <w:tc>
          <w:tcPr>
            <w:tcW w:w="12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New York</w:t>
            </w: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Y.</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 Recoveries of amounts previously written off relating to improvements in cash flows after January 1, 2020 will be recorded in earnings when received. See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discussion of the adoption as it relates to our fixed maturity securities available for sale.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We have adopted this standard as of January 1, 2020 and are applying this guidance on a prospective basis. The overall effect of Topic 350 had no impact to the Consolidated Financial Statements upon adoption.</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effective for fiscal years beginning after December 15, 2019 including interim periods within those fiscal years. The new guidance introduces the following requirements: for investments in certain entities that calculate net asset value, investors are required to disclose the timing of liquidation of an investee's assets and the date when restrictions from redemption might lapse if the investee has communicated timing to the entity or announced timing publicly; entities should use the measurement uncertainty disclosure to communicate information about the uncertainty in measurement as of the reporting date; entities must disclose changes in unrealized gains and losses included in other comprehensive income for recurring Level 3 fair value measurements, as well as the range and weighted average of significant unobservable inputs used to develop Level 3 fair value measurements, or other quantitative information in lieu of weighted average if the entity determines such information would be more reasonable and rational; and entities are no longer required to disclose the amounts and reasons for transfers between Level 1 and Level 2 of the fair value hierarchy, the policy for timing of transfers between levels, and the valuation processes for Level 3 fair value measurements. We adopted this standard on June 1, 2020 as a result of our acquisition of F&amp;G, and the overall effect of Topic 820 on our Consolidated Financial Statements was not material upon adoption.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the FASB issued ASU 2018-17, Consolidation (Topic 810), Targeted Improvements to Related Party Guidance for Variable Interest Entities, effective for fiscal years beginning after December 15, 2019 including interim periods within those fiscal years. Under this update, entities must consider indirect interests held through related parties under common control on a proportional basis to determine whether a decision-making fee is a variable interest. We adopted this standard on June 1, 2020 as a result of our acquisition of F&amp;G, and it did not have an impact on our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2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do not expect this guidance to have a material impact on our Consolidated Financial Statements and related disclosures upon adoption.</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In June of 2020, the FASB deferred the effective date of ASU 2018-12 for one-year in response to implementation challenges resulting from COVID-19.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proportion to premiums, gross profits, or gross margins and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0" w:lineRule="auto"/>
        <w:tabs>
          <w:tab w:leader="none" w:pos="2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completed the F&amp;G acquisition on June 1, 2020 (see Note B of the Notes to the Consolidated Financial Statements). The scope of management's assessment of the effectiveness of the Company's disclosure controls and procedures did not include the internal control over financial reporting of F&amp;G. This exclusion is in accordance with the SEC Staff’s general guidance that an assessment of a recently acquired business may be omitted from the scope of management’s assessment for one year following the acquisition. F&amp;G represented approximately 11% of our gross revenue for the year ended December 31, 2020. Total assets of the acquired business as of December 31, 2020 represented approximately 79% of our total consolidated assets, consisting principally of investments, goodwill and other intangible assets.</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closing of the F&amp;G acquisition, we have incorporated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F&amp;G and may take further steps to integrate such controls and processes with those of the Company.</w:t>
      </w:r>
    </w:p>
    <w:p>
      <w:pPr>
        <w:spacing w:after="0" w:line="4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as described above, 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2020. Because we completed the F&amp;G acquisition on June 1, 2020, the scope of management's assessment of the effectiveness of the Company's internal control over financial reporting did not include the internal control over financial reporting of F&amp;G.</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Ernst &amp; Young LLP, an independent registered public accounting firm, as stated in their report, which is included herein.</w:t>
      </w:r>
    </w:p>
    <w:p>
      <w:pPr>
        <w:spacing w:after="0" w:line="3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firstLine="332"/>
        <w:spacing w:after="0" w:line="273" w:lineRule="auto"/>
        <w:tabs>
          <w:tab w:leader="none" w:pos="5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900" w:type="dxa"/>
            <w:vAlign w:val="bottom"/>
            <w:gridSpan w:val="3"/>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Report of Independent Registered Public Accounting Firm on Effectiveness of Internal Control over Financial Reporting</w:t>
              </w:r>
            </w:hyperlink>
          </w:p>
        </w:tc>
        <w:tc>
          <w:tcPr>
            <w:tcW w:w="260" w:type="dxa"/>
            <w:vAlign w:val="bottom"/>
            <w:gridSpan w:val="2"/>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91</w:t>
              </w:r>
            </w:hyperlink>
          </w:p>
        </w:tc>
      </w:tr>
      <w:tr>
        <w:trPr>
          <w:trHeight w:val="230"/>
        </w:trPr>
        <w:tc>
          <w:tcPr>
            <w:tcW w:w="10900" w:type="dxa"/>
            <w:vAlign w:val="bottom"/>
            <w:gridSpan w:val="3"/>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Report of Independent Registered Public Accounting Firm on Financial Statements</w:t>
              </w:r>
            </w:hyperlink>
          </w:p>
        </w:tc>
        <w:tc>
          <w:tcPr>
            <w:tcW w:w="260" w:type="dxa"/>
            <w:vAlign w:val="bottom"/>
            <w:gridSpan w:val="2"/>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92</w:t>
              </w:r>
            </w:hyperlink>
          </w:p>
        </w:tc>
      </w:tr>
      <w:tr>
        <w:trPr>
          <w:trHeight w:val="229"/>
        </w:trPr>
        <w:tc>
          <w:tcPr>
            <w:tcW w:w="10900" w:type="dxa"/>
            <w:vAlign w:val="bottom"/>
            <w:gridSpan w:val="3"/>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Consolidated Balance Sheets as of December 31, 2020 and 2019</w:t>
              </w:r>
            </w:hyperlink>
          </w:p>
        </w:tc>
        <w:tc>
          <w:tcPr>
            <w:tcW w:w="260" w:type="dxa"/>
            <w:vAlign w:val="bottom"/>
            <w:gridSpan w:val="2"/>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95</w:t>
              </w:r>
            </w:hyperlink>
          </w:p>
        </w:tc>
      </w:tr>
      <w:tr>
        <w:trPr>
          <w:trHeight w:val="190"/>
        </w:trPr>
        <w:tc>
          <w:tcPr>
            <w:tcW w:w="10900" w:type="dxa"/>
            <w:vAlign w:val="bottom"/>
            <w:gridSpan w:val="3"/>
          </w:tcPr>
          <w:p>
            <w:pPr>
              <w:spacing w:after="0" w:line="190" w:lineRule="exact"/>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Consolidated Statements of Earnings for the years ended December 31, 2020, 2019 and 2018</w:t>
              </w:r>
            </w:hyperlink>
          </w:p>
        </w:tc>
        <w:tc>
          <w:tcPr>
            <w:tcW w:w="80" w:type="dxa"/>
            <w:vAlign w:val="bottom"/>
          </w:tcPr>
          <w:p>
            <w:pPr>
              <w:spacing w:after="0"/>
              <w:rPr>
                <w:sz w:val="16"/>
                <w:szCs w:val="16"/>
                <w:color w:val="auto"/>
              </w:rPr>
            </w:pPr>
          </w:p>
        </w:tc>
        <w:tc>
          <w:tcPr>
            <w:tcW w:w="180" w:type="dxa"/>
            <w:vAlign w:val="bottom"/>
            <w:tcBorders>
              <w:bottom w:val="single" w:sz="8" w:color="0E32E1"/>
            </w:tcBorders>
          </w:tcPr>
          <w:p>
            <w:pPr>
              <w:jc w:val="right"/>
              <w:spacing w:after="0" w:line="190" w:lineRule="exact"/>
              <w:rPr>
                <w:sz w:val="20"/>
                <w:szCs w:val="20"/>
                <w:color w:val="auto"/>
              </w:rPr>
            </w:pPr>
            <w:r>
              <w:rPr>
                <w:rFonts w:ascii="Arial" w:cs="Arial" w:eastAsia="Arial" w:hAnsi="Arial"/>
                <w:sz w:val="18"/>
                <w:szCs w:val="18"/>
                <w:color w:val="0E32E1"/>
                <w:w w:val="79"/>
              </w:rPr>
              <w:t>96</w:t>
            </w:r>
          </w:p>
        </w:tc>
      </w:tr>
      <w:tr>
        <w:trPr>
          <w:trHeight w:val="209"/>
        </w:trPr>
        <w:tc>
          <w:tcPr>
            <w:tcW w:w="10900" w:type="dxa"/>
            <w:vAlign w:val="bottom"/>
            <w:gridSpan w:val="3"/>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Consolidated Statements of Comprehensive Earnings for the years ended December 31, 2020, 2019 and 2018</w:t>
              </w:r>
            </w:hyperlink>
          </w:p>
        </w:tc>
        <w:tc>
          <w:tcPr>
            <w:tcW w:w="8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color w:val="0E32E1"/>
                <w:w w:val="79"/>
              </w:rPr>
              <w:t>97</w:t>
            </w:r>
          </w:p>
        </w:tc>
      </w:tr>
      <w:tr>
        <w:trPr>
          <w:trHeight w:val="209"/>
        </w:trPr>
        <w:tc>
          <w:tcPr>
            <w:tcW w:w="10900" w:type="dxa"/>
            <w:vAlign w:val="bottom"/>
            <w:gridSpan w:val="3"/>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Consolidated Statements of Equity for the years ended December 31, 2020, 2019 and 2018</w:t>
              </w:r>
            </w:hyperlink>
          </w:p>
        </w:tc>
        <w:tc>
          <w:tcPr>
            <w:tcW w:w="8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color w:val="0E32E1"/>
                <w:w w:val="79"/>
              </w:rPr>
              <w:t>98</w:t>
            </w:r>
          </w:p>
        </w:tc>
      </w:tr>
      <w:tr>
        <w:trPr>
          <w:trHeight w:val="210"/>
        </w:trPr>
        <w:tc>
          <w:tcPr>
            <w:tcW w:w="10900" w:type="dxa"/>
            <w:vAlign w:val="bottom"/>
            <w:gridSpan w:val="3"/>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Consolidated Statements of Cash Flows for the years ended December 31, 2020, 2019 and 2018</w:t>
              </w:r>
            </w:hyperlink>
          </w:p>
        </w:tc>
        <w:tc>
          <w:tcPr>
            <w:tcW w:w="260" w:type="dxa"/>
            <w:vAlign w:val="bottom"/>
            <w:tcBorders>
              <w:bottom w:val="single" w:sz="8" w:color="0E32E1"/>
            </w:tcBorders>
            <w:gridSpan w:val="2"/>
          </w:tcPr>
          <w:p>
            <w:pPr>
              <w:jc w:val="right"/>
              <w:spacing w:after="0"/>
              <w:rPr>
                <w:sz w:val="20"/>
                <w:szCs w:val="20"/>
                <w:color w:val="auto"/>
              </w:rPr>
            </w:pPr>
            <w:r>
              <w:rPr>
                <w:rFonts w:ascii="Arial" w:cs="Arial" w:eastAsia="Arial" w:hAnsi="Arial"/>
                <w:sz w:val="18"/>
                <w:szCs w:val="18"/>
                <w:color w:val="0E32E1"/>
                <w:w w:val="79"/>
              </w:rPr>
              <w:t>100</w:t>
            </w:r>
          </w:p>
        </w:tc>
      </w:tr>
      <w:tr>
        <w:trPr>
          <w:trHeight w:val="209"/>
        </w:trPr>
        <w:tc>
          <w:tcPr>
            <w:tcW w:w="10900" w:type="dxa"/>
            <w:vAlign w:val="bottom"/>
            <w:gridSpan w:val="3"/>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Notes to Consolidated Financial Statements</w:t>
              </w:r>
            </w:hyperlink>
          </w:p>
        </w:tc>
        <w:tc>
          <w:tcPr>
            <w:tcW w:w="260" w:type="dxa"/>
            <w:vAlign w:val="bottom"/>
            <w:tcBorders>
              <w:bottom w:val="single" w:sz="8" w:color="0E32E1"/>
            </w:tcBorders>
            <w:gridSpan w:val="2"/>
          </w:tcPr>
          <w:p>
            <w:pPr>
              <w:jc w:val="right"/>
              <w:spacing w:after="0"/>
              <w:rPr>
                <w:sz w:val="20"/>
                <w:szCs w:val="20"/>
                <w:color w:val="auto"/>
              </w:rPr>
            </w:pPr>
            <w:r>
              <w:rPr>
                <w:rFonts w:ascii="Arial" w:cs="Arial" w:eastAsia="Arial" w:hAnsi="Arial"/>
                <w:sz w:val="18"/>
                <w:szCs w:val="18"/>
                <w:color w:val="0E32E1"/>
                <w:w w:val="79"/>
              </w:rPr>
              <w:t>102</w:t>
            </w:r>
          </w:p>
        </w:tc>
      </w:tr>
      <w:tr>
        <w:trPr>
          <w:trHeight w:val="345"/>
        </w:trPr>
        <w:tc>
          <w:tcPr>
            <w:tcW w:w="10900" w:type="dxa"/>
            <w:vAlign w:val="bottom"/>
            <w:gridSpan w:val="3"/>
          </w:tcPr>
          <w:p>
            <w:pPr>
              <w:ind w:left="320"/>
              <w:spacing w:after="0"/>
              <w:rPr>
                <w:sz w:val="20"/>
                <w:szCs w:val="20"/>
                <w:color w:val="auto"/>
              </w:rPr>
            </w:pPr>
            <w:r>
              <w:rPr>
                <w:rFonts w:ascii="Arial" w:cs="Arial" w:eastAsia="Arial" w:hAnsi="Arial"/>
                <w:sz w:val="18"/>
                <w:szCs w:val="18"/>
                <w:color w:val="auto"/>
                <w:w w:val="93"/>
              </w:rPr>
              <w:t xml:space="preserve">(a) (2) </w:t>
            </w:r>
            <w:r>
              <w:rPr>
                <w:rFonts w:ascii="Arial" w:cs="Arial" w:eastAsia="Arial" w:hAnsi="Arial"/>
                <w:sz w:val="18"/>
                <w:szCs w:val="18"/>
                <w:i w:val="1"/>
                <w:iCs w:val="1"/>
                <w:color w:val="auto"/>
                <w:w w:val="93"/>
              </w:rPr>
              <w:t>Financial Statement Schedules.</w:t>
            </w:r>
            <w:r>
              <w:rPr>
                <w:rFonts w:ascii="Arial" w:cs="Arial" w:eastAsia="Arial" w:hAnsi="Arial"/>
                <w:sz w:val="18"/>
                <w:szCs w:val="18"/>
                <w:color w:val="auto"/>
                <w:w w:val="93"/>
              </w:rPr>
              <w:t xml:space="preserve">  The following is a list of financial statement schedules filed as part of this annual report on Form 10-K: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0900" w:type="dxa"/>
            <w:vAlign w:val="bottom"/>
            <w:gridSpan w:val="3"/>
          </w:tcPr>
          <w:p>
            <w:pPr>
              <w:spacing w:after="0"/>
              <w:rPr>
                <w:rFonts w:ascii="Arial" w:cs="Arial" w:eastAsia="Arial" w:hAnsi="Arial"/>
                <w:sz w:val="18"/>
                <w:szCs w:val="18"/>
                <w:i w:val="1"/>
                <w:iCs w:val="1"/>
                <w:u w:val="single" w:color="auto"/>
                <w:color w:val="0000FF"/>
              </w:rPr>
            </w:pPr>
            <w:hyperlink w:anchor="page172">
              <w:r>
                <w:rPr>
                  <w:rFonts w:ascii="Arial" w:cs="Arial" w:eastAsia="Arial" w:hAnsi="Arial"/>
                  <w:sz w:val="18"/>
                  <w:szCs w:val="18"/>
                  <w:i w:val="1"/>
                  <w:iCs w:val="1"/>
                  <w:u w:val="single" w:color="auto"/>
                  <w:color w:val="0000FF"/>
                </w:rPr>
                <w:t xml:space="preserve">Schedule II: </w:t>
              </w:r>
              <w:r>
                <w:rPr>
                  <w:rFonts w:ascii="Arial" w:cs="Arial" w:eastAsia="Arial" w:hAnsi="Arial"/>
                  <w:sz w:val="18"/>
                  <w:szCs w:val="18"/>
                  <w:u w:val="single" w:color="auto"/>
                  <w:color w:val="0000FF"/>
                </w:rPr>
                <w:t>Fidelity National Financial, Inc. (Parent Company Financial Statements)</w:t>
              </w:r>
            </w:hyperlink>
          </w:p>
        </w:tc>
        <w:tc>
          <w:tcPr>
            <w:tcW w:w="260" w:type="dxa"/>
            <w:vAlign w:val="bottom"/>
            <w:tcBorders>
              <w:bottom w:val="single" w:sz="8" w:color="3051F2"/>
            </w:tcBorders>
            <w:gridSpan w:val="2"/>
          </w:tcPr>
          <w:p>
            <w:pPr>
              <w:jc w:val="right"/>
              <w:spacing w:after="0"/>
              <w:rPr>
                <w:sz w:val="20"/>
                <w:szCs w:val="20"/>
                <w:color w:val="auto"/>
              </w:rPr>
            </w:pPr>
            <w:r>
              <w:rPr>
                <w:rFonts w:ascii="Arial" w:cs="Arial" w:eastAsia="Arial" w:hAnsi="Arial"/>
                <w:sz w:val="18"/>
                <w:szCs w:val="18"/>
                <w:color w:val="3051F2"/>
                <w:w w:val="79"/>
              </w:rPr>
              <w:t>171</w:t>
            </w:r>
          </w:p>
        </w:tc>
      </w:tr>
      <w:tr>
        <w:trPr>
          <w:trHeight w:val="209"/>
        </w:trPr>
        <w:tc>
          <w:tcPr>
            <w:tcW w:w="10900" w:type="dxa"/>
            <w:vAlign w:val="bottom"/>
            <w:gridSpan w:val="3"/>
          </w:tcPr>
          <w:p>
            <w:pPr>
              <w:spacing w:after="0"/>
              <w:rPr>
                <w:rFonts w:ascii="Arial" w:cs="Arial" w:eastAsia="Arial" w:hAnsi="Arial"/>
                <w:sz w:val="18"/>
                <w:szCs w:val="18"/>
                <w:i w:val="1"/>
                <w:iCs w:val="1"/>
                <w:color w:val="0000FF"/>
              </w:rPr>
            </w:pPr>
            <w:hyperlink w:anchor="page176">
              <w:r>
                <w:rPr>
                  <w:rFonts w:ascii="Arial" w:cs="Arial" w:eastAsia="Arial" w:hAnsi="Arial"/>
                  <w:sz w:val="18"/>
                  <w:szCs w:val="18"/>
                  <w:i w:val="1"/>
                  <w:iCs w:val="1"/>
                  <w:color w:val="0000FF"/>
                </w:rPr>
                <w:t xml:space="preserve">Schedule </w:t>
              </w:r>
            </w:hyperlink>
            <w:r>
              <w:rPr>
                <w:rFonts w:ascii="Arial" w:cs="Arial" w:eastAsia="Arial" w:hAnsi="Arial"/>
                <w:sz w:val="18"/>
                <w:szCs w:val="18"/>
                <w:i w:val="1"/>
                <w:iCs w:val="1"/>
                <w:color w:val="0000FF"/>
              </w:rPr>
              <w:t xml:space="preserve">III: </w:t>
            </w:r>
            <w:hyperlink w:anchor="page176">
              <w:r>
                <w:rPr>
                  <w:rFonts w:ascii="Arial" w:cs="Arial" w:eastAsia="Arial" w:hAnsi="Arial"/>
                  <w:sz w:val="18"/>
                  <w:szCs w:val="18"/>
                  <w:u w:val="single" w:color="auto"/>
                  <w:color w:val="0000FF"/>
                </w:rPr>
                <w:t>F&amp;G Supplementary Insurance Information</w:t>
              </w:r>
            </w:hyperlink>
          </w:p>
        </w:tc>
        <w:tc>
          <w:tcPr>
            <w:tcW w:w="260" w:type="dxa"/>
            <w:vAlign w:val="bottom"/>
            <w:gridSpan w:val="2"/>
          </w:tcPr>
          <w:p>
            <w:pPr>
              <w:jc w:val="right"/>
              <w:spacing w:after="0"/>
              <w:rPr>
                <w:sz w:val="20"/>
                <w:szCs w:val="20"/>
                <w:color w:val="auto"/>
              </w:rPr>
            </w:pPr>
            <w:r>
              <w:rPr>
                <w:rFonts w:ascii="Arial" w:cs="Arial" w:eastAsia="Arial" w:hAnsi="Arial"/>
                <w:sz w:val="18"/>
                <w:szCs w:val="18"/>
                <w:color w:val="3051F2"/>
                <w:w w:val="79"/>
              </w:rPr>
              <w:t>175</w:t>
            </w:r>
          </w:p>
        </w:tc>
      </w:tr>
      <w:tr>
        <w:trPr>
          <w:trHeight w:val="20"/>
        </w:trPr>
        <w:tc>
          <w:tcPr>
            <w:tcW w:w="9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10900" w:type="dxa"/>
            <w:vAlign w:val="bottom"/>
            <w:gridSpan w:val="3"/>
          </w:tcPr>
          <w:p>
            <w:pPr>
              <w:spacing w:after="0"/>
              <w:rPr>
                <w:rFonts w:ascii="Arial" w:cs="Arial" w:eastAsia="Arial" w:hAnsi="Arial"/>
                <w:sz w:val="18"/>
                <w:szCs w:val="18"/>
                <w:i w:val="1"/>
                <w:iCs w:val="1"/>
                <w:color w:val="0000FF"/>
              </w:rPr>
            </w:pPr>
            <w:hyperlink w:anchor="page178">
              <w:r>
                <w:rPr>
                  <w:rFonts w:ascii="Arial" w:cs="Arial" w:eastAsia="Arial" w:hAnsi="Arial"/>
                  <w:sz w:val="18"/>
                  <w:szCs w:val="18"/>
                  <w:i w:val="1"/>
                  <w:iCs w:val="1"/>
                  <w:color w:val="0000FF"/>
                </w:rPr>
                <w:t xml:space="preserve">Schedule IV: </w:t>
              </w:r>
              <w:r>
                <w:rPr>
                  <w:rFonts w:ascii="Arial" w:cs="Arial" w:eastAsia="Arial" w:hAnsi="Arial"/>
                  <w:sz w:val="18"/>
                  <w:szCs w:val="18"/>
                  <w:color w:val="0000FF"/>
                </w:rPr>
                <w:t>F&amp;G Reinsurance</w:t>
              </w:r>
            </w:hyperlink>
          </w:p>
        </w:tc>
        <w:tc>
          <w:tcPr>
            <w:tcW w:w="260" w:type="dxa"/>
            <w:vAlign w:val="bottom"/>
            <w:gridSpan w:val="2"/>
          </w:tcPr>
          <w:p>
            <w:pPr>
              <w:jc w:val="right"/>
              <w:spacing w:after="0"/>
              <w:rPr>
                <w:sz w:val="20"/>
                <w:szCs w:val="20"/>
                <w:color w:val="auto"/>
              </w:rPr>
            </w:pPr>
            <w:r>
              <w:rPr>
                <w:rFonts w:ascii="Arial" w:cs="Arial" w:eastAsia="Arial" w:hAnsi="Arial"/>
                <w:sz w:val="18"/>
                <w:szCs w:val="18"/>
                <w:color w:val="3051F2"/>
                <w:w w:val="79"/>
              </w:rPr>
              <w:t>176</w:t>
            </w:r>
          </w:p>
        </w:tc>
      </w:tr>
      <w:tr>
        <w:trPr>
          <w:trHeight w:val="20"/>
        </w:trPr>
        <w:tc>
          <w:tcPr>
            <w:tcW w:w="9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bl>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40" w:type="dxa"/>
            <w:vAlign w:val="bottom"/>
            <w:gridSpan w:val="3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4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7"/>
              </w:rPr>
            </w:pPr>
            <w:hyperlink r:id="rId234">
              <w:r>
                <w:rPr>
                  <w:rFonts w:ascii="Arial" w:cs="Arial" w:eastAsia="Arial" w:hAnsi="Arial"/>
                  <w:sz w:val="18"/>
                  <w:szCs w:val="18"/>
                  <w:color w:val="0000FF"/>
                  <w:w w:val="97"/>
                </w:rPr>
                <w:t>Reorganization Agreement, dated as of June 8, 2017, by and among Fidelity National Financial, Inc., Black Knight Holdings, Inc., and New</w:t>
              </w:r>
            </w:hyperlink>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0" w:type="dxa"/>
            <w:vAlign w:val="bottom"/>
            <w:tcBorders>
              <w:top w:val="single" w:sz="8" w:color="0000FF"/>
            </w:tcBorders>
            <w:gridSpan w:val="33"/>
          </w:tcPr>
          <w:p>
            <w:pPr>
              <w:spacing w:after="0" w:line="195" w:lineRule="exact"/>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BKH Corp. (incorporated by reference to Exhibit 2.1 to the Registrant’s Current Report on Form 8-K filed on June 9, 2017)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87"/>
              </w:rPr>
              <w:t>2.2</w:t>
            </w:r>
          </w:p>
        </w:tc>
        <w:tc>
          <w:tcPr>
            <w:tcW w:w="160" w:type="dxa"/>
            <w:vAlign w:val="bottom"/>
          </w:tcPr>
          <w:p>
            <w:pPr>
              <w:spacing w:after="0"/>
              <w:rPr>
                <w:sz w:val="16"/>
                <w:szCs w:val="16"/>
                <w:color w:val="auto"/>
              </w:rPr>
            </w:pPr>
          </w:p>
        </w:tc>
        <w:tc>
          <w:tcPr>
            <w:tcW w:w="10700" w:type="dxa"/>
            <w:vAlign w:val="bottom"/>
            <w:gridSpan w:val="38"/>
          </w:tcPr>
          <w:p>
            <w:pPr>
              <w:spacing w:after="0" w:line="190"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Agreement and Plan of Merger, dated as of June 8, 2017, by and among Fidelity National Financial, Inc., New BKH Corp., Black Knight</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235">
              <w:r>
                <w:rPr>
                  <w:rFonts w:ascii="Arial" w:cs="Arial" w:eastAsia="Arial" w:hAnsi="Arial"/>
                  <w:sz w:val="18"/>
                  <w:szCs w:val="18"/>
                  <w:color w:val="0000FF"/>
                  <w:w w:val="94"/>
                </w:rPr>
                <w:t>Financial Services, Inc., Black Knight Holdco Corp., New BKH Merger Sub, Inc., and BKFS Merger Sub, Inc.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40" w:type="dxa"/>
            <w:vAlign w:val="bottom"/>
            <w:gridSpan w:val="35"/>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Exhibit 2.2 to the Registrant’s Current Report on Form 8-K filed on June 9,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8"/>
              </w:rPr>
            </w:pPr>
            <w:hyperlink r:id="rId236">
              <w:r>
                <w:rPr>
                  <w:rFonts w:ascii="Arial" w:cs="Arial" w:eastAsia="Arial" w:hAnsi="Arial"/>
                  <w:sz w:val="18"/>
                  <w:szCs w:val="18"/>
                  <w:color w:val="0000FF"/>
                  <w:w w:val="98"/>
                </w:rPr>
                <w:t>Reorganization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236">
              <w:r>
                <w:rPr>
                  <w:rFonts w:ascii="Arial" w:cs="Arial" w:eastAsia="Arial" w:hAnsi="Arial"/>
                  <w:sz w:val="18"/>
                  <w:szCs w:val="18"/>
                  <w:color w:val="0000FF"/>
                  <w:w w:val="91"/>
                </w:rPr>
                <w:t>(incorporated by reference to Exhibit 2.1 to the Registrant’s Current Report on Form 8-K filed on November 20, 2017)</w:t>
              </w:r>
            </w:hyperlink>
          </w:p>
        </w:tc>
        <w:tc>
          <w:tcPr>
            <w:tcW w:w="20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5"/>
              </w:rPr>
            </w:pPr>
            <w:hyperlink r:id="rId237">
              <w:r>
                <w:rPr>
                  <w:rFonts w:ascii="Arial" w:cs="Arial" w:eastAsia="Arial" w:hAnsi="Arial"/>
                  <w:sz w:val="18"/>
                  <w:szCs w:val="18"/>
                  <w:color w:val="0000FF"/>
                  <w:w w:val="95"/>
                </w:rPr>
                <w:t>Agreement and Plan of Merger, dated February 7, 2020, by and between FGL Holdings, Fidelity National Financial, Inc., F Corp I and F Corp</w:t>
              </w:r>
            </w:hyperlink>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tcBorders>
              <w:top w:val="single" w:sz="8" w:color="0000FF"/>
            </w:tcBorders>
            <w:gridSpan w:val="18"/>
          </w:tcPr>
          <w:p>
            <w:pPr>
              <w:spacing w:after="0" w:line="195" w:lineRule="exact"/>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II. (incorporated by reference to Exhibit 2.1 to the Registrant's Current Report on Form 8-K filed on February 7, 2020)</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87"/>
              </w:rPr>
              <w:t>2.5</w:t>
            </w:r>
          </w:p>
        </w:tc>
        <w:tc>
          <w:tcPr>
            <w:tcW w:w="160" w:type="dxa"/>
            <w:vAlign w:val="bottom"/>
          </w:tcPr>
          <w:p>
            <w:pPr>
              <w:spacing w:after="0"/>
              <w:rPr>
                <w:sz w:val="16"/>
                <w:szCs w:val="16"/>
                <w:color w:val="auto"/>
              </w:rPr>
            </w:pPr>
          </w:p>
        </w:tc>
        <w:tc>
          <w:tcPr>
            <w:tcW w:w="10700" w:type="dxa"/>
            <w:vAlign w:val="bottom"/>
            <w:gridSpan w:val="38"/>
          </w:tcPr>
          <w:p>
            <w:pPr>
              <w:spacing w:after="0" w:line="190" w:lineRule="exact"/>
              <w:rPr>
                <w:rFonts w:ascii="Arial" w:cs="Arial" w:eastAsia="Arial" w:hAnsi="Arial"/>
                <w:sz w:val="18"/>
                <w:szCs w:val="18"/>
                <w:color w:val="0000FF"/>
                <w:w w:val="94"/>
              </w:rPr>
            </w:pPr>
            <w:hyperlink r:id="rId238">
              <w:r>
                <w:rPr>
                  <w:rFonts w:ascii="Arial" w:cs="Arial" w:eastAsia="Arial" w:hAnsi="Arial"/>
                  <w:sz w:val="18"/>
                  <w:szCs w:val="18"/>
                  <w:color w:val="0000FF"/>
                  <w:w w:val="94"/>
                </w:rPr>
                <w:t>First Amendment to the Agreement and Plan of Merger, dated as of April 24, 2020, by and between Fidelity National Financial, Inc., F I Corp.,</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F II Corp., and FGL Holdings (incorporated by reference to Exhibit 2.2 to the Registrant’s Registration Statement on Form S-4/A filed on April</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3"/>
                <w:szCs w:val="13"/>
                <w:color w:val="auto"/>
              </w:rPr>
            </w:pPr>
          </w:p>
        </w:tc>
        <w:tc>
          <w:tcPr>
            <w:tcW w:w="68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238">
              <w:r>
                <w:rPr>
                  <w:rFonts w:ascii="Arial" w:cs="Arial" w:eastAsia="Arial" w:hAnsi="Arial"/>
                  <w:sz w:val="18"/>
                  <w:szCs w:val="18"/>
                  <w:color w:val="0000FF"/>
                  <w:w w:val="86"/>
                </w:rPr>
                <w:t>24, 2020)</w:t>
              </w:r>
            </w:hyperlink>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700" w:type="dxa"/>
            <w:vAlign w:val="bottom"/>
            <w:gridSpan w:val="38"/>
          </w:tcPr>
          <w:p>
            <w:pPr>
              <w:spacing w:after="0"/>
              <w:rPr>
                <w:rFonts w:ascii="Arial" w:cs="Arial" w:eastAsia="Arial" w:hAnsi="Arial"/>
                <w:sz w:val="18"/>
                <w:szCs w:val="18"/>
                <w:color w:val="0000FF"/>
                <w:w w:val="94"/>
              </w:rPr>
            </w:pPr>
            <w:hyperlink r:id="rId239">
              <w:r>
                <w:rPr>
                  <w:rFonts w:ascii="Arial" w:cs="Arial" w:eastAsia="Arial" w:hAnsi="Arial"/>
                  <w:sz w:val="18"/>
                  <w:szCs w:val="18"/>
                  <w:color w:val="0000FF"/>
                  <w:w w:val="94"/>
                </w:rPr>
                <w:t>Fifth Amended and Restated Certificate of Incorporation (incorporated by reference to Exhibit 3.1 to the Company's Current Report on Form 8-</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39">
              <w:r>
                <w:rPr>
                  <w:rFonts w:ascii="Arial" w:cs="Arial" w:eastAsia="Arial" w:hAnsi="Arial"/>
                  <w:sz w:val="18"/>
                  <w:szCs w:val="18"/>
                  <w:color w:val="0000FF"/>
                  <w:w w:val="90"/>
                </w:rPr>
                <w:t>K filed on June 13, 2018)</w:t>
              </w:r>
            </w:hyperlink>
          </w:p>
        </w:tc>
        <w:tc>
          <w:tcPr>
            <w:tcW w:w="85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1"/>
                <w:szCs w:val="21"/>
                <w:color w:val="auto"/>
              </w:rPr>
            </w:pPr>
          </w:p>
        </w:tc>
        <w:tc>
          <w:tcPr>
            <w:tcW w:w="10700" w:type="dxa"/>
            <w:vAlign w:val="bottom"/>
            <w:gridSpan w:val="38"/>
          </w:tcPr>
          <w:p>
            <w:pPr>
              <w:spacing w:after="0"/>
              <w:rPr>
                <w:rFonts w:ascii="Arial" w:cs="Arial" w:eastAsia="Arial" w:hAnsi="Arial"/>
                <w:sz w:val="18"/>
                <w:szCs w:val="18"/>
                <w:color w:val="0000FF"/>
                <w:w w:val="94"/>
              </w:rPr>
            </w:pPr>
            <w:hyperlink r:id="rId240">
              <w:r>
                <w:rPr>
                  <w:rFonts w:ascii="Arial" w:cs="Arial" w:eastAsia="Arial" w:hAnsi="Arial"/>
                  <w:sz w:val="18"/>
                  <w:szCs w:val="18"/>
                  <w:color w:val="0000FF"/>
                  <w:w w:val="94"/>
                </w:rPr>
                <w:t>Fourth Amended and Restated Bylaws of Fidelity National Financial, Inc., February 1, 2017 (incorporated by reference to Exhibit 3.1 to Fidelity</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National Financial, Inc.’s Current Report on Form 8-K, dated February 2,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6"/>
              </w:rPr>
            </w:pPr>
            <w:hyperlink r:id="rId241">
              <w:r>
                <w:rPr>
                  <w:rFonts w:ascii="Arial" w:cs="Arial" w:eastAsia="Arial" w:hAnsi="Arial"/>
                  <w:sz w:val="18"/>
                  <w:szCs w:val="18"/>
                  <w:color w:val="0000FF"/>
                  <w:w w:val="96"/>
                </w:rPr>
                <w:t>Indenture between the Registrant and The Bank of New York Trust Company, N.A., dated December 8, 2005 (incorporated by reference to</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41">
              <w:r>
                <w:rPr>
                  <w:rFonts w:ascii="Arial" w:cs="Arial" w:eastAsia="Arial" w:hAnsi="Arial"/>
                  <w:sz w:val="18"/>
                  <w:szCs w:val="18"/>
                  <w:color w:val="0000FF"/>
                </w:rPr>
                <w:t>Exhibit 4.1 to the Registrant’s Annual Report on Form 10-K for the year ended December 31, 2005)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rPr>
            </w:pPr>
            <w:hyperlink r:id="rId242">
              <w:r>
                <w:rPr>
                  <w:rFonts w:ascii="Arial" w:cs="Arial" w:eastAsia="Arial" w:hAnsi="Arial"/>
                  <w:sz w:val="18"/>
                  <w:szCs w:val="18"/>
                  <w:color w:val="0000FF"/>
                </w:rPr>
                <w:t>First Supplemental Indenture between the Registrant and the Bank of New York Trust Company, N.A., dated as of January 6, 2006</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42">
              <w:r>
                <w:rPr>
                  <w:rFonts w:ascii="Arial" w:cs="Arial" w:eastAsia="Arial" w:hAnsi="Arial"/>
                  <w:sz w:val="18"/>
                  <w:szCs w:val="18"/>
                  <w:color w:val="0000FF"/>
                </w:rPr>
                <w:t>(incorporated by reference to Exhibit 4.1 to the Registrant’s Current Report on Form 8-K filed on January 24,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rPr>
            </w:pPr>
            <w:hyperlink r:id="rId243">
              <w:r>
                <w:rPr>
                  <w:rFonts w:ascii="Arial" w:cs="Arial" w:eastAsia="Arial" w:hAnsi="Arial"/>
                  <w:sz w:val="18"/>
                  <w:szCs w:val="18"/>
                  <w:color w:val="0000FF"/>
                </w:rPr>
                <w:t>Second Supplemental Indenture, dated May 5, 2010, between the Registrant and The Bank of New York Mellon Trust Company, N.A.</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43">
              <w:r>
                <w:rPr>
                  <w:rFonts w:ascii="Arial" w:cs="Arial" w:eastAsia="Arial" w:hAnsi="Arial"/>
                  <w:sz w:val="18"/>
                  <w:szCs w:val="18"/>
                  <w:color w:val="0000FF"/>
                </w:rPr>
                <w:t>(incorporated by reference to Exhibit 4.1 to the Registrant's Current Report on Form 8-K filed on May 5,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5"/>
              </w:rPr>
            </w:pPr>
            <w:hyperlink r:id="rId244">
              <w:r>
                <w:rPr>
                  <w:rFonts w:ascii="Arial" w:cs="Arial" w:eastAsia="Arial" w:hAnsi="Arial"/>
                  <w:sz w:val="18"/>
                  <w:szCs w:val="18"/>
                  <w:color w:val="0000FF"/>
                  <w:w w:val="95"/>
                </w:rPr>
                <w:t>Officers’ Certificate, dated August 28, 2012, pursuant to the Indenture dated December 8, 2005, as supplemented by the First Supplemental</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9"/>
              </w:rPr>
            </w:pPr>
            <w:hyperlink r:id="rId244">
              <w:r>
                <w:rPr>
                  <w:rFonts w:ascii="Arial" w:cs="Arial" w:eastAsia="Arial" w:hAnsi="Arial"/>
                  <w:sz w:val="18"/>
                  <w:szCs w:val="18"/>
                  <w:color w:val="0000FF"/>
                  <w:w w:val="89"/>
                </w:rPr>
                <w:t>Indenture dated as of January 6, 2006 and as further supplemented by the Second Supplemental Indenture dated as of May 5, 2010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80" w:type="dxa"/>
            <w:vAlign w:val="bottom"/>
            <w:gridSpan w:val="37"/>
          </w:tcPr>
          <w:p>
            <w:pPr>
              <w:spacing w:after="0" w:line="156" w:lineRule="exact"/>
              <w:rPr>
                <w:rFonts w:ascii="Arial" w:cs="Arial" w:eastAsia="Arial" w:hAnsi="Arial"/>
                <w:sz w:val="18"/>
                <w:szCs w:val="18"/>
                <w:color w:val="0000FF"/>
              </w:rPr>
            </w:pPr>
            <w:hyperlink r:id="rId244">
              <w:r>
                <w:rPr>
                  <w:rFonts w:ascii="Arial" w:cs="Arial" w:eastAsia="Arial" w:hAnsi="Arial"/>
                  <w:sz w:val="18"/>
                  <w:szCs w:val="18"/>
                  <w:color w:val="0000FF"/>
                </w:rPr>
                <w:t>by reference to Exhibit 4.1 to the Registrant's Current Report on Form 8-K filed on August 28, 2012)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9"/>
              </w:rPr>
            </w:pPr>
            <w:hyperlink r:id="rId245">
              <w:r>
                <w:rPr>
                  <w:rFonts w:ascii="Arial" w:cs="Arial" w:eastAsia="Arial" w:hAnsi="Arial"/>
                  <w:sz w:val="18"/>
                  <w:szCs w:val="18"/>
                  <w:color w:val="0000FF"/>
                  <w:w w:val="99"/>
                </w:rPr>
                <w:t>Form of Subordinated Indenture between the Registrant and the Bank of New York Trust Company, N.A. (incorporated by reference to</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45">
              <w:r>
                <w:rPr>
                  <w:rFonts w:ascii="Arial" w:cs="Arial" w:eastAsia="Arial" w:hAnsi="Arial"/>
                  <w:sz w:val="18"/>
                  <w:szCs w:val="18"/>
                  <w:color w:val="0000FF"/>
                </w:rPr>
                <w:t>Exhibit 4.2 (A) to the Registrant’s Registration Statement on Form S-3 filed on November 14,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8"/>
              </w:rPr>
            </w:pPr>
            <w:hyperlink r:id="rId246">
              <w:r>
                <w:rPr>
                  <w:rFonts w:ascii="Arial" w:cs="Arial" w:eastAsia="Arial" w:hAnsi="Arial"/>
                  <w:sz w:val="18"/>
                  <w:szCs w:val="18"/>
                  <w:color w:val="0000FF"/>
                  <w:w w:val="98"/>
                </w:rPr>
                <w:t>Fourth Supplemental Indenture, dated August 13, 2018, between the Registrant and The Bank of New York Mellon Trust Company, N.A.</w:t>
              </w:r>
            </w:hyperlink>
          </w:p>
        </w:tc>
        <w:tc>
          <w:tcPr>
            <w:tcW w:w="0" w:type="dxa"/>
            <w:vAlign w:val="bottom"/>
          </w:tcPr>
          <w:p>
            <w:pPr>
              <w:spacing w:after="0"/>
              <w:rPr>
                <w:sz w:val="1"/>
                <w:szCs w:val="1"/>
                <w:color w:val="auto"/>
              </w:rPr>
            </w:pPr>
          </w:p>
        </w:tc>
      </w:tr>
      <w:tr>
        <w:trPr>
          <w:trHeight w:val="155"/>
        </w:trPr>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160" w:type="dxa"/>
            <w:vAlign w:val="bottom"/>
          </w:tcPr>
          <w:p>
            <w:pPr>
              <w:spacing w:after="0"/>
              <w:rPr>
                <w:sz w:val="13"/>
                <w:szCs w:val="13"/>
                <w:color w:val="auto"/>
              </w:rPr>
            </w:pPr>
          </w:p>
        </w:tc>
        <w:tc>
          <w:tcPr>
            <w:tcW w:w="10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(incorporated by reference to Exhibit 4.4 to the Registrant's Current Report on Form 8-K filed on August 13, 2018)</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700" w:type="dxa"/>
            <w:vAlign w:val="bottom"/>
            <w:gridSpan w:val="38"/>
          </w:tcPr>
          <w:p>
            <w:pPr>
              <w:spacing w:after="0"/>
              <w:rPr>
                <w:rFonts w:ascii="Arial" w:cs="Arial" w:eastAsia="Arial" w:hAnsi="Arial"/>
                <w:sz w:val="18"/>
                <w:szCs w:val="18"/>
                <w:color w:val="0000FF"/>
                <w:w w:val="94"/>
              </w:rPr>
            </w:pPr>
            <w:hyperlink r:id="rId246">
              <w:r>
                <w:rPr>
                  <w:rFonts w:ascii="Arial" w:cs="Arial" w:eastAsia="Arial" w:hAnsi="Arial"/>
                  <w:sz w:val="18"/>
                  <w:szCs w:val="18"/>
                  <w:color w:val="0000FF"/>
                  <w:w w:val="94"/>
                </w:rPr>
                <w:t>Form of 4.50% Senior Note of the Registrant due 2028 (incorporated by reference to Exhibit A to Exhibit 4.4 to the Registrant's Current Report</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246">
              <w:r>
                <w:rPr>
                  <w:rFonts w:ascii="Arial" w:cs="Arial" w:eastAsia="Arial" w:hAnsi="Arial"/>
                  <w:sz w:val="18"/>
                  <w:szCs w:val="18"/>
                  <w:color w:val="0000FF"/>
                  <w:w w:val="92"/>
                </w:rPr>
                <w:t>on Form 8-K filed on August 13, 2018).</w:t>
              </w:r>
            </w:hyperlink>
          </w:p>
        </w:tc>
        <w:tc>
          <w:tcPr>
            <w:tcW w:w="74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60" w:type="dxa"/>
            <w:vAlign w:val="bottom"/>
          </w:tcPr>
          <w:p>
            <w:pPr>
              <w:spacing w:after="0"/>
              <w:rPr>
                <w:sz w:val="21"/>
                <w:szCs w:val="21"/>
                <w:color w:val="auto"/>
              </w:rPr>
            </w:pPr>
          </w:p>
        </w:tc>
        <w:tc>
          <w:tcPr>
            <w:tcW w:w="10700" w:type="dxa"/>
            <w:vAlign w:val="bottom"/>
            <w:gridSpan w:val="38"/>
          </w:tcPr>
          <w:p>
            <w:pPr>
              <w:spacing w:after="0"/>
              <w:rPr>
                <w:rFonts w:ascii="Arial" w:cs="Arial" w:eastAsia="Arial" w:hAnsi="Arial"/>
                <w:sz w:val="18"/>
                <w:szCs w:val="18"/>
                <w:color w:val="0000FF"/>
                <w:w w:val="93"/>
              </w:rPr>
            </w:pPr>
            <w:hyperlink r:id="rId247">
              <w:r>
                <w:rPr>
                  <w:rFonts w:ascii="Arial" w:cs="Arial" w:eastAsia="Arial" w:hAnsi="Arial"/>
                  <w:sz w:val="18"/>
                  <w:szCs w:val="18"/>
                  <w:color w:val="0000FF"/>
                  <w:w w:val="93"/>
                </w:rPr>
                <w:t xml:space="preserve">Specimen certificate for shares of the Registrant’s FNF Group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0.0001 per Share (incorporated by reference to Exhibit</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4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Registration Statement on Form S-4/A filed on May 5, 2014)</w:t>
              </w:r>
            </w:hyperlink>
          </w:p>
        </w:tc>
        <w:tc>
          <w:tcPr>
            <w:tcW w:w="4540" w:type="dxa"/>
            <w:vAlign w:val="bottom"/>
            <w:tcBorders>
              <w:top w:val="single" w:sz="8" w:color="0000FF"/>
            </w:tcBorders>
            <w:gridSpan w:val="20"/>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8"/>
              </w:rPr>
            </w:pPr>
            <w:hyperlink r:id="rId248">
              <w:r>
                <w:rPr>
                  <w:rFonts w:ascii="Arial" w:cs="Arial" w:eastAsia="Arial" w:hAnsi="Arial"/>
                  <w:sz w:val="18"/>
                  <w:szCs w:val="18"/>
                  <w:color w:val="0000FF"/>
                  <w:w w:val="98"/>
                </w:rPr>
                <w:t>Description of FNF Common Stock (incorporated by reference to Exhibit 4.9 to the Registrant’s Annual Report on Form 10-K for the year</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5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ended December 31, 2019)</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gridSpan w:val="1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60" w:type="dxa"/>
            <w:vAlign w:val="bottom"/>
          </w:tcPr>
          <w:p>
            <w:pPr>
              <w:spacing w:after="0"/>
              <w:rPr>
                <w:sz w:val="18"/>
                <w:szCs w:val="18"/>
                <w:color w:val="auto"/>
              </w:rPr>
            </w:pPr>
          </w:p>
        </w:tc>
        <w:tc>
          <w:tcPr>
            <w:tcW w:w="10700" w:type="dxa"/>
            <w:vAlign w:val="bottom"/>
            <w:gridSpan w:val="38"/>
          </w:tcPr>
          <w:p>
            <w:pPr>
              <w:spacing w:after="0"/>
              <w:rPr>
                <w:rFonts w:ascii="Arial" w:cs="Arial" w:eastAsia="Arial" w:hAnsi="Arial"/>
                <w:sz w:val="18"/>
                <w:szCs w:val="18"/>
                <w:color w:val="0000FF"/>
                <w:w w:val="95"/>
              </w:rPr>
            </w:pPr>
            <w:hyperlink r:id="rId249">
              <w:r>
                <w:rPr>
                  <w:rFonts w:ascii="Arial" w:cs="Arial" w:eastAsia="Arial" w:hAnsi="Arial"/>
                  <w:sz w:val="18"/>
                  <w:szCs w:val="18"/>
                  <w:color w:val="0000FF"/>
                  <w:w w:val="95"/>
                </w:rPr>
                <w:t>Supplemental Indenture, dated as of June 1, 2020, by and among Fidelity &amp; Guaranty Life Holdings, Inc., Fidelity National Financial, Inc., and</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6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249">
              <w:r>
                <w:rPr>
                  <w:rFonts w:ascii="Arial" w:cs="Arial" w:eastAsia="Arial" w:hAnsi="Arial"/>
                  <w:sz w:val="18"/>
                  <w:szCs w:val="18"/>
                  <w:color w:val="0000FF"/>
                  <w:w w:val="94"/>
                </w:rPr>
                <w:t>Wells Fargo Bank, National Association, as trustee (incorporated by reference to Exhibit 4.1 to the Registrant's Current Report on Form 8-K</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5"/>
              </w:rPr>
              <w:t>4.11</w:t>
            </w:r>
          </w:p>
        </w:tc>
        <w:tc>
          <w:tcPr>
            <w:tcW w:w="16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249">
              <w:r>
                <w:rPr>
                  <w:rFonts w:ascii="Arial" w:cs="Arial" w:eastAsia="Arial" w:hAnsi="Arial"/>
                  <w:sz w:val="18"/>
                  <w:szCs w:val="18"/>
                  <w:color w:val="0000FF"/>
                  <w:w w:val="89"/>
                </w:rPr>
                <w:t>filed on June 1, 2020).</w:t>
              </w:r>
            </w:hyperlink>
          </w:p>
        </w:tc>
        <w:tc>
          <w:tcPr>
            <w:tcW w:w="8820" w:type="dxa"/>
            <w:vAlign w:val="bottom"/>
            <w:tcBorders>
              <w:top w:val="single" w:sz="8" w:color="0000FF"/>
            </w:tcBorders>
            <w:gridSpan w:val="23"/>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700" w:type="dxa"/>
            <w:vAlign w:val="bottom"/>
            <w:gridSpan w:val="38"/>
          </w:tcPr>
          <w:p>
            <w:pPr>
              <w:spacing w:after="0"/>
              <w:rPr>
                <w:rFonts w:ascii="Arial" w:cs="Arial" w:eastAsia="Arial" w:hAnsi="Arial"/>
                <w:sz w:val="18"/>
                <w:szCs w:val="18"/>
                <w:color w:val="0000FF"/>
                <w:w w:val="98"/>
              </w:rPr>
            </w:pPr>
            <w:hyperlink r:id="rId250">
              <w:r>
                <w:rPr>
                  <w:rFonts w:ascii="Arial" w:cs="Arial" w:eastAsia="Arial" w:hAnsi="Arial"/>
                  <w:sz w:val="18"/>
                  <w:szCs w:val="18"/>
                  <w:color w:val="0000FF"/>
                  <w:w w:val="98"/>
                </w:rPr>
                <w:t>Indenture, dated as of April 20, 2018, by and among Fidelity &amp; Guaranty Life Holdings, Inc., the guarantors party thereto and Wells Fargo</w:t>
              </w:r>
            </w:hyperlink>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80" w:type="dxa"/>
            <w:vAlign w:val="bottom"/>
            <w:tcBorders>
              <w:top w:val="single" w:sz="8" w:color="0000FF"/>
            </w:tcBorders>
            <w:gridSpan w:val="17"/>
          </w:tcPr>
          <w:p>
            <w:pPr>
              <w:spacing w:after="0" w:line="182" w:lineRule="exact"/>
              <w:rPr>
                <w:rFonts w:ascii="Arial" w:cs="Arial" w:eastAsia="Arial" w:hAnsi="Arial"/>
                <w:sz w:val="18"/>
                <w:szCs w:val="18"/>
                <w:color w:val="0000FF"/>
                <w:w w:val="91"/>
              </w:rPr>
            </w:pPr>
            <w:hyperlink r:id="rId250">
              <w:r>
                <w:rPr>
                  <w:rFonts w:ascii="Arial" w:cs="Arial" w:eastAsia="Arial" w:hAnsi="Arial"/>
                  <w:sz w:val="18"/>
                  <w:szCs w:val="18"/>
                  <w:color w:val="0000FF"/>
                  <w:w w:val="91"/>
                </w:rPr>
                <w:t>Bank, National Association, as trustee (incorporated by reference to Exhibit 4.1 to the Current Report on Form 8-K filed by FGL Holdings</w:t>
              </w:r>
            </w:hyperlink>
          </w:p>
        </w:tc>
        <w:tc>
          <w:tcPr>
            <w:tcW w:w="720" w:type="dxa"/>
            <w:vAlign w:val="bottom"/>
            <w:gridSpan w:val="21"/>
          </w:tcPr>
          <w:p>
            <w:pPr>
              <w:ind w:left="40"/>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2"/>
              </w:rPr>
            </w:pPr>
            <w:hyperlink r:id="rId250">
              <w:r>
                <w:rPr>
                  <w:rFonts w:ascii="Arial" w:cs="Arial" w:eastAsia="Arial" w:hAnsi="Arial"/>
                  <w:sz w:val="18"/>
                  <w:szCs w:val="18"/>
                  <w:color w:val="0000FF"/>
                  <w:w w:val="92"/>
                </w:rPr>
                <w:t>No. 001-37779) on April 25, 2018).</w:t>
              </w:r>
            </w:hyperlink>
          </w:p>
        </w:tc>
        <w:tc>
          <w:tcPr>
            <w:tcW w:w="7800" w:type="dxa"/>
            <w:vAlign w:val="bottom"/>
            <w:tcBorders>
              <w:top w:val="single" w:sz="8" w:color="0000FF"/>
            </w:tcBorders>
            <w:gridSpan w:val="17"/>
          </w:tcPr>
          <w:p>
            <w:pPr>
              <w:spacing w:after="0"/>
              <w:rPr>
                <w:sz w:val="15"/>
                <w:szCs w:val="15"/>
                <w:color w:val="auto"/>
              </w:rPr>
            </w:pPr>
          </w:p>
        </w:tc>
        <w:tc>
          <w:tcPr>
            <w:tcW w:w="3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color w:val="auto"/>
                <w:w w:val="98"/>
              </w:rPr>
              <w:t>Exhibit</w:t>
            </w:r>
          </w:p>
        </w:tc>
        <w:tc>
          <w:tcPr>
            <w:tcW w:w="3360" w:type="dxa"/>
            <w:vAlign w:val="bottom"/>
            <w:vMerge w:val="restart"/>
          </w:tcPr>
          <w:p>
            <w:pPr>
              <w:ind w:left="2460"/>
              <w:spacing w:after="0"/>
              <w:rPr>
                <w:sz w:val="20"/>
                <w:szCs w:val="20"/>
                <w:color w:val="auto"/>
              </w:rPr>
            </w:pPr>
            <w:r>
              <w:rPr>
                <w:rFonts w:ascii="Arial" w:cs="Arial" w:eastAsia="Arial" w:hAnsi="Arial"/>
                <w:sz w:val="18"/>
                <w:szCs w:val="18"/>
                <w:b w:val="1"/>
                <w:bCs w:val="1"/>
                <w:u w:val="single" w:color="auto"/>
                <w:color w:val="auto"/>
                <w:w w:val="88"/>
              </w:rPr>
              <w:t>Description</w:t>
            </w:r>
          </w:p>
        </w:tc>
        <w:tc>
          <w:tcPr>
            <w:tcW w:w="0" w:type="dxa"/>
            <w:vAlign w:val="bottom"/>
          </w:tcPr>
          <w:p>
            <w:pPr>
              <w:spacing w:after="0"/>
              <w:rPr>
                <w:sz w:val="1"/>
                <w:szCs w:val="1"/>
                <w:color w:val="auto"/>
              </w:rPr>
            </w:pPr>
          </w:p>
        </w:tc>
      </w:tr>
      <w:tr>
        <w:trPr>
          <w:trHeight w:val="189"/>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u w:val="single" w:color="auto"/>
                <w:color w:val="auto"/>
                <w:w w:val="94"/>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800" w:right="340" w:hanging="559"/>
        <w:spacing w:after="0" w:line="281"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4.12</w:t>
      </w:r>
      <w:r>
        <w:rPr>
          <w:sz w:val="20"/>
          <w:szCs w:val="20"/>
          <w:color w:val="auto"/>
        </w:rPr>
        <w:tab/>
      </w:r>
      <w:hyperlink r:id="rId252">
        <w:r>
          <w:rPr>
            <w:rFonts w:ascii="Arial" w:cs="Arial" w:eastAsia="Arial" w:hAnsi="Arial"/>
            <w:sz w:val="17"/>
            <w:szCs w:val="17"/>
            <w:u w:val="single" w:color="auto"/>
            <w:color w:val="0000FF"/>
          </w:rPr>
          <w:t>Fifth Supplemental Indenture, dated as of June 12, 2020, between Fidelity National Financial, Inc. and The Bank of New York Mellon Trust</w:t>
        </w:r>
      </w:hyperlink>
      <w:r>
        <w:rPr>
          <w:rFonts w:ascii="Arial" w:cs="Arial" w:eastAsia="Arial" w:hAnsi="Arial"/>
          <w:sz w:val="17"/>
          <w:szCs w:val="17"/>
          <w:u w:val="single" w:color="auto"/>
          <w:color w:val="0000FF"/>
        </w:rPr>
        <w:t xml:space="preserve"> </w:t>
      </w:r>
      <w:hyperlink r:id="rId252">
        <w:r>
          <w:rPr>
            <w:rFonts w:ascii="Arial" w:cs="Arial" w:eastAsia="Arial" w:hAnsi="Arial"/>
            <w:sz w:val="17"/>
            <w:szCs w:val="17"/>
            <w:u w:val="single" w:color="auto"/>
            <w:color w:val="0000FF"/>
          </w:rPr>
          <w:t>Company, N.A. (incorporated by reference to Exhibit 4.1 to the Registrant's Current Report on Form 8-K filed on June 12, 2020).</w:t>
        </w:r>
      </w:hyperlink>
    </w:p>
    <w:p>
      <w:pPr>
        <w:ind w:left="800" w:right="100" w:hanging="559"/>
        <w:spacing w:after="0" w:line="261"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252">
        <w:r>
          <w:rPr>
            <w:rFonts w:ascii="Arial" w:cs="Arial" w:eastAsia="Arial" w:hAnsi="Arial"/>
            <w:sz w:val="18"/>
            <w:szCs w:val="18"/>
            <w:u w:val="single" w:color="auto"/>
            <w:color w:val="0000FF"/>
          </w:rPr>
          <w:t>Form of 3.40% Senior Note of the Registrant due 2030 (included in Exhibit 4.12 hereto which is incorporated by reference to Exhibit 4.1 to the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Registrant's Current Report on Form 8-K filed on June 12, 2020)</w:t>
        </w:r>
      </w:hyperlink>
    </w:p>
    <w:p>
      <w:pPr>
        <w:spacing w:after="0" w:line="9" w:lineRule="exact"/>
        <w:rPr>
          <w:sz w:val="20"/>
          <w:szCs w:val="20"/>
          <w:color w:val="auto"/>
        </w:rPr>
      </w:pPr>
    </w:p>
    <w:p>
      <w:pPr>
        <w:jc w:val="both"/>
        <w:ind w:left="800" w:hanging="559"/>
        <w:spacing w:after="0" w:line="264"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4.14</w:t>
      </w:r>
      <w:r>
        <w:rPr>
          <w:sz w:val="20"/>
          <w:szCs w:val="20"/>
          <w:color w:val="auto"/>
        </w:rPr>
        <w:tab/>
      </w:r>
      <w:hyperlink r:id="rId253">
        <w:r>
          <w:rPr>
            <w:rFonts w:ascii="Arial" w:cs="Arial" w:eastAsia="Arial" w:hAnsi="Arial"/>
            <w:sz w:val="16"/>
            <w:szCs w:val="16"/>
            <w:u w:val="single" w:color="auto"/>
            <w:color w:val="0000FF"/>
          </w:rPr>
          <w:t>Sixth Supplemental Indenture, dated as of September 15, 2020, between Fidelity National Financial, Inc. and The Bank of New York Mellon</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Trust Company, N.A. (incorporated by reference to Exhibit 4.1 to the Registrant's Current Report on Form 8-K filed on September 15, 2020).</w:t>
        </w:r>
      </w:hyperlink>
    </w:p>
    <w:p>
      <w:pPr>
        <w:spacing w:after="0" w:line="1" w:lineRule="exact"/>
        <w:rPr>
          <w:sz w:val="20"/>
          <w:szCs w:val="20"/>
          <w:color w:val="auto"/>
        </w:rPr>
      </w:pPr>
    </w:p>
    <w:p>
      <w:pPr>
        <w:jc w:val="both"/>
        <w:ind w:left="800" w:right="20" w:hanging="559"/>
        <w:spacing w:after="0" w:line="261"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253">
        <w:r>
          <w:rPr>
            <w:rFonts w:ascii="Arial" w:cs="Arial" w:eastAsia="Arial" w:hAnsi="Arial"/>
            <w:sz w:val="18"/>
            <w:szCs w:val="18"/>
            <w:u w:val="single" w:color="auto"/>
            <w:color w:val="0000FF"/>
          </w:rPr>
          <w:t>Form of 2.450% Senior Note of the Registrant due 2031 (included in Exhibit 4.14 hereto which is incorporated by reference to Exhibit 4.1 to the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 xml:space="preserve">Registrant's Current Report on Form 8-K filed on </w:t>
        </w:r>
        <w:r>
          <w:rPr>
            <w:rFonts w:ascii="Arial" w:cs="Arial" w:eastAsia="Arial" w:hAnsi="Arial"/>
            <w:sz w:val="18"/>
            <w:szCs w:val="18"/>
            <w:u w:val="single" w:color="auto"/>
            <w:color w:val="0000FF"/>
            <w:highlight w:val="white"/>
          </w:rPr>
          <w:t>September 15, 2020</w:t>
        </w:r>
        <w:r>
          <w:rPr>
            <w:rFonts w:ascii="Arial" w:cs="Arial" w:eastAsia="Arial" w:hAnsi="Arial"/>
            <w:sz w:val="18"/>
            <w:szCs w:val="18"/>
            <w:u w:val="single" w:color="auto"/>
            <w:color w:val="0000FF"/>
          </w:rPr>
          <w:t>)</w:t>
        </w:r>
      </w:hyperlink>
    </w:p>
    <w:p>
      <w:pPr>
        <w:spacing w:after="0" w:line="8" w:lineRule="exact"/>
        <w:rPr>
          <w:sz w:val="20"/>
          <w:szCs w:val="20"/>
          <w:color w:val="auto"/>
        </w:rPr>
      </w:pPr>
    </w:p>
    <w:p>
      <w:pPr>
        <w:jc w:val="both"/>
        <w:ind w:left="800" w:hanging="559"/>
        <w:spacing w:after="0" w:line="237"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254">
        <w:r>
          <w:rPr>
            <w:rFonts w:ascii="Arial" w:cs="Arial" w:eastAsia="Arial" w:hAnsi="Arial"/>
            <w:sz w:val="17"/>
            <w:szCs w:val="17"/>
            <w:u w:val="single" w:color="auto"/>
            <w:color w:val="0000FF"/>
          </w:rPr>
          <w:t>Fourth Amended and Restated Credit Agreement, dated as of April 27, 2017, by and among Fidelity National Financial, Inc., a Delaware</w:t>
        </w:r>
      </w:hyperlink>
      <w:r>
        <w:rPr>
          <w:rFonts w:ascii="Arial" w:cs="Arial" w:eastAsia="Arial" w:hAnsi="Arial"/>
          <w:sz w:val="17"/>
          <w:szCs w:val="17"/>
          <w:u w:val="single" w:color="auto"/>
          <w:color w:val="0000FF"/>
        </w:rPr>
        <w:t xml:space="preserve"> </w:t>
      </w:r>
      <w:hyperlink r:id="rId254">
        <w:r>
          <w:rPr>
            <w:rFonts w:ascii="Arial" w:cs="Arial" w:eastAsia="Arial" w:hAnsi="Arial"/>
            <w:sz w:val="17"/>
            <w:szCs w:val="17"/>
            <w:u w:val="single" w:color="auto"/>
            <w:color w:val="0000FF"/>
          </w:rPr>
          <w:t>corporation, as the borrower, Bank of America, N.A., as administrative agent, the other agents party thereto and the financial institutions party</w:t>
        </w:r>
      </w:hyperlink>
      <w:r>
        <w:rPr>
          <w:rFonts w:ascii="Arial" w:cs="Arial" w:eastAsia="Arial" w:hAnsi="Arial"/>
          <w:sz w:val="17"/>
          <w:szCs w:val="17"/>
          <w:u w:val="single" w:color="auto"/>
          <w:color w:val="0000FF"/>
        </w:rPr>
        <w:t xml:space="preserve"> </w:t>
      </w:r>
      <w:hyperlink r:id="rId254">
        <w:r>
          <w:rPr>
            <w:rFonts w:ascii="Arial" w:cs="Arial" w:eastAsia="Arial" w:hAnsi="Arial"/>
            <w:sz w:val="17"/>
            <w:szCs w:val="17"/>
            <w:u w:val="single" w:color="auto"/>
            <w:color w:val="0000FF"/>
          </w:rPr>
          <w:t>thereto as lenders (incorporated by reference to Exhibit 10.2 to the Registrant's Current Report on Form 8-K filed on May 2, 2017)</w:t>
        </w:r>
      </w:hyperlink>
    </w:p>
    <w:p>
      <w:pPr>
        <w:spacing w:after="0" w:line="2" w:lineRule="exact"/>
        <w:rPr>
          <w:rFonts w:ascii="Arial" w:cs="Arial" w:eastAsia="Arial" w:hAnsi="Arial"/>
          <w:sz w:val="17"/>
          <w:szCs w:val="17"/>
          <w:u w:val="single" w:color="auto"/>
          <w:color w:val="0000FF"/>
        </w:rPr>
      </w:pPr>
    </w:p>
    <w:p>
      <w:pPr>
        <w:jc w:val="both"/>
        <w:ind w:left="800" w:hanging="559"/>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55">
        <w:r>
          <w:rPr>
            <w:rFonts w:ascii="Arial" w:cs="Arial" w:eastAsia="Arial" w:hAnsi="Arial"/>
            <w:sz w:val="18"/>
            <w:szCs w:val="18"/>
            <w:u w:val="single" w:color="auto"/>
            <w:color w:val="0000FF"/>
          </w:rPr>
          <w:t>Amended and Restated Fidelity National Financial, Inc. 2005 Omnibus Incentive Plan (incorporated by reference to Annex A to the Registrant’s</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Schedule 14A filed on April 29, 2016) (1)</w:t>
        </w:r>
      </w:hyperlink>
    </w:p>
    <w:p>
      <w:pPr>
        <w:spacing w:after="0" w:line="1" w:lineRule="exact"/>
        <w:rPr>
          <w:sz w:val="20"/>
          <w:szCs w:val="20"/>
          <w:color w:val="auto"/>
        </w:rPr>
      </w:pPr>
    </w:p>
    <w:p>
      <w:pPr>
        <w:jc w:val="both"/>
        <w:ind w:left="800" w:hanging="559"/>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256">
        <w:r>
          <w:rPr>
            <w:rFonts w:ascii="Arial" w:cs="Arial" w:eastAsia="Arial" w:hAnsi="Arial"/>
            <w:sz w:val="18"/>
            <w:szCs w:val="18"/>
            <w:u w:val="single" w:color="auto"/>
            <w:color w:val="0000FF"/>
          </w:rPr>
          <w:t>Amended and Restated Fidelity National Financial, Inc. 2013 Employee Stock Purchase Plan (incorporated by reference to Exhibit 10.3 to the</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Registrant's Annual Report on Form 10-K for the year ended December 31, 2018) (1)</w:t>
        </w:r>
      </w:hyperlink>
    </w:p>
    <w:p>
      <w:pPr>
        <w:ind w:left="240"/>
        <w:spacing w:after="0" w:line="235"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257">
        <w:r>
          <w:rPr>
            <w:rFonts w:ascii="Arial" w:cs="Arial" w:eastAsia="Arial" w:hAnsi="Arial"/>
            <w:sz w:val="17"/>
            <w:szCs w:val="17"/>
            <w:u w:val="single" w:color="auto"/>
            <w:color w:val="0000FF"/>
          </w:rPr>
          <w:t>Fidelity National Financial, Inc. Annual Incentive Plan (incorporated by reference to Annex B to the Registrant's Schedule 14A filed on April</w:t>
        </w:r>
      </w:hyperlink>
    </w:p>
    <w:p>
      <w:pPr>
        <w:spacing w:after="0" w:line="1" w:lineRule="exact"/>
        <w:rPr>
          <w:sz w:val="20"/>
          <w:szCs w:val="20"/>
          <w:color w:val="auto"/>
        </w:rPr>
      </w:pPr>
    </w:p>
    <w:p>
      <w:pPr>
        <w:ind w:left="800"/>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29, 2016) (1)</w:t>
        </w:r>
      </w:hyperlink>
    </w:p>
    <w:p>
      <w:pPr>
        <w:spacing w:after="0" w:line="7" w:lineRule="exact"/>
        <w:rPr>
          <w:sz w:val="20"/>
          <w:szCs w:val="20"/>
          <w:color w:val="auto"/>
        </w:rPr>
      </w:pPr>
    </w:p>
    <w:p>
      <w:pPr>
        <w:jc w:val="both"/>
        <w:ind w:left="800" w:hanging="559"/>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258">
        <w:r>
          <w:rPr>
            <w:rFonts w:ascii="Arial" w:cs="Arial" w:eastAsia="Arial" w:hAnsi="Arial"/>
            <w:sz w:val="18"/>
            <w:szCs w:val="18"/>
            <w:u w:val="single" w:color="auto"/>
            <w:color w:val="0000FF"/>
          </w:rPr>
          <w:t>Fidelity National Financial, Inc. Deferred Compensation Plan, as amended and restated, effective January 1, 2009 (incorporated by reference to</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Exhibit 10.18 to the Registrant’s Annual Report on Form 10-K for the year ended December 31, 2008) (1)</w:t>
        </w:r>
      </w:hyperlink>
    </w:p>
    <w:p>
      <w:pPr>
        <w:spacing w:after="0" w:line="1" w:lineRule="exact"/>
        <w:rPr>
          <w:sz w:val="20"/>
          <w:szCs w:val="20"/>
          <w:color w:val="auto"/>
        </w:rPr>
      </w:pPr>
    </w:p>
    <w:p>
      <w:pPr>
        <w:jc w:val="both"/>
        <w:ind w:left="800" w:hanging="559"/>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59">
        <w:r>
          <w:rPr>
            <w:rFonts w:ascii="Arial" w:cs="Arial" w:eastAsia="Arial" w:hAnsi="Arial"/>
            <w:sz w:val="18"/>
            <w:szCs w:val="18"/>
            <w:u w:val="single" w:color="auto"/>
            <w:color w:val="0000FF"/>
          </w:rPr>
          <w:t>Form of Notice of FNF Group Stock Option Award and FNF Group Stock Option Award Agreement under Amended and Restated Fidelity</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National Financial, Inc. 2005 Omnibus Incentive Plan for October 2015 Awards (incorporated by reference to Exhibit 10.12 to Registrant's</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Annual Report on Form 10-K for the year ended December 31, 2015)(1)</w:t>
        </w:r>
      </w:hyperlink>
    </w:p>
    <w:p>
      <w:pPr>
        <w:spacing w:after="0" w:line="1" w:lineRule="exact"/>
        <w:rPr>
          <w:rFonts w:ascii="Arial" w:cs="Arial" w:eastAsia="Arial" w:hAnsi="Arial"/>
          <w:sz w:val="18"/>
          <w:szCs w:val="18"/>
          <w:u w:val="single" w:color="auto"/>
          <w:color w:val="0000FF"/>
        </w:rPr>
      </w:pPr>
    </w:p>
    <w:p>
      <w:pPr>
        <w:jc w:val="both"/>
        <w:ind w:left="800" w:hanging="559"/>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260">
        <w:r>
          <w:rPr>
            <w:rFonts w:ascii="Arial" w:cs="Arial" w:eastAsia="Arial" w:hAnsi="Arial"/>
            <w:sz w:val="17"/>
            <w:szCs w:val="17"/>
            <w:u w:val="single" w:color="auto"/>
            <w:color w:val="0000FF"/>
          </w:rPr>
          <w:t>Amended and Restated Employment Agreement between the Registrant and Anthony J. Park, effective as of October 10, 2008 (incorporated by</w:t>
        </w:r>
      </w:hyperlink>
      <w:r>
        <w:rPr>
          <w:rFonts w:ascii="Arial" w:cs="Arial" w:eastAsia="Arial" w:hAnsi="Arial"/>
          <w:sz w:val="17"/>
          <w:szCs w:val="17"/>
          <w:u w:val="single" w:color="auto"/>
          <w:color w:val="0000FF"/>
        </w:rPr>
        <w:t xml:space="preserve"> </w:t>
      </w:r>
      <w:hyperlink r:id="rId260">
        <w:r>
          <w:rPr>
            <w:rFonts w:ascii="Arial" w:cs="Arial" w:eastAsia="Arial" w:hAnsi="Arial"/>
            <w:sz w:val="17"/>
            <w:szCs w:val="17"/>
            <w:u w:val="single" w:color="auto"/>
            <w:color w:val="0000FF"/>
          </w:rPr>
          <w:t>reference to Exhibit 10.11 to Registrant’s Annual Report on Form 10-K for the year ended December 31, 2008) (1)</w:t>
        </w:r>
      </w:hyperlink>
    </w:p>
    <w:p>
      <w:pPr>
        <w:spacing w:after="0" w:line="1" w:lineRule="exact"/>
        <w:rPr>
          <w:sz w:val="20"/>
          <w:szCs w:val="20"/>
          <w:color w:val="auto"/>
        </w:rPr>
      </w:pPr>
    </w:p>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261">
        <w:r>
          <w:rPr>
            <w:rFonts w:ascii="Arial" w:cs="Arial" w:eastAsia="Arial" w:hAnsi="Arial"/>
            <w:sz w:val="18"/>
            <w:szCs w:val="18"/>
            <w:u w:val="single" w:color="auto"/>
            <w:color w:val="0000FF"/>
          </w:rPr>
          <w:t>Amendment effective February 4, 2010 to Amended and Restated Employment Agreement between the Registrant and Anthony J. Park,</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effective as of October 10, 2008 (incorporated by reference to Exhibit 10.13 to the Registrant's Annual Report on Form 10-K for the year ended</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December 31, 2009) (1)</w:t>
        </w:r>
      </w:hyperlink>
    </w:p>
    <w:p>
      <w:pPr>
        <w:spacing w:after="0" w:line="1" w:lineRule="exact"/>
        <w:rPr>
          <w:rFonts w:ascii="Arial" w:cs="Arial" w:eastAsia="Arial" w:hAnsi="Arial"/>
          <w:sz w:val="18"/>
          <w:szCs w:val="18"/>
          <w:u w:val="single" w:color="auto"/>
          <w:color w:val="0000FF"/>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262">
        <w:r>
          <w:rPr>
            <w:rFonts w:ascii="Arial" w:cs="Arial" w:eastAsia="Arial" w:hAnsi="Arial"/>
            <w:sz w:val="18"/>
            <w:szCs w:val="18"/>
            <w:u w:val="single" w:color="auto"/>
            <w:color w:val="0000FF"/>
          </w:rPr>
          <w:t>Director Services Agreement between Fidelity National Financial, Inc. and William P. Foley, II (incorporated by reference to Exhibit 10.27 to</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Registrant's Annual Report on Form 10-K for the year ended December 31, 2015) (1)</w:t>
        </w:r>
      </w:hyperlink>
    </w:p>
    <w:p>
      <w:pPr>
        <w:spacing w:after="0" w:line="1"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263">
        <w:r>
          <w:rPr>
            <w:rFonts w:ascii="Arial" w:cs="Arial" w:eastAsia="Arial" w:hAnsi="Arial"/>
            <w:sz w:val="18"/>
            <w:szCs w:val="18"/>
            <w:u w:val="single" w:color="auto"/>
            <w:color w:val="0000FF"/>
          </w:rPr>
          <w:t>Amended and Restated Employment Agreement between the Registrant and Raymond R. Quirk, effective as of October 10, 2008 (incorporated</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by reference to Exhibit 10.16 to Registrant’s Annual Report on Form 10-K for the year ended December 31, 2008)(1)</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color w:val="auto"/>
                <w:w w:val="98"/>
              </w:rPr>
              <w:t>Exhibit</w:t>
            </w:r>
          </w:p>
        </w:tc>
        <w:tc>
          <w:tcPr>
            <w:tcW w:w="3360" w:type="dxa"/>
            <w:vAlign w:val="bottom"/>
            <w:vMerge w:val="restart"/>
          </w:tcPr>
          <w:p>
            <w:pPr>
              <w:ind w:left="2460"/>
              <w:spacing w:after="0"/>
              <w:rPr>
                <w:sz w:val="20"/>
                <w:szCs w:val="20"/>
                <w:color w:val="auto"/>
              </w:rPr>
            </w:pPr>
            <w:r>
              <w:rPr>
                <w:rFonts w:ascii="Arial" w:cs="Arial" w:eastAsia="Arial" w:hAnsi="Arial"/>
                <w:sz w:val="18"/>
                <w:szCs w:val="18"/>
                <w:b w:val="1"/>
                <w:bCs w:val="1"/>
                <w:u w:val="single" w:color="auto"/>
                <w:color w:val="auto"/>
                <w:w w:val="88"/>
              </w:rPr>
              <w:t>Description</w:t>
            </w:r>
          </w:p>
        </w:tc>
        <w:tc>
          <w:tcPr>
            <w:tcW w:w="0" w:type="dxa"/>
            <w:vAlign w:val="bottom"/>
          </w:tcPr>
          <w:p>
            <w:pPr>
              <w:spacing w:after="0"/>
              <w:rPr>
                <w:sz w:val="1"/>
                <w:szCs w:val="1"/>
                <w:color w:val="auto"/>
              </w:rPr>
            </w:pPr>
          </w:p>
        </w:tc>
      </w:tr>
      <w:tr>
        <w:trPr>
          <w:trHeight w:val="189"/>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u w:val="single" w:color="auto"/>
                <w:color w:val="auto"/>
                <w:w w:val="94"/>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265">
        <w:r>
          <w:rPr>
            <w:rFonts w:ascii="Arial" w:cs="Arial" w:eastAsia="Arial" w:hAnsi="Arial"/>
            <w:sz w:val="18"/>
            <w:szCs w:val="18"/>
            <w:u w:val="single" w:color="auto"/>
            <w:color w:val="0000FF"/>
          </w:rPr>
          <w:t>Amendment effective February 4, 2010 to Amended and Restated Employment Agreement between the Registrant and Raymond R. Quirk,</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effective as of October 10, 2008 (incorporated by reference to Exhibit 10.21 to the Registrant's Annual Report on Form 10-K for the year ended</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December 31, 2009) (1)</w:t>
        </w:r>
      </w:hyperlink>
    </w:p>
    <w:p>
      <w:pPr>
        <w:spacing w:after="0" w:line="1" w:lineRule="exact"/>
        <w:rPr>
          <w:rFonts w:ascii="Arial" w:cs="Arial" w:eastAsia="Arial" w:hAnsi="Arial"/>
          <w:sz w:val="18"/>
          <w:szCs w:val="18"/>
          <w:u w:val="single" w:color="auto"/>
          <w:color w:val="0000FF"/>
        </w:rPr>
      </w:pPr>
    </w:p>
    <w:p>
      <w:pPr>
        <w:jc w:val="both"/>
        <w:ind w:left="800" w:hanging="604"/>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10.18</w:t>
      </w:r>
      <w:r>
        <w:rPr>
          <w:sz w:val="20"/>
          <w:szCs w:val="20"/>
          <w:color w:val="auto"/>
        </w:rPr>
        <w:tab/>
      </w:r>
      <w:hyperlink r:id="rId266">
        <w:r>
          <w:rPr>
            <w:rFonts w:ascii="Arial" w:cs="Arial" w:eastAsia="Arial" w:hAnsi="Arial"/>
            <w:sz w:val="17"/>
            <w:szCs w:val="17"/>
            <w:u w:val="single" w:color="auto"/>
            <w:color w:val="0000FF"/>
          </w:rPr>
          <w:t>Amended and Restated Employment Agreement between the Registrant and Michael L. Gravelle, effective as of January 30, 2013 (incorporated</w:t>
        </w:r>
      </w:hyperlink>
      <w:r>
        <w:rPr>
          <w:rFonts w:ascii="Arial" w:cs="Arial" w:eastAsia="Arial" w:hAnsi="Arial"/>
          <w:sz w:val="17"/>
          <w:szCs w:val="17"/>
          <w:u w:val="single" w:color="auto"/>
          <w:color w:val="0000FF"/>
        </w:rPr>
        <w:t xml:space="preserve"> </w:t>
      </w:r>
      <w:hyperlink r:id="rId266">
        <w:r>
          <w:rPr>
            <w:rFonts w:ascii="Arial" w:cs="Arial" w:eastAsia="Arial" w:hAnsi="Arial"/>
            <w:sz w:val="17"/>
            <w:szCs w:val="17"/>
            <w:u w:val="single" w:color="auto"/>
            <w:color w:val="0000FF"/>
          </w:rPr>
          <w:t>by reference to Exhibit 10.22 to the Registrant's Annual Report on Form 10-K for the year ended December 31, 2012) (1)</w:t>
        </w:r>
      </w:hyperlink>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267">
        <w:r>
          <w:rPr>
            <w:rFonts w:ascii="Arial" w:cs="Arial" w:eastAsia="Arial" w:hAnsi="Arial"/>
            <w:sz w:val="16"/>
            <w:szCs w:val="16"/>
            <w:u w:val="single" w:color="auto"/>
            <w:color w:val="0000FF"/>
          </w:rPr>
          <w:t>Amendment No. 2 to Amended and Restated Employment Agreement between the Registrant and Michael L. Gravelle, effective as of March 1,</w:t>
        </w:r>
      </w:hyperlink>
    </w:p>
    <w:p>
      <w:pPr>
        <w:ind w:left="800"/>
        <w:spacing w:after="0"/>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2015 (incorporated by reference to Exhibit 10.2 to the Registrant’s Quarterly Report on Form 10-Q for the quarter ended March 31, 2015) (1)</w:t>
        </w:r>
      </w:hyperlink>
    </w:p>
    <w:p>
      <w:pPr>
        <w:spacing w:after="0" w:line="30" w:lineRule="exact"/>
        <w:rPr>
          <w:sz w:val="20"/>
          <w:szCs w:val="20"/>
          <w:color w:val="auto"/>
        </w:rPr>
      </w:pPr>
    </w:p>
    <w:p>
      <w:pPr>
        <w:jc w:val="both"/>
        <w:ind w:left="800" w:hanging="604"/>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268">
        <w:r>
          <w:rPr>
            <w:rFonts w:ascii="Arial" w:cs="Arial" w:eastAsia="Arial" w:hAnsi="Arial"/>
            <w:sz w:val="17"/>
            <w:szCs w:val="17"/>
            <w:u w:val="single" w:color="auto"/>
            <w:color w:val="0000FF"/>
          </w:rPr>
          <w:t>Amended and Restated Employment Agreement between the Registrant and Peter T. Sadowski, effective as of February 4, 2010 (incorporated</w:t>
        </w:r>
      </w:hyperlink>
      <w:r>
        <w:rPr>
          <w:rFonts w:ascii="Arial" w:cs="Arial" w:eastAsia="Arial" w:hAnsi="Arial"/>
          <w:sz w:val="17"/>
          <w:szCs w:val="17"/>
          <w:u w:val="single" w:color="auto"/>
          <w:color w:val="0000FF"/>
        </w:rPr>
        <w:t xml:space="preserve"> </w:t>
      </w:r>
      <w:hyperlink r:id="rId268">
        <w:r>
          <w:rPr>
            <w:rFonts w:ascii="Arial" w:cs="Arial" w:eastAsia="Arial" w:hAnsi="Arial"/>
            <w:sz w:val="17"/>
            <w:szCs w:val="17"/>
            <w:u w:val="single" w:color="auto"/>
            <w:color w:val="0000FF"/>
          </w:rPr>
          <w:t>by reference to Exhibit 10.26 to the Registrant's Annual Report on Form 10-K for the year ended December 31, 2012) (1)</w:t>
        </w:r>
      </w:hyperlink>
    </w:p>
    <w:p>
      <w:pPr>
        <w:spacing w:after="0" w:line="1"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269">
        <w:r>
          <w:rPr>
            <w:rFonts w:ascii="Arial" w:cs="Arial" w:eastAsia="Arial" w:hAnsi="Arial"/>
            <w:sz w:val="18"/>
            <w:szCs w:val="18"/>
            <w:u w:val="single" w:color="auto"/>
            <w:color w:val="0000FF"/>
          </w:rPr>
          <w:t>ServiceLink Holdings, LLC 2013 Management Incentive Plan (incorporated by reference to Exhibit 10.2 to the Registrant’s Current Report on</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Form 8-K filed on January 15, 2014)(1)</w:t>
        </w:r>
      </w:hyperlink>
    </w:p>
    <w:p>
      <w:pPr>
        <w:spacing w:after="0" w:line="1"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270">
        <w:r>
          <w:rPr>
            <w:rFonts w:ascii="Arial" w:cs="Arial" w:eastAsia="Arial" w:hAnsi="Arial"/>
            <w:sz w:val="18"/>
            <w:szCs w:val="18"/>
            <w:u w:val="single" w:color="auto"/>
            <w:color w:val="0000FF"/>
          </w:rPr>
          <w:t>Form of ServiceLink Holdings, LLC Unit Grant Agreement (incorporated by reference to Exhibit 10.4 to the Registrant's Current Report on</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Form 8-K filed on January 15, 2014)(1)</w:t>
        </w:r>
      </w:hyperlink>
    </w:p>
    <w:p>
      <w:pPr>
        <w:spacing w:after="0" w:line="1"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271">
        <w:r>
          <w:rPr>
            <w:rFonts w:ascii="Arial" w:cs="Arial" w:eastAsia="Arial" w:hAnsi="Arial"/>
            <w:sz w:val="18"/>
            <w:szCs w:val="18"/>
            <w:u w:val="single" w:color="auto"/>
            <w:color w:val="0000FF"/>
          </w:rPr>
          <w:t>ServiceLink Holdings, LLC Incentive Plan (incorporated by reference to Exhibit 10.6 to the to the Registrant’s Current Report on Form 8-K</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filed on January 15, 2014) (1)</w:t>
        </w:r>
      </w:hyperlink>
    </w:p>
    <w:p>
      <w:pPr>
        <w:spacing w:after="0" w:line="1"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272">
        <w:r>
          <w:rPr>
            <w:rFonts w:ascii="Arial" w:cs="Arial" w:eastAsia="Arial" w:hAnsi="Arial"/>
            <w:sz w:val="18"/>
            <w:szCs w:val="18"/>
            <w:u w:val="single" w:color="auto"/>
            <w:color w:val="0000FF"/>
          </w:rPr>
          <w:t>Amendment effective May 3, 2016 to Director Services Agreement between the Registrant and William P. Foley II (incorporated by reference to</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Exhibit 10.1 to Registrant's Quarterly Report on Form 10-Q for the quarter ended June 30, 2016) (1)</w:t>
        </w:r>
      </w:hyperlink>
    </w:p>
    <w:p>
      <w:pPr>
        <w:spacing w:after="0" w:line="1" w:lineRule="exact"/>
        <w:rPr>
          <w:sz w:val="20"/>
          <w:szCs w:val="20"/>
          <w:color w:val="auto"/>
        </w:rPr>
      </w:pP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273">
        <w:r>
          <w:rPr>
            <w:rFonts w:ascii="Arial" w:cs="Arial" w:eastAsia="Arial" w:hAnsi="Arial"/>
            <w:sz w:val="16"/>
            <w:szCs w:val="16"/>
            <w:u w:val="single" w:color="auto"/>
            <w:color w:val="0000FF"/>
          </w:rPr>
          <w:t>Letter agreement between Fidelity National Financial, Inc. and William P. Foley, II dated May 28, 2020 (incorporated by reference to Exhibit</w:t>
        </w:r>
      </w:hyperlink>
    </w:p>
    <w:p>
      <w:pPr>
        <w:spacing w:after="0" w:line="24" w:lineRule="exact"/>
        <w:rPr>
          <w:sz w:val="20"/>
          <w:szCs w:val="20"/>
          <w:color w:val="auto"/>
        </w:rPr>
      </w:pPr>
    </w:p>
    <w:p>
      <w:pPr>
        <w:ind w:left="800"/>
        <w:spacing w:after="0"/>
        <w:rPr>
          <w:rFonts w:ascii="Arial" w:cs="Arial" w:eastAsia="Arial" w:hAnsi="Arial"/>
          <w:sz w:val="18"/>
          <w:szCs w:val="18"/>
          <w:u w:val="single" w:color="auto"/>
          <w:color w:val="0000FF"/>
        </w:rPr>
      </w:pPr>
      <w:hyperlink r:id="rId273">
        <w:r>
          <w:rPr>
            <w:rFonts w:ascii="Arial" w:cs="Arial" w:eastAsia="Arial" w:hAnsi="Arial"/>
            <w:sz w:val="18"/>
            <w:szCs w:val="18"/>
            <w:u w:val="single" w:color="auto"/>
            <w:color w:val="0000FF"/>
          </w:rPr>
          <w:t>99.1 to the Registrant’s Current Report on Form 8-K filed on May 29, 2020) (1)</w:t>
        </w:r>
      </w:hyperlink>
    </w:p>
    <w:p>
      <w:pPr>
        <w:spacing w:after="0" w:line="20" w:lineRule="exact"/>
        <w:rPr>
          <w:sz w:val="20"/>
          <w:szCs w:val="20"/>
          <w:color w:val="auto"/>
        </w:rPr>
      </w:pPr>
    </w:p>
    <w:p>
      <w:pPr>
        <w:jc w:val="both"/>
        <w:ind w:left="800" w:hanging="604"/>
        <w:spacing w:after="0" w:line="249"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10.26</w:t>
      </w:r>
      <w:r>
        <w:rPr>
          <w:sz w:val="20"/>
          <w:szCs w:val="20"/>
          <w:color w:val="auto"/>
        </w:rPr>
        <w:tab/>
      </w:r>
      <w:hyperlink r:id="rId274">
        <w:r>
          <w:rPr>
            <w:rFonts w:ascii="Arial" w:cs="Arial" w:eastAsia="Arial" w:hAnsi="Arial"/>
            <w:sz w:val="17"/>
            <w:szCs w:val="17"/>
            <w:u w:val="single" w:color="auto"/>
            <w:color w:val="0000FF"/>
          </w:rPr>
          <w:t>Amendment effective May 3, 2016 to Amended and Restated Employment Agreement between the Registrant and Raymond R. Quirk</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(incorporated by reference to Exhibit 10.2 to the Registrant's Quarterly Report on Form 10-Q for the quarter ended June 30, 2016) (1)</w:t>
        </w:r>
      </w:hyperlink>
    </w:p>
    <w:p>
      <w:pPr>
        <w:jc w:val="both"/>
        <w:ind w:left="800" w:hanging="604"/>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275">
        <w:r>
          <w:rPr>
            <w:rFonts w:ascii="Arial" w:cs="Arial" w:eastAsia="Arial" w:hAnsi="Arial"/>
            <w:sz w:val="17"/>
            <w:szCs w:val="17"/>
            <w:u w:val="single" w:color="auto"/>
            <w:color w:val="0000FF"/>
          </w:rPr>
          <w:t>Amendment effective May 3, 2016 to Amended and Restated Employment Agreement between the Registrant and Anthony J. Park</w:t>
        </w:r>
      </w:hyperlink>
      <w:r>
        <w:rPr>
          <w:rFonts w:ascii="Arial" w:cs="Arial" w:eastAsia="Arial" w:hAnsi="Arial"/>
          <w:sz w:val="17"/>
          <w:szCs w:val="17"/>
          <w:u w:val="single" w:color="auto"/>
          <w:color w:val="0000FF"/>
        </w:rPr>
        <w:t xml:space="preserve"> </w:t>
      </w:r>
      <w:hyperlink r:id="rId275">
        <w:r>
          <w:rPr>
            <w:rFonts w:ascii="Arial" w:cs="Arial" w:eastAsia="Arial" w:hAnsi="Arial"/>
            <w:sz w:val="17"/>
            <w:szCs w:val="17"/>
            <w:u w:val="single" w:color="auto"/>
            <w:color w:val="0000FF"/>
          </w:rPr>
          <w:t>(incorporated by reference to Exhibit 10.4 to the Registrant's Quarterly Report on Form 10-Q for the quarter ended June 30, 2016) (1)</w:t>
        </w:r>
      </w:hyperlink>
    </w:p>
    <w:p>
      <w:pPr>
        <w:spacing w:after="0" w:line="1" w:lineRule="exact"/>
        <w:rPr>
          <w:sz w:val="20"/>
          <w:szCs w:val="20"/>
          <w:color w:val="auto"/>
        </w:rPr>
      </w:pPr>
    </w:p>
    <w:p>
      <w:pPr>
        <w:jc w:val="both"/>
        <w:ind w:left="800" w:hanging="604"/>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10.28</w:t>
      </w:r>
      <w:r>
        <w:rPr>
          <w:sz w:val="20"/>
          <w:szCs w:val="20"/>
          <w:color w:val="auto"/>
        </w:rPr>
        <w:tab/>
      </w:r>
      <w:hyperlink r:id="rId276">
        <w:r>
          <w:rPr>
            <w:rFonts w:ascii="Arial" w:cs="Arial" w:eastAsia="Arial" w:hAnsi="Arial"/>
            <w:sz w:val="17"/>
            <w:szCs w:val="17"/>
            <w:u w:val="single" w:color="auto"/>
            <w:color w:val="0000FF"/>
          </w:rPr>
          <w:t>Amendment effective May 3, 2016 to Amended and Restated Employment Agreement between the Registrant and Michael L. Gravelle</w:t>
        </w:r>
      </w:hyperlink>
      <w:r>
        <w:rPr>
          <w:rFonts w:ascii="Arial" w:cs="Arial" w:eastAsia="Arial" w:hAnsi="Arial"/>
          <w:sz w:val="17"/>
          <w:szCs w:val="17"/>
          <w:u w:val="single" w:color="auto"/>
          <w:color w:val="0000FF"/>
        </w:rPr>
        <w:t xml:space="preserve"> </w:t>
      </w:r>
      <w:hyperlink r:id="rId276">
        <w:r>
          <w:rPr>
            <w:rFonts w:ascii="Arial" w:cs="Arial" w:eastAsia="Arial" w:hAnsi="Arial"/>
            <w:sz w:val="17"/>
            <w:szCs w:val="17"/>
            <w:u w:val="single" w:color="auto"/>
            <w:color w:val="0000FF"/>
          </w:rPr>
          <w:t>(incorporated by reference to Exhibit 10.5 to the Registrant's Quarterly Report on Form 10-Q for the quarter ended June 30, 2016) (1)</w:t>
        </w:r>
      </w:hyperlink>
    </w:p>
    <w:p>
      <w:pPr>
        <w:spacing w:after="0" w:line="1" w:lineRule="exact"/>
        <w:rPr>
          <w:sz w:val="20"/>
          <w:szCs w:val="20"/>
          <w:color w:val="auto"/>
        </w:rPr>
      </w:pPr>
    </w:p>
    <w:p>
      <w:pPr>
        <w:jc w:val="both"/>
        <w:ind w:left="800" w:hanging="604"/>
        <w:spacing w:after="0" w:line="24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10.29</w:t>
      </w:r>
      <w:r>
        <w:rPr>
          <w:sz w:val="20"/>
          <w:szCs w:val="20"/>
          <w:color w:val="auto"/>
        </w:rPr>
        <w:tab/>
      </w:r>
      <w:hyperlink r:id="rId277">
        <w:r>
          <w:rPr>
            <w:rFonts w:ascii="Arial" w:cs="Arial" w:eastAsia="Arial" w:hAnsi="Arial"/>
            <w:sz w:val="17"/>
            <w:szCs w:val="17"/>
            <w:u w:val="single" w:color="auto"/>
            <w:color w:val="0000FF"/>
          </w:rPr>
          <w:t>Amendment effective May 3, 2016 to Amended and Restated Employment Agreement between the Registrant and Peter T. Sadowski</w:t>
        </w:r>
      </w:hyperlink>
      <w:r>
        <w:rPr>
          <w:rFonts w:ascii="Arial" w:cs="Arial" w:eastAsia="Arial" w:hAnsi="Arial"/>
          <w:sz w:val="17"/>
          <w:szCs w:val="17"/>
          <w:u w:val="single" w:color="auto"/>
          <w:color w:val="0000FF"/>
        </w:rPr>
        <w:t xml:space="preserve"> </w:t>
      </w:r>
      <w:hyperlink r:id="rId277">
        <w:r>
          <w:rPr>
            <w:rFonts w:ascii="Arial" w:cs="Arial" w:eastAsia="Arial" w:hAnsi="Arial"/>
            <w:sz w:val="17"/>
            <w:szCs w:val="17"/>
            <w:u w:val="single" w:color="auto"/>
            <w:color w:val="0000FF"/>
          </w:rPr>
          <w:t>(incorporated by reference to Exhibit 10.6 to the Registrant's Quarterly Report on Form 10-Q for the quarter ended June 30, 2016) (1)</w:t>
        </w:r>
      </w:hyperlink>
    </w:p>
    <w:p>
      <w:pPr>
        <w:spacing w:after="0" w:line="1" w:lineRule="exact"/>
        <w:rPr>
          <w:sz w:val="20"/>
          <w:szCs w:val="20"/>
          <w:color w:val="auto"/>
        </w:rPr>
      </w:pPr>
    </w:p>
    <w:p>
      <w:pPr>
        <w:jc w:val="both"/>
        <w:ind w:left="800" w:right="2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278">
        <w:r>
          <w:rPr>
            <w:rFonts w:ascii="Arial" w:cs="Arial" w:eastAsia="Arial" w:hAnsi="Arial"/>
            <w:sz w:val="18"/>
            <w:szCs w:val="18"/>
            <w:u w:val="single" w:color="auto"/>
            <w:color w:val="0000FF"/>
          </w:rPr>
          <w:t>Employment Agreement between the Registrant and Michael Nolan effective March 2, 2016 (incorporated by reference to Exhibit 10.7 to the</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Registrant's Quarterly Report on Form 10-Q for the quarter ended June 30, 2016) (1)</w:t>
        </w:r>
      </w:hyperlink>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279">
        <w:r>
          <w:rPr>
            <w:rFonts w:ascii="Arial" w:cs="Arial" w:eastAsia="Arial" w:hAnsi="Arial"/>
            <w:sz w:val="16"/>
            <w:szCs w:val="16"/>
            <w:u w:val="single" w:color="auto"/>
            <w:color w:val="0000FF"/>
          </w:rPr>
          <w:t>Amendment effective May 3, 2016 to Employment Agreement between the Registrant and Michael Nolan (incorporated by reference to Exhibit</w:t>
        </w:r>
      </w:hyperlink>
    </w:p>
    <w:p>
      <w:pPr>
        <w:spacing w:after="0" w:line="1" w:lineRule="exact"/>
        <w:rPr>
          <w:sz w:val="20"/>
          <w:szCs w:val="20"/>
          <w:color w:val="auto"/>
        </w:rPr>
      </w:pPr>
    </w:p>
    <w:p>
      <w:pPr>
        <w:ind w:left="800"/>
        <w:spacing w:after="0"/>
        <w:rPr>
          <w:rFonts w:ascii="Arial" w:cs="Arial" w:eastAsia="Arial" w:hAnsi="Arial"/>
          <w:sz w:val="18"/>
          <w:szCs w:val="18"/>
          <w:u w:val="single" w:color="auto"/>
          <w:color w:val="0000FF"/>
        </w:rPr>
      </w:pPr>
      <w:hyperlink r:id="rId279">
        <w:r>
          <w:rPr>
            <w:rFonts w:ascii="Arial" w:cs="Arial" w:eastAsia="Arial" w:hAnsi="Arial"/>
            <w:sz w:val="18"/>
            <w:szCs w:val="18"/>
            <w:u w:val="single" w:color="auto"/>
            <w:color w:val="0000FF"/>
          </w:rPr>
          <w:t>10.8 to the Registrant's Quarterly Report on Form 10-Q for the quarter ended June 30, 2016) (1)</w:t>
        </w:r>
      </w:hyperlink>
    </w:p>
    <w:p>
      <w:pPr>
        <w:spacing w:after="0" w:line="7"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280">
        <w:r>
          <w:rPr>
            <w:rFonts w:ascii="Arial" w:cs="Arial" w:eastAsia="Arial" w:hAnsi="Arial"/>
            <w:sz w:val="18"/>
            <w:szCs w:val="18"/>
            <w:u w:val="single" w:color="auto"/>
            <w:color w:val="0000FF"/>
          </w:rPr>
          <w:t>Employment Agreement between the Registrant and Roger Jewkes effective March 3, 2016 (incorporated by reference to Exhibit 10.9 to the</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Registrant's Quarterly Report on Form 10-Q for the quarter ended June 30, 2016) (1)</w:t>
        </w:r>
      </w:hyperlink>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281">
        <w:r>
          <w:rPr>
            <w:rFonts w:ascii="Arial" w:cs="Arial" w:eastAsia="Arial" w:hAnsi="Arial"/>
            <w:sz w:val="16"/>
            <w:szCs w:val="16"/>
            <w:u w:val="single" w:color="auto"/>
            <w:color w:val="0000FF"/>
          </w:rPr>
          <w:t>Amendment effective May 3, 2016 to Employment Agreement between the Registrant and Roger Jewkes (incorporated by reference to Exhibit</w:t>
        </w:r>
      </w:hyperlink>
    </w:p>
    <w:p>
      <w:pPr>
        <w:spacing w:after="0" w:line="1" w:lineRule="exact"/>
        <w:rPr>
          <w:sz w:val="20"/>
          <w:szCs w:val="20"/>
          <w:color w:val="auto"/>
        </w:rPr>
      </w:pPr>
    </w:p>
    <w:p>
      <w:pPr>
        <w:ind w:left="800"/>
        <w:spacing w:after="0"/>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10.10 to the Registrant's Quarterly Report on Form 10-Q for the quarter ended June 30, 2016) (1)</w:t>
        </w:r>
      </w:hyperlink>
    </w:p>
    <w:p>
      <w:pPr>
        <w:spacing w:after="0" w:line="7" w:lineRule="exact"/>
        <w:rPr>
          <w:sz w:val="20"/>
          <w:szCs w:val="20"/>
          <w:color w:val="auto"/>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w:anchor="page179">
        <w:r>
          <w:rPr>
            <w:rFonts w:ascii="Arial" w:cs="Arial" w:eastAsia="Arial" w:hAnsi="Arial"/>
            <w:sz w:val="18"/>
            <w:szCs w:val="18"/>
            <w:u w:val="single" w:color="auto"/>
            <w:color w:val="0000FF"/>
          </w:rPr>
          <w:t>Form of Notice of Restricted Stock Grant and FNF Restricted Stock Award Agreement under Amended and Restated Fidelity National</w:t>
        </w:r>
      </w:hyperlink>
      <w:r>
        <w:rPr>
          <w:rFonts w:ascii="Arial" w:cs="Arial" w:eastAsia="Arial" w:hAnsi="Arial"/>
          <w:sz w:val="18"/>
          <w:szCs w:val="18"/>
          <w:u w:val="single" w:color="auto"/>
          <w:color w:val="0000FF"/>
        </w:rPr>
        <w:t xml:space="preserve"> </w:t>
      </w:r>
      <w:hyperlink w:anchor="page179">
        <w:r>
          <w:rPr>
            <w:rFonts w:ascii="Arial" w:cs="Arial" w:eastAsia="Arial" w:hAnsi="Arial"/>
            <w:sz w:val="18"/>
            <w:szCs w:val="18"/>
            <w:u w:val="single" w:color="auto"/>
            <w:color w:val="0000FF"/>
          </w:rPr>
          <w:t>Financial, Inc. 2005 Omnibus Incentive Plan for November 2020 Awards (1)</w:t>
        </w:r>
      </w:hyperlink>
    </w:p>
    <w:p>
      <w:pPr>
        <w:spacing w:after="0" w:line="1" w:lineRule="exact"/>
        <w:rPr>
          <w:sz w:val="20"/>
          <w:szCs w:val="20"/>
          <w:color w:val="auto"/>
        </w:rPr>
      </w:pPr>
    </w:p>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282">
        <w:r>
          <w:rPr>
            <w:rFonts w:ascii="Arial" w:cs="Arial" w:eastAsia="Arial" w:hAnsi="Arial"/>
            <w:sz w:val="18"/>
            <w:szCs w:val="18"/>
            <w:u w:val="single" w:color="auto"/>
            <w:color w:val="0000FF"/>
          </w:rPr>
          <w:t>Form of Notice of Restricted Stock Grant and FNF Restricted Stock Award Agreement under Amended and Restated Fidelity National</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Financial, Inc. 2005 Omnibus Incentive Plan for October 2019 Awards (incorporated by reference to Exhibit 10.33 to the Registrant's Annual</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Report on Form 10-K for the year ended December 31, 2019) (1)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6"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8" w:name="page169"/>
    <w:bookmarkEnd w:id="1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color w:val="auto"/>
                <w:w w:val="98"/>
              </w:rPr>
              <w:t>Exhibit</w:t>
            </w:r>
          </w:p>
        </w:tc>
        <w:tc>
          <w:tcPr>
            <w:tcW w:w="3360" w:type="dxa"/>
            <w:vAlign w:val="bottom"/>
            <w:vMerge w:val="restart"/>
          </w:tcPr>
          <w:p>
            <w:pPr>
              <w:ind w:left="2460"/>
              <w:spacing w:after="0"/>
              <w:rPr>
                <w:sz w:val="20"/>
                <w:szCs w:val="20"/>
                <w:color w:val="auto"/>
              </w:rPr>
            </w:pPr>
            <w:r>
              <w:rPr>
                <w:rFonts w:ascii="Arial" w:cs="Arial" w:eastAsia="Arial" w:hAnsi="Arial"/>
                <w:sz w:val="18"/>
                <w:szCs w:val="18"/>
                <w:b w:val="1"/>
                <w:bCs w:val="1"/>
                <w:u w:val="single" w:color="auto"/>
                <w:color w:val="auto"/>
                <w:w w:val="88"/>
              </w:rPr>
              <w:t>Description</w:t>
            </w:r>
          </w:p>
        </w:tc>
        <w:tc>
          <w:tcPr>
            <w:tcW w:w="0" w:type="dxa"/>
            <w:vAlign w:val="bottom"/>
          </w:tcPr>
          <w:p>
            <w:pPr>
              <w:spacing w:after="0"/>
              <w:rPr>
                <w:sz w:val="1"/>
                <w:szCs w:val="1"/>
                <w:color w:val="auto"/>
              </w:rPr>
            </w:pPr>
          </w:p>
        </w:tc>
      </w:tr>
      <w:tr>
        <w:trPr>
          <w:trHeight w:val="189"/>
        </w:trPr>
        <w:tc>
          <w:tcPr>
            <w:tcW w:w="2960" w:type="dxa"/>
            <w:vAlign w:val="bottom"/>
          </w:tcPr>
          <w:p>
            <w:pPr>
              <w:jc w:val="center"/>
              <w:ind w:right="2388"/>
              <w:spacing w:after="0"/>
              <w:rPr>
                <w:sz w:val="20"/>
                <w:szCs w:val="20"/>
                <w:color w:val="auto"/>
              </w:rPr>
            </w:pPr>
            <w:r>
              <w:rPr>
                <w:rFonts w:ascii="Arial" w:cs="Arial" w:eastAsia="Arial" w:hAnsi="Arial"/>
                <w:sz w:val="14"/>
                <w:szCs w:val="14"/>
                <w:b w:val="1"/>
                <w:bCs w:val="1"/>
                <w:u w:val="single" w:color="auto"/>
                <w:color w:val="auto"/>
                <w:w w:val="94"/>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284">
        <w:r>
          <w:rPr>
            <w:rFonts w:ascii="Arial" w:cs="Arial" w:eastAsia="Arial" w:hAnsi="Arial"/>
            <w:sz w:val="18"/>
            <w:szCs w:val="18"/>
            <w:u w:val="single" w:color="auto"/>
            <w:color w:val="0000FF"/>
          </w:rPr>
          <w:t>Form of Notice of FNF Restricted Stock Grant and FNF Restricted Stock Award Agreement under Amended and Restated Fidelity National</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Financial, Inc. 2005 Omnibus Incentive Plan for October 2018 Awards (incorporated by reference to Exhibit 10.41 to the Registrant's Annual</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Report on Form 10-K for the year ended December 31, 2018) (1)</w:t>
        </w:r>
      </w:hyperlink>
    </w:p>
    <w:p>
      <w:pPr>
        <w:spacing w:after="0" w:line="1" w:lineRule="exact"/>
        <w:rPr>
          <w:rFonts w:ascii="Arial" w:cs="Arial" w:eastAsia="Arial" w:hAnsi="Arial"/>
          <w:sz w:val="18"/>
          <w:szCs w:val="18"/>
          <w:u w:val="single" w:color="auto"/>
          <w:color w:val="0000FF"/>
        </w:rPr>
      </w:pPr>
    </w:p>
    <w:p>
      <w:pPr>
        <w:jc w:val="both"/>
        <w:ind w:left="800" w:hanging="604"/>
        <w:spacing w:after="0" w:line="23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285">
        <w:r>
          <w:rPr>
            <w:rFonts w:ascii="Arial" w:cs="Arial" w:eastAsia="Arial" w:hAnsi="Arial"/>
            <w:sz w:val="18"/>
            <w:szCs w:val="18"/>
            <w:u w:val="single" w:color="auto"/>
            <w:color w:val="0000FF"/>
          </w:rPr>
          <w:t>Tax Matters Agreement, dated as of November 17, 2017, by and between Fidelity National Financial, Inc. and Cannae Holdings, Inc.</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(incorporated by reference to Exhibit 10.1 to the Registrant's Current Report on Form 8-K filed on November 20, 2017)</w:t>
        </w:r>
      </w:hyperlink>
    </w:p>
    <w:p>
      <w:pPr>
        <w:spacing w:after="0" w:line="1" w:lineRule="exact"/>
        <w:rPr>
          <w:sz w:val="20"/>
          <w:szCs w:val="20"/>
          <w:color w:val="auto"/>
        </w:rPr>
      </w:pPr>
    </w:p>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286">
        <w:r>
          <w:rPr>
            <w:rFonts w:ascii="Arial" w:cs="Arial" w:eastAsia="Arial" w:hAnsi="Arial"/>
            <w:sz w:val="18"/>
            <w:szCs w:val="18"/>
            <w:u w:val="single" w:color="auto"/>
            <w:color w:val="0000FF"/>
          </w:rPr>
          <w:t>Termination Agreement, dated September 9, 2019, among Stewart Information Services Corporation, Fidelity National Financial, Inc., A</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Holdco Corp. and S Holdco LLC (incorporated by reference to Exhibit 10.1 to the Registrant’s Current Report on Form 8-K filed on September</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11, 2019)</w:t>
        </w:r>
      </w:hyperlink>
    </w:p>
    <w:p>
      <w:pPr>
        <w:spacing w:after="0" w:line="1" w:lineRule="exact"/>
        <w:rPr>
          <w:rFonts w:ascii="Arial" w:cs="Arial" w:eastAsia="Arial" w:hAnsi="Arial"/>
          <w:sz w:val="18"/>
          <w:szCs w:val="18"/>
          <w:u w:val="single" w:color="auto"/>
          <w:color w:val="0000FF"/>
        </w:rPr>
      </w:pPr>
    </w:p>
    <w:p>
      <w:pPr>
        <w:ind w:left="800" w:right="26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287">
        <w:r>
          <w:rPr>
            <w:rFonts w:ascii="Arial" w:cs="Arial" w:eastAsia="Arial" w:hAnsi="Arial"/>
            <w:sz w:val="18"/>
            <w:szCs w:val="18"/>
            <w:u w:val="single" w:color="auto"/>
            <w:color w:val="0000FF"/>
          </w:rPr>
          <w:t>Amendment effective November 1, 2019 to Amended and Restated Employment Agreement between the Registrant and Michael L. Gravelle</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effective May 3, 2016 (incorporated by reference to Exhibit 10.2 to the Registrant's Quarterly Report on Form 10-Q for the quarter ended</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September 30, 2019) (1)</w:t>
        </w:r>
      </w:hyperlink>
    </w:p>
    <w:p>
      <w:pPr>
        <w:spacing w:after="0" w:line="1" w:lineRule="exact"/>
        <w:rPr>
          <w:rFonts w:ascii="Arial" w:cs="Arial" w:eastAsia="Arial" w:hAnsi="Arial"/>
          <w:sz w:val="18"/>
          <w:szCs w:val="18"/>
          <w:u w:val="single" w:color="auto"/>
          <w:color w:val="0000FF"/>
        </w:rPr>
      </w:pPr>
    </w:p>
    <w:p>
      <w:pPr>
        <w:ind w:left="800" w:right="80" w:hanging="604"/>
        <w:spacing w:after="0" w:line="270"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10.40</w:t>
      </w:r>
      <w:r>
        <w:rPr>
          <w:sz w:val="20"/>
          <w:szCs w:val="20"/>
          <w:color w:val="auto"/>
        </w:rPr>
        <w:tab/>
      </w:r>
      <w:hyperlink r:id="rId288">
        <w:r>
          <w:rPr>
            <w:rFonts w:ascii="Arial" w:cs="Arial" w:eastAsia="Arial" w:hAnsi="Arial"/>
            <w:sz w:val="17"/>
            <w:szCs w:val="17"/>
            <w:u w:val="single" w:color="auto"/>
            <w:color w:val="0000FF"/>
          </w:rPr>
          <w:t>Term Loan Credit Agreement, dated April 22, 2020, among Fidelity National Financial, Inc., as the Borrower, Bank of America, N.A. as</w:t>
        </w:r>
      </w:hyperlink>
      <w:r>
        <w:rPr>
          <w:rFonts w:ascii="Arial" w:cs="Arial" w:eastAsia="Arial" w:hAnsi="Arial"/>
          <w:sz w:val="17"/>
          <w:szCs w:val="17"/>
          <w:u w:val="single" w:color="auto"/>
          <w:color w:val="0000FF"/>
        </w:rPr>
        <w:t xml:space="preserve"> </w:t>
      </w:r>
      <w:hyperlink r:id="rId288">
        <w:r>
          <w:rPr>
            <w:rFonts w:ascii="Arial" w:cs="Arial" w:eastAsia="Arial" w:hAnsi="Arial"/>
            <w:sz w:val="17"/>
            <w:szCs w:val="17"/>
            <w:u w:val="single" w:color="auto"/>
            <w:color w:val="0000FF"/>
          </w:rPr>
          <w:t>Administrative Agent, JP Morgan Chase Bank, N.A., as Syndication Agent, and The Other Lenders Party Thereto (incorporated by reference to</w:t>
        </w:r>
      </w:hyperlink>
      <w:r>
        <w:rPr>
          <w:rFonts w:ascii="Arial" w:cs="Arial" w:eastAsia="Arial" w:hAnsi="Arial"/>
          <w:sz w:val="17"/>
          <w:szCs w:val="17"/>
          <w:u w:val="single" w:color="auto"/>
          <w:color w:val="0000FF"/>
        </w:rPr>
        <w:t xml:space="preserve"> </w:t>
      </w:r>
      <w:hyperlink r:id="rId288">
        <w:r>
          <w:rPr>
            <w:rFonts w:ascii="Arial" w:cs="Arial" w:eastAsia="Arial" w:hAnsi="Arial"/>
            <w:sz w:val="17"/>
            <w:szCs w:val="17"/>
            <w:u w:val="single" w:color="auto"/>
            <w:color w:val="0000FF"/>
          </w:rPr>
          <w:t>Exhibit 10.1 to the Registrant's Quarterly Report on Form 10-Q for the quarter ended March 31, 2020)</w:t>
        </w:r>
      </w:hyperlink>
    </w:p>
    <w:p>
      <w:pPr>
        <w:spacing w:after="0" w:line="1" w:lineRule="exact"/>
        <w:rPr>
          <w:rFonts w:ascii="Arial" w:cs="Arial" w:eastAsia="Arial" w:hAnsi="Arial"/>
          <w:sz w:val="17"/>
          <w:szCs w:val="17"/>
          <w:u w:val="single" w:color="auto"/>
          <w:color w:val="0000FF"/>
        </w:rPr>
      </w:pPr>
    </w:p>
    <w:p>
      <w:pPr>
        <w:jc w:val="both"/>
        <w:ind w:left="800" w:hanging="604"/>
        <w:spacing w:after="0" w:line="235"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289">
        <w:r>
          <w:rPr>
            <w:rFonts w:ascii="Arial" w:cs="Arial" w:eastAsia="Arial" w:hAnsi="Arial"/>
            <w:sz w:val="18"/>
            <w:szCs w:val="18"/>
            <w:u w:val="single" w:color="auto"/>
            <w:color w:val="0000FF"/>
          </w:rPr>
          <w:t>FGL Holdings 2017 Omnibus Incentive Plan, as amended and restated through June 1, 2020 (incorporated by reference to Exhibit 99.1 to the</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Registrant’s Registration Statement on Form S -8 filed on June 1, 2020) (1)</w:t>
        </w:r>
      </w:hyperlink>
    </w:p>
    <w:p>
      <w:pPr>
        <w:jc w:val="both"/>
        <w:ind w:left="800" w:hanging="604"/>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90">
        <w:r>
          <w:rPr>
            <w:rFonts w:ascii="Arial" w:cs="Arial" w:eastAsia="Arial" w:hAnsi="Arial"/>
            <w:sz w:val="18"/>
            <w:szCs w:val="18"/>
            <w:u w:val="single" w:color="auto"/>
            <w:color w:val="0000FF"/>
          </w:rPr>
          <w:t>Fifth Amended and Restated Credit Agreement, dated as of October 29, 2020, by and among Fidelity National Financial, Inc., as the Borrower,</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Bank of America, N.A., as administrative agent, and other agents party thereto (incorporated by reference to Exhibit 10.1 to the Registrant's</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Current Report on Form 8-K filed on November 4, 2020)</w:t>
        </w:r>
      </w:hyperlink>
    </w:p>
    <w:p>
      <w:pPr>
        <w:spacing w:after="0" w:line="1" w:lineRule="exact"/>
        <w:rPr>
          <w:rFonts w:ascii="Arial" w:cs="Arial" w:eastAsia="Arial" w:hAnsi="Arial"/>
          <w:sz w:val="18"/>
          <w:szCs w:val="18"/>
          <w:u w:val="single" w:color="auto"/>
          <w:color w:val="0000FF"/>
        </w:rPr>
      </w:pPr>
    </w:p>
    <w:p>
      <w:pPr>
        <w:jc w:val="both"/>
        <w:ind w:left="800" w:hanging="604"/>
        <w:spacing w:after="0" w:line="264"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10.43</w:t>
      </w:r>
      <w:r>
        <w:rPr>
          <w:sz w:val="20"/>
          <w:szCs w:val="20"/>
          <w:color w:val="auto"/>
        </w:rPr>
        <w:tab/>
      </w:r>
      <w:hyperlink r:id="rId291">
        <w:r>
          <w:rPr>
            <w:rFonts w:ascii="Arial" w:cs="Arial" w:eastAsia="Arial" w:hAnsi="Arial"/>
            <w:sz w:val="16"/>
            <w:szCs w:val="16"/>
            <w:u w:val="single" w:color="auto"/>
            <w:color w:val="0000FF"/>
          </w:rPr>
          <w:t>Form of Subscription Agreement by and among Paysafe Limited, Foley Trasimene Acquisition Corp. II, and certain subsidiaries of Fidelity</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 xml:space="preserve">National Financial, Inc. (incorporated by reference to Exhibit 10.1 to the Registrant's Current Report on Form 8-K filed on </w:t>
        </w:r>
        <w:r>
          <w:rPr>
            <w:rFonts w:ascii="Arial" w:cs="Arial" w:eastAsia="Arial" w:hAnsi="Arial"/>
            <w:sz w:val="16"/>
            <w:szCs w:val="16"/>
            <w:u w:val="single" w:color="auto"/>
            <w:color w:val="0000FF"/>
            <w:highlight w:val="white"/>
          </w:rPr>
          <w:t>December 7, 2020</w:t>
        </w:r>
        <w:r>
          <w:rPr>
            <w:rFonts w:ascii="Arial" w:cs="Arial" w:eastAsia="Arial" w:hAnsi="Arial"/>
            <w:sz w:val="16"/>
            <w:szCs w:val="16"/>
            <w:u w:val="single" w:color="auto"/>
            <w:color w:val="0000FF"/>
          </w:rPr>
          <w:t>)</w:t>
        </w:r>
      </w:hyperlink>
    </w:p>
    <w:p>
      <w:pPr>
        <w:jc w:val="both"/>
        <w:ind w:left="800" w:hanging="604"/>
        <w:spacing w:after="0" w:line="28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292">
        <w:r>
          <w:rPr>
            <w:rFonts w:ascii="Arial" w:cs="Arial" w:eastAsia="Arial" w:hAnsi="Arial"/>
            <w:sz w:val="16"/>
            <w:szCs w:val="16"/>
            <w:u w:val="single" w:color="auto"/>
            <w:color w:val="0000FF"/>
          </w:rPr>
          <w:t>Form of Subscription Agreement by and among Acrobat Holdings, Inc., Foley Trasimene Acquisition Corp., and certain subsidiaries of Fidelity</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National Financial, Inc. (incorporated by reference to Exhibit 10.1 to the Registrant's Current Report on Form 8-K filed on January 27,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9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w:t>
            </w:r>
          </w:p>
        </w:tc>
        <w:tc>
          <w:tcPr>
            <w:tcW w:w="9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21.1</w:t>
            </w:r>
          </w:p>
        </w:tc>
        <w:tc>
          <w:tcPr>
            <w:tcW w:w="240" w:type="dxa"/>
            <w:vAlign w:val="bottom"/>
          </w:tcPr>
          <w:p>
            <w:pPr>
              <w:spacing w:after="0"/>
              <w:rPr>
                <w:sz w:val="21"/>
                <w:szCs w:val="21"/>
                <w:color w:val="auto"/>
              </w:rPr>
            </w:pPr>
          </w:p>
        </w:tc>
        <w:tc>
          <w:tcPr>
            <w:tcW w:w="4680" w:type="dxa"/>
            <w:vAlign w:val="bottom"/>
            <w:gridSpan w:val="2"/>
          </w:tcPr>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Subsidiaries of the Registrant</w:t>
              </w:r>
            </w:hyperlink>
          </w:p>
        </w:tc>
        <w:tc>
          <w:tcPr>
            <w:tcW w:w="880" w:type="dxa"/>
            <w:vAlign w:val="bottom"/>
            <w:tcBorders>
              <w:top w:val="single" w:sz="8" w:color="auto"/>
            </w:tcBorders>
          </w:tcPr>
          <w:p>
            <w:pPr>
              <w:spacing w:after="0"/>
              <w:rPr>
                <w:sz w:val="21"/>
                <w:szCs w:val="21"/>
                <w:color w:val="auto"/>
              </w:rPr>
            </w:pPr>
          </w:p>
        </w:tc>
        <w:tc>
          <w:tcPr>
            <w:tcW w:w="47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19"/>
                <w:szCs w:val="19"/>
                <w:color w:val="auto"/>
              </w:rPr>
            </w:pPr>
          </w:p>
        </w:tc>
        <w:tc>
          <w:tcPr>
            <w:tcW w:w="10260" w:type="dxa"/>
            <w:vAlign w:val="bottom"/>
            <w:gridSpan w:val="6"/>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29"/>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9"/>
                <w:szCs w:val="19"/>
                <w:color w:val="auto"/>
              </w:rPr>
            </w:pPr>
          </w:p>
        </w:tc>
        <w:tc>
          <w:tcPr>
            <w:tcW w:w="10260" w:type="dxa"/>
            <w:vAlign w:val="bottom"/>
            <w:gridSpan w:val="6"/>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9"/>
                <w:szCs w:val="19"/>
                <w:color w:val="auto"/>
              </w:rPr>
            </w:pPr>
          </w:p>
        </w:tc>
        <w:tc>
          <w:tcPr>
            <w:tcW w:w="10260" w:type="dxa"/>
            <w:vAlign w:val="bottom"/>
            <w:gridSpan w:val="6"/>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90"/>
        </w:trPr>
        <w:tc>
          <w:tcPr>
            <w:tcW w:w="58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6"/>
                <w:szCs w:val="16"/>
                <w:color w:val="auto"/>
              </w:rPr>
            </w:pPr>
          </w:p>
        </w:tc>
        <w:tc>
          <w:tcPr>
            <w:tcW w:w="10260" w:type="dxa"/>
            <w:vAlign w:val="bottom"/>
            <w:gridSpan w:val="6"/>
          </w:tcPr>
          <w:p>
            <w:pPr>
              <w:spacing w:after="0" w:line="190" w:lineRule="exact"/>
              <w:rPr>
                <w:rFonts w:ascii="Arial" w:cs="Arial" w:eastAsia="Arial" w:hAnsi="Arial"/>
                <w:sz w:val="18"/>
                <w:szCs w:val="18"/>
                <w:color w:val="0000FF"/>
                <w:w w:val="92"/>
              </w:rPr>
            </w:pPr>
            <w:hyperlink w:anchor="page189">
              <w:r>
                <w:rPr>
                  <w:rFonts w:ascii="Arial" w:cs="Arial" w:eastAsia="Arial" w:hAnsi="Arial"/>
                  <w:sz w:val="18"/>
                  <w:szCs w:val="18"/>
                  <w:color w:val="0000FF"/>
                  <w:w w:val="92"/>
                </w:rPr>
                <w:t>Certification by Chief Executive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89">
              <w:r>
                <w:rPr>
                  <w:rFonts w:ascii="Arial" w:cs="Arial" w:eastAsia="Arial" w:hAnsi="Arial"/>
                  <w:sz w:val="18"/>
                  <w:szCs w:val="18"/>
                  <w:color w:val="0000FF"/>
                </w:rPr>
                <w:t>Section 1350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8"/>
                <w:szCs w:val="18"/>
                <w:color w:val="auto"/>
              </w:rPr>
            </w:pPr>
          </w:p>
        </w:tc>
        <w:tc>
          <w:tcPr>
            <w:tcW w:w="10260" w:type="dxa"/>
            <w:vAlign w:val="bottom"/>
            <w:gridSpan w:val="6"/>
          </w:tcPr>
          <w:p>
            <w:pPr>
              <w:spacing w:after="0"/>
              <w:rPr>
                <w:rFonts w:ascii="Arial" w:cs="Arial" w:eastAsia="Arial" w:hAnsi="Arial"/>
                <w:sz w:val="18"/>
                <w:szCs w:val="18"/>
                <w:color w:val="0000FF"/>
                <w:w w:val="93"/>
              </w:rPr>
            </w:pPr>
            <w:hyperlink w:anchor="page190">
              <w:r>
                <w:rPr>
                  <w:rFonts w:ascii="Arial" w:cs="Arial" w:eastAsia="Arial" w:hAnsi="Arial"/>
                  <w:sz w:val="18"/>
                  <w:szCs w:val="18"/>
                  <w:color w:val="0000FF"/>
                  <w:w w:val="93"/>
                </w:rPr>
                <w:t>Certification by Chief Financial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90">
              <w:r>
                <w:rPr>
                  <w:rFonts w:ascii="Arial" w:cs="Arial" w:eastAsia="Arial" w:hAnsi="Arial"/>
                  <w:sz w:val="18"/>
                  <w:szCs w:val="18"/>
                  <w:color w:val="0000FF"/>
                </w:rPr>
                <w:t>Section 1350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Instance Document (2)</w:t>
            </w:r>
          </w:p>
        </w:tc>
        <w:tc>
          <w:tcPr>
            <w:tcW w:w="0" w:type="dxa"/>
            <w:vAlign w:val="bottom"/>
          </w:tcPr>
          <w:p>
            <w:pPr>
              <w:spacing w:after="0"/>
              <w:rPr>
                <w:sz w:val="1"/>
                <w:szCs w:val="1"/>
                <w:color w:val="auto"/>
              </w:rPr>
            </w:pPr>
          </w:p>
        </w:tc>
      </w:tr>
      <w:tr>
        <w:trPr>
          <w:trHeight w:val="229"/>
        </w:trPr>
        <w:tc>
          <w:tcPr>
            <w:tcW w:w="8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8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82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82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2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980" w:hanging="628"/>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management or compensatory plan or arrangement required to be filed as an exhibit to this report pursuant to Item 15(c) of Form 10-K</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3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ind w:left="616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3399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 and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93" w:lineRule="exact"/>
        <w:rPr>
          <w:sz w:val="20"/>
          <w:szCs w:val="20"/>
          <w:color w:val="auto"/>
        </w:rPr>
      </w:pPr>
    </w:p>
    <w:p>
      <w:pPr>
        <w:ind w:left="20" w:right="420" w:firstLine="27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0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2"/>
              </w:rPr>
              <w:t>Signature</w:t>
            </w:r>
          </w:p>
        </w:tc>
        <w:tc>
          <w:tcPr>
            <w:tcW w:w="4760" w:type="dxa"/>
            <w:vAlign w:val="bottom"/>
            <w:gridSpan w:val="3"/>
          </w:tcPr>
          <w:p>
            <w:pPr>
              <w:jc w:val="center"/>
              <w:ind w:left="571"/>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304"/>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2"/>
              </w:rPr>
              <w:t>Chief Executive Officer and 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Raymond R. Quirk</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4"/>
              </w:rPr>
              <w:t>(Principal Executive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3"/>
              </w:rPr>
              <w:t>Chief Financial Officer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3"/>
              </w:rPr>
              <w:t>(Principal Financial and Accounting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2"/>
              </w:rPr>
              <w:t>Director and Chairman of the Board</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Thomas M. Hagerty</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Sandra Morgan</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0"/>
              </w:rPr>
              <w:t>Sandra Morgan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/s/ Heather H. Murren</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Heather H. Murren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John D. Rood</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476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Director</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March 1,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tabs>
          <w:tab w:leader="none" w:pos="474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8"/>
          <w:szCs w:val="18"/>
          <w:color w:val="auto"/>
        </w:rPr>
        <w:t>FIDELITY NATIONAL FINANCIAL, INC.</w:t>
      </w:r>
    </w:p>
    <w:p>
      <w:pPr>
        <w:ind w:left="4760"/>
        <w:spacing w:after="0"/>
        <w:rPr>
          <w:sz w:val="20"/>
          <w:szCs w:val="20"/>
          <w:color w:val="auto"/>
        </w:rPr>
      </w:pPr>
      <w:r>
        <w:rPr>
          <w:rFonts w:ascii="Arial" w:cs="Arial" w:eastAsia="Arial" w:hAnsi="Arial"/>
          <w:sz w:val="18"/>
          <w:szCs w:val="18"/>
          <w:color w:val="auto"/>
        </w:rPr>
        <w:t>(registrant)</w:t>
      </w:r>
    </w:p>
    <w:p>
      <w:pPr>
        <w:spacing w:after="0" w:line="182" w:lineRule="exact"/>
        <w:rPr>
          <w:sz w:val="20"/>
          <w:szCs w:val="20"/>
          <w:color w:val="auto"/>
        </w:rPr>
      </w:pPr>
    </w:p>
    <w:p>
      <w:pPr>
        <w:ind w:left="476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3488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Anthony J. Park</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ind w:left="51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72" w:name="page173"/>
    <w:bookmarkEnd w:id="1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vMerge w:val="restart"/>
          </w:tcPr>
          <w:p>
            <w:pPr>
              <w:jc w:val="center"/>
              <w:ind w:left="2726"/>
              <w:spacing w:after="0"/>
              <w:rPr>
                <w:sz w:val="20"/>
                <w:szCs w:val="20"/>
                <w:color w:val="auto"/>
              </w:rPr>
            </w:pPr>
            <w:r>
              <w:rPr>
                <w:rFonts w:ascii="Arial" w:cs="Arial" w:eastAsia="Arial" w:hAnsi="Arial"/>
                <w:sz w:val="18"/>
                <w:szCs w:val="18"/>
                <w:b w:val="1"/>
                <w:bCs w:val="1"/>
                <w:color w:val="auto"/>
              </w:rPr>
              <w:t>FIDELITY NATIONAL FINANCIAL, INC.</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198"/>
        </w:trPr>
        <w:tc>
          <w:tcPr>
            <w:tcW w:w="84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tcPr>
          <w:p>
            <w:pPr>
              <w:jc w:val="center"/>
              <w:ind w:left="2726"/>
              <w:spacing w:after="0"/>
              <w:rPr>
                <w:sz w:val="20"/>
                <w:szCs w:val="20"/>
                <w:color w:val="auto"/>
              </w:rPr>
            </w:pPr>
            <w:r>
              <w:rPr>
                <w:rFonts w:ascii="Arial" w:cs="Arial" w:eastAsia="Arial" w:hAnsi="Arial"/>
                <w:sz w:val="18"/>
                <w:szCs w:val="18"/>
                <w:b w:val="1"/>
                <w:bCs w:val="1"/>
                <w:color w:val="auto"/>
                <w:w w:val="92"/>
              </w:rPr>
              <w:t>(Parent Company)</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40" w:type="dxa"/>
            <w:vAlign w:val="bottom"/>
          </w:tcPr>
          <w:p>
            <w:pPr>
              <w:jc w:val="center"/>
              <w:ind w:left="2746"/>
              <w:spacing w:after="0"/>
              <w:rPr>
                <w:sz w:val="20"/>
                <w:szCs w:val="20"/>
                <w:color w:val="auto"/>
              </w:rPr>
            </w:pPr>
            <w:r>
              <w:rPr>
                <w:rFonts w:ascii="Arial" w:cs="Arial" w:eastAsia="Arial" w:hAnsi="Arial"/>
                <w:sz w:val="18"/>
                <w:szCs w:val="18"/>
                <w:b w:val="1"/>
                <w:bCs w:val="1"/>
                <w:color w:val="auto"/>
                <w:w w:val="98"/>
              </w:rPr>
              <w:t>BALANCE SHEETS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 millions, except share data)</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40" w:type="dxa"/>
            <w:vAlign w:val="bottom"/>
          </w:tcPr>
          <w:p>
            <w:pPr>
              <w:ind w:left="5240"/>
              <w:spacing w:after="0"/>
              <w:rPr>
                <w:sz w:val="20"/>
                <w:szCs w:val="20"/>
                <w:color w:val="auto"/>
              </w:rPr>
            </w:pPr>
            <w:r>
              <w:rPr>
                <w:rFonts w:ascii="Arial" w:cs="Arial" w:eastAsia="Arial" w:hAnsi="Arial"/>
                <w:sz w:val="14"/>
                <w:szCs w:val="14"/>
                <w:b w:val="1"/>
                <w:bCs w:val="1"/>
                <w:color w:val="auto"/>
              </w:rPr>
              <w:t>ASSETS</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Short term investments</w:t>
            </w:r>
          </w:p>
        </w:tc>
        <w:tc>
          <w:tcPr>
            <w:tcW w:w="7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 at fair value</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Investment in unconsolidated affiliates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Investments in and amounts due from subsidiaries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4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11,306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shd w:val="clear" w:color="auto" w:fill="CCEEFF"/>
          </w:tcPr>
          <w:p>
            <w:pPr>
              <w:ind w:left="46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Notes payable</w:t>
            </w: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liabilities</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Equity:</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FNF common stock, $0.0001 par value; authorized 600,000,000 shares as of December 31, 2020 and December 31, 2019; outstanding of</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2"/>
              </w:rPr>
              <w:t>298,203,194 and 275,563,436 as of December 31, 2020 and December 31, 2019, respectively, and issued of 322,622,948 and 292,236,476 as of</w:t>
            </w:r>
          </w:p>
        </w:tc>
        <w:tc>
          <w:tcPr>
            <w:tcW w:w="7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2020 and December 31, 2019, respectively</w:t>
            </w:r>
          </w:p>
        </w:tc>
        <w:tc>
          <w:tcPr>
            <w:tcW w:w="7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7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earnings (loss)</w:t>
            </w: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7"/>
              </w:rPr>
              <w:t>Less: Treasury stock, 24,419,754 shares and 16,673,040 shares as of December 31, 2020 and December 31, 2019, respectively, at cost</w:t>
            </w: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40" w:type="dxa"/>
            <w:vAlign w:val="bottom"/>
          </w:tcPr>
          <w:p>
            <w:pPr>
              <w:ind w:left="480"/>
              <w:spacing w:after="0"/>
              <w:rPr>
                <w:sz w:val="20"/>
                <w:szCs w:val="20"/>
                <w:color w:val="auto"/>
              </w:rPr>
            </w:pPr>
            <w:r>
              <w:rPr>
                <w:rFonts w:ascii="Arial" w:cs="Arial" w:eastAsia="Arial" w:hAnsi="Arial"/>
                <w:sz w:val="14"/>
                <w:szCs w:val="14"/>
                <w:color w:val="auto"/>
              </w:rPr>
              <w:t>Total liabilities and equity</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11,306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3" w:name="page174"/>
    <w:bookmarkEnd w:id="1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SCHEDULE II</w:t>
            </w:r>
          </w:p>
        </w:tc>
      </w:tr>
      <w:tr>
        <w:trPr>
          <w:trHeight w:val="441"/>
        </w:trPr>
        <w:tc>
          <w:tcPr>
            <w:tcW w:w="7420" w:type="dxa"/>
            <w:vAlign w:val="bottom"/>
          </w:tcPr>
          <w:p>
            <w:pPr>
              <w:jc w:val="center"/>
              <w:ind w:left="3731"/>
              <w:spacing w:after="0"/>
              <w:rPr>
                <w:sz w:val="20"/>
                <w:szCs w:val="20"/>
                <w:color w:val="auto"/>
              </w:rPr>
            </w:pPr>
            <w:r>
              <w:rPr>
                <w:rFonts w:ascii="Arial" w:cs="Arial" w:eastAsia="Arial" w:hAnsi="Arial"/>
                <w:sz w:val="18"/>
                <w:szCs w:val="18"/>
                <w:b w:val="1"/>
                <w:bCs w:val="1"/>
                <w:color w:val="auto"/>
              </w:rPr>
              <w:t>FIDELITY NATIONAL FINANCIAL, INC.</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420" w:type="dxa"/>
            <w:vAlign w:val="bottom"/>
          </w:tcPr>
          <w:p>
            <w:pPr>
              <w:jc w:val="center"/>
              <w:ind w:left="3731"/>
              <w:spacing w:after="0"/>
              <w:rPr>
                <w:sz w:val="20"/>
                <w:szCs w:val="20"/>
                <w:color w:val="auto"/>
              </w:rPr>
            </w:pPr>
            <w:r>
              <w:rPr>
                <w:rFonts w:ascii="Arial" w:cs="Arial" w:eastAsia="Arial" w:hAnsi="Arial"/>
                <w:sz w:val="18"/>
                <w:szCs w:val="18"/>
                <w:b w:val="1"/>
                <w:bCs w:val="1"/>
                <w:color w:val="auto"/>
                <w:w w:val="92"/>
              </w:rPr>
              <w:t>(Parent Company)</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8720" w:type="dxa"/>
            <w:vAlign w:val="bottom"/>
            <w:gridSpan w:val="4"/>
          </w:tcPr>
          <w:p>
            <w:pPr>
              <w:jc w:val="center"/>
              <w:ind w:left="245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7"/>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center"/>
              <w:ind w:left="412"/>
              <w:spacing w:after="0"/>
              <w:rPr>
                <w:sz w:val="20"/>
                <w:szCs w:val="20"/>
                <w:color w:val="auto"/>
              </w:rPr>
            </w:pPr>
            <w:r>
              <w:rPr>
                <w:rFonts w:ascii="Arial" w:cs="Arial" w:eastAsia="Arial" w:hAnsi="Arial"/>
                <w:sz w:val="14"/>
                <w:szCs w:val="14"/>
                <w:b w:val="1"/>
                <w:bCs w:val="1"/>
                <w:color w:val="auto"/>
                <w:w w:val="92"/>
              </w:rPr>
              <w:t>(In millions, except per share data)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 fees and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investment income and realized gains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223"/>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r>
      <w:tr>
        <w:trPr>
          <w:trHeight w:val="217"/>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before income tax benefit and equity in earnings of subsidiaries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before equity in earnings of subsidiaries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of subsidiaries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Equity in earnings of discontinued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48"/>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21"/>
                <w:szCs w:val="2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adoption of accounting standards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 equity activity</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9"/>
                <w:szCs w:val="19"/>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Retained earnings, 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4" w:name="page175"/>
    <w:bookmarkEnd w:id="1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vMerge w:val="restart"/>
          </w:tcPr>
          <w:p>
            <w:pPr>
              <w:jc w:val="center"/>
              <w:ind w:left="325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198"/>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251"/>
              <w:spacing w:after="0"/>
              <w:rPr>
                <w:sz w:val="20"/>
                <w:szCs w:val="20"/>
                <w:color w:val="auto"/>
              </w:rPr>
            </w:pPr>
            <w:r>
              <w:rPr>
                <w:rFonts w:ascii="Arial" w:cs="Arial" w:eastAsia="Arial" w:hAnsi="Arial"/>
                <w:sz w:val="18"/>
                <w:szCs w:val="18"/>
                <w:b w:val="1"/>
                <w:bCs w:val="1"/>
                <w:color w:val="auto"/>
                <w:w w:val="92"/>
              </w:rPr>
              <w:t>(Parent Company)</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00" w:type="dxa"/>
            <w:vAlign w:val="bottom"/>
          </w:tcPr>
          <w:p>
            <w:pPr>
              <w:jc w:val="center"/>
              <w:ind w:left="3271"/>
              <w:spacing w:after="0"/>
              <w:rPr>
                <w:sz w:val="20"/>
                <w:szCs w:val="20"/>
                <w:color w:val="auto"/>
              </w:rPr>
            </w:pPr>
            <w:r>
              <w:rPr>
                <w:rFonts w:ascii="Arial" w:cs="Arial" w:eastAsia="Arial" w:hAnsi="Arial"/>
                <w:sz w:val="18"/>
                <w:szCs w:val="18"/>
                <w:b w:val="1"/>
                <w:bCs w:val="1"/>
                <w:color w:val="auto"/>
                <w:w w:val="98"/>
              </w:rPr>
              <w:t>STATEMENTS OF CASH FLOWS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center"/>
              <w:ind w:left="451"/>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7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1,062</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Pacific Union Sale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Impairment of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Net change in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prepaid expenses and other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increase in accounts payable and other accrued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1"/>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 available for sale</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purchases of short-term investment activities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F&amp;G (net of cash acquired)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Additions to notes receivable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of notes receivable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investments in unconsolidated affiliates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service payments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Equity portion of debt conversions paid in cash</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treasury stock</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for shares withheld for taxes and in treasury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Additional investments in non-controlling interests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Cash at end of year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380"/>
              <w:spacing w:after="0"/>
              <w:rPr>
                <w:sz w:val="20"/>
                <w:szCs w:val="20"/>
                <w:color w:val="auto"/>
              </w:rPr>
            </w:pPr>
            <w:r>
              <w:rPr>
                <w:rFonts w:ascii="Arial" w:cs="Arial" w:eastAsia="Arial" w:hAnsi="Arial"/>
                <w:sz w:val="18"/>
                <w:szCs w:val="18"/>
                <w:color w:val="auto"/>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8"/>
        </w:trPr>
        <w:tc>
          <w:tcPr>
            <w:tcW w:w="7900" w:type="dxa"/>
            <w:vAlign w:val="bottom"/>
          </w:tcPr>
          <w:p>
            <w:pPr>
              <w:jc w:val="center"/>
              <w:ind w:left="3251"/>
              <w:spacing w:after="0"/>
              <w:rPr>
                <w:sz w:val="20"/>
                <w:szCs w:val="20"/>
                <w:color w:val="auto"/>
              </w:rPr>
            </w:pPr>
            <w:r>
              <w:rPr>
                <w:rFonts w:ascii="Arial" w:cs="Arial" w:eastAsia="Arial" w:hAnsi="Arial"/>
                <w:sz w:val="18"/>
                <w:szCs w:val="18"/>
                <w:color w:val="auto"/>
                <w:w w:val="93"/>
              </w:rPr>
              <w:t>173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5" w:name="page176"/>
    <w:bookmarkEnd w:id="1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08" w:lineRule="exact"/>
        <w:rPr>
          <w:sz w:val="20"/>
          <w:szCs w:val="20"/>
          <w:color w:val="auto"/>
        </w:rPr>
      </w:pPr>
    </w:p>
    <w:p>
      <w:pPr>
        <w:ind w:firstLine="283"/>
        <w:spacing w:after="0" w:line="308" w:lineRule="auto"/>
        <w:rPr>
          <w:sz w:val="20"/>
          <w:szCs w:val="20"/>
          <w:color w:val="auto"/>
        </w:rPr>
      </w:pPr>
      <w:r>
        <w:rPr>
          <w:rFonts w:ascii="Arial" w:cs="Arial" w:eastAsia="Arial" w:hAnsi="Arial"/>
          <w:sz w:val="17"/>
          <w:szCs w:val="17"/>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B.  Notes Payable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1"/>
        </w:trPr>
        <w:tc>
          <w:tcPr>
            <w:tcW w:w="8900" w:type="dxa"/>
            <w:vAlign w:val="bottom"/>
          </w:tcPr>
          <w:p>
            <w:pPr>
              <w:ind w:left="300"/>
              <w:spacing w:after="0"/>
              <w:rPr>
                <w:sz w:val="20"/>
                <w:szCs w:val="20"/>
                <w:color w:val="auto"/>
              </w:rPr>
            </w:pPr>
            <w:r>
              <w:rPr>
                <w:rFonts w:ascii="Arial" w:cs="Arial" w:eastAsia="Arial" w:hAnsi="Arial"/>
                <w:sz w:val="18"/>
                <w:szCs w:val="18"/>
                <w:color w:val="auto"/>
              </w:rPr>
              <w:t>Notes payable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0"/>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8"/>
                <w:szCs w:val="18"/>
                <w:color w:val="auto"/>
              </w:rPr>
            </w:pPr>
          </w:p>
        </w:tc>
      </w:tr>
      <w:tr>
        <w:trPr>
          <w:trHeight w:val="187"/>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8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r>
      <w:tr>
        <w:trPr>
          <w:trHeight w:val="231"/>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 Notes, net of discount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5.50% Notes, net of discount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3.40% Notes, net of discount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2.45% Notes, net of discount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9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r>
      <w:tr>
        <w:trPr>
          <w:trHeight w:val="181"/>
        </w:trPr>
        <w:tc>
          <w:tcPr>
            <w:tcW w:w="7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color w:val="auto"/>
              </w:rPr>
              <w:t>Cash paid during the year:</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720" w:type="dxa"/>
            <w:vAlign w:val="bottom"/>
          </w:tcPr>
          <w:p>
            <w:pPr>
              <w:spacing w:after="0"/>
              <w:rPr>
                <w:sz w:val="20"/>
                <w:szCs w:val="20"/>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w w:val="99"/>
              </w:rPr>
              <w:t>317</w:t>
            </w:r>
          </w:p>
        </w:tc>
        <w:tc>
          <w:tcPr>
            <w:tcW w:w="2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r>
    </w:tbl>
    <w:p>
      <w:pPr>
        <w:spacing w:after="0" w:line="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tab/>
        <w:t>Cash Dividends Received</w:t>
      </w:r>
    </w:p>
    <w:p>
      <w:pPr>
        <w:spacing w:after="0" w:line="108"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We have received cash dividends from subsidiaries and affiliates of $0.5 billion, $0.5 billion, and $0.4 billion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6" w:name="page177"/>
    <w:bookmarkEnd w:id="1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jc w:val="center"/>
              <w:ind w:left="1324"/>
              <w:spacing w:after="0"/>
              <w:rPr>
                <w:sz w:val="20"/>
                <w:szCs w:val="20"/>
                <w:color w:val="auto"/>
              </w:rPr>
            </w:pPr>
            <w:r>
              <w:rPr>
                <w:rFonts w:ascii="Arial" w:cs="Arial" w:eastAsia="Arial" w:hAnsi="Arial"/>
                <w:sz w:val="18"/>
                <w:szCs w:val="18"/>
                <w:b w:val="1"/>
                <w:bCs w:val="1"/>
                <w:color w:val="auto"/>
              </w:rPr>
              <w:t>FIDELITY NATIONAL FINANCIAL, INC.</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9840" w:type="dxa"/>
            <w:vAlign w:val="bottom"/>
          </w:tcPr>
          <w:p>
            <w:pPr>
              <w:jc w:val="center"/>
              <w:ind w:left="1344"/>
              <w:spacing w:after="0"/>
              <w:rPr>
                <w:sz w:val="20"/>
                <w:szCs w:val="20"/>
                <w:color w:val="auto"/>
              </w:rPr>
            </w:pPr>
            <w:r>
              <w:rPr>
                <w:rFonts w:ascii="Arial" w:cs="Arial" w:eastAsia="Arial" w:hAnsi="Arial"/>
                <w:sz w:val="18"/>
                <w:szCs w:val="18"/>
                <w:b w:val="1"/>
                <w:bCs w:val="1"/>
                <w:color w:val="auto"/>
                <w:w w:val="93"/>
              </w:rPr>
              <w:t>F&amp;G Supplementary Insurance Information</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9840" w:type="dxa"/>
            <w:vAlign w:val="bottom"/>
          </w:tcPr>
          <w:p>
            <w:pPr>
              <w:jc w:val="center"/>
              <w:ind w:left="1324"/>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0"/>
        </w:trPr>
        <w:tc>
          <w:tcPr>
            <w:tcW w:w="9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4"/>
              </w:rPr>
              <w:t>Seven months ended</w:t>
            </w:r>
          </w:p>
        </w:tc>
      </w:tr>
      <w:tr>
        <w:trPr>
          <w:trHeight w:val="170"/>
        </w:trPr>
        <w:tc>
          <w:tcPr>
            <w:tcW w:w="9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0"/>
              </w:rPr>
              <w:t>December 31, 2020</w:t>
            </w:r>
          </w:p>
        </w:tc>
      </w:tr>
      <w:tr>
        <w:trPr>
          <w:trHeight w:val="188"/>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Life Insurance (single segment):</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6"/>
        </w:trPr>
        <w:tc>
          <w:tcPr>
            <w:tcW w:w="9840" w:type="dxa"/>
            <w:vAlign w:val="bottom"/>
          </w:tcPr>
          <w:p>
            <w:pPr>
              <w:ind w:left="220"/>
              <w:spacing w:after="0"/>
              <w:rPr>
                <w:sz w:val="20"/>
                <w:szCs w:val="20"/>
                <w:color w:val="auto"/>
              </w:rPr>
            </w:pPr>
            <w:r>
              <w:rPr>
                <w:rFonts w:ascii="Arial" w:cs="Arial" w:eastAsia="Arial" w:hAnsi="Arial"/>
                <w:sz w:val="14"/>
                <w:szCs w:val="14"/>
                <w:color w:val="auto"/>
              </w:rPr>
              <w:t>Deferred acquisition costs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192"/>
        </w:trPr>
        <w:tc>
          <w:tcPr>
            <w:tcW w:w="9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Future policy benefits, losses, claims and loss expenses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w:t>
            </w:r>
          </w:p>
        </w:tc>
      </w:tr>
      <w:tr>
        <w:trPr>
          <w:trHeight w:val="186"/>
        </w:trPr>
        <w:tc>
          <w:tcPr>
            <w:tcW w:w="9840" w:type="dxa"/>
            <w:vAlign w:val="bottom"/>
          </w:tcPr>
          <w:p>
            <w:pPr>
              <w:ind w:left="220"/>
              <w:spacing w:after="0"/>
              <w:rPr>
                <w:sz w:val="20"/>
                <w:szCs w:val="20"/>
                <w:color w:val="auto"/>
              </w:rPr>
            </w:pPr>
            <w:r>
              <w:rPr>
                <w:rFonts w:ascii="Arial" w:cs="Arial" w:eastAsia="Arial" w:hAnsi="Arial"/>
                <w:sz w:val="14"/>
                <w:szCs w:val="14"/>
                <w:color w:val="auto"/>
              </w:rPr>
              <w:t>Other policy claims and benefits payable</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92"/>
        </w:trPr>
        <w:tc>
          <w:tcPr>
            <w:tcW w:w="9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Life insurance premiums and other fees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86"/>
        </w:trPr>
        <w:tc>
          <w:tcPr>
            <w:tcW w:w="9840" w:type="dxa"/>
            <w:vAlign w:val="bottom"/>
          </w:tcPr>
          <w:p>
            <w:pPr>
              <w:ind w:left="220"/>
              <w:spacing w:after="0"/>
              <w:rPr>
                <w:sz w:val="20"/>
                <w:szCs w:val="20"/>
                <w:color w:val="auto"/>
              </w:rPr>
            </w:pPr>
            <w:r>
              <w:rPr>
                <w:rFonts w:ascii="Arial" w:cs="Arial" w:eastAsia="Arial" w:hAnsi="Arial"/>
                <w:sz w:val="14"/>
                <w:szCs w:val="14"/>
                <w:color w:val="auto"/>
              </w:rPr>
              <w:t>Interest and investment income</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743</w:t>
            </w:r>
          </w:p>
        </w:tc>
      </w:tr>
      <w:tr>
        <w:trPr>
          <w:trHeight w:val="192"/>
        </w:trPr>
        <w:tc>
          <w:tcPr>
            <w:tcW w:w="9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Benefits, claims, losses and settlement expenses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r>
      <w:tr>
        <w:trPr>
          <w:trHeight w:val="186"/>
        </w:trPr>
        <w:tc>
          <w:tcPr>
            <w:tcW w:w="9840" w:type="dxa"/>
            <w:vAlign w:val="bottom"/>
          </w:tcPr>
          <w:p>
            <w:pPr>
              <w:ind w:left="220"/>
              <w:spacing w:after="0"/>
              <w:rPr>
                <w:sz w:val="20"/>
                <w:szCs w:val="20"/>
                <w:color w:val="auto"/>
              </w:rPr>
            </w:pPr>
            <w:r>
              <w:rPr>
                <w:rFonts w:ascii="Arial" w:cs="Arial" w:eastAsia="Arial" w:hAnsi="Arial"/>
                <w:sz w:val="14"/>
                <w:szCs w:val="14"/>
                <w:color w:val="auto"/>
              </w:rPr>
              <w:t>Amortization, interest, and unlocking of deferred acquisition costs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9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operating expenses, net of deferrals</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b w:val="1"/>
                <w:bCs w:val="1"/>
                <w:color w:val="auto"/>
                <w:w w:val="90"/>
              </w:rPr>
              <w:t>Schedule IV</w:t>
            </w:r>
          </w:p>
        </w:tc>
        <w:tc>
          <w:tcPr>
            <w:tcW w:w="0" w:type="dxa"/>
            <w:vAlign w:val="bottom"/>
          </w:tcPr>
          <w:p>
            <w:pPr>
              <w:spacing w:after="0"/>
              <w:rPr>
                <w:sz w:val="1"/>
                <w:szCs w:val="1"/>
                <w:color w:val="auto"/>
              </w:rPr>
            </w:pPr>
          </w:p>
        </w:tc>
      </w:tr>
      <w:tr>
        <w:trPr>
          <w:trHeight w:val="378"/>
        </w:trPr>
        <w:tc>
          <w:tcPr>
            <w:tcW w:w="3400" w:type="dxa"/>
            <w:vAlign w:val="bottom"/>
          </w:tcPr>
          <w:p>
            <w:pPr>
              <w:spacing w:after="0"/>
              <w:rPr>
                <w:sz w:val="24"/>
                <w:szCs w:val="24"/>
                <w:color w:val="auto"/>
              </w:rPr>
            </w:pPr>
          </w:p>
        </w:tc>
        <w:tc>
          <w:tcPr>
            <w:tcW w:w="392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auto"/>
              </w:rPr>
              <w:t>FIDELITY NATIONAL FINANCIAL, INC.</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2"/>
              </w:rPr>
              <w:t>F&amp;G Reinsurance</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left="283"/>
              <w:spacing w:after="0"/>
              <w:rPr>
                <w:sz w:val="20"/>
                <w:szCs w:val="20"/>
                <w:color w:val="auto"/>
              </w:rPr>
            </w:pPr>
            <w:r>
              <w:rPr>
                <w:rFonts w:ascii="Arial" w:cs="Arial" w:eastAsia="Arial" w:hAnsi="Arial"/>
                <w:sz w:val="18"/>
                <w:szCs w:val="18"/>
                <w:b w:val="1"/>
                <w:bCs w:val="1"/>
                <w:color w:val="auto"/>
                <w:w w:val="93"/>
              </w:rPr>
              <w:t>(In millions)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Ceded to other</w:t>
            </w:r>
          </w:p>
        </w:tc>
        <w:tc>
          <w:tcPr>
            <w:tcW w:w="80" w:type="dxa"/>
            <w:vAlign w:val="bottom"/>
          </w:tcPr>
          <w:p>
            <w:pPr>
              <w:spacing w:after="0"/>
              <w:rPr>
                <w:sz w:val="22"/>
                <w:szCs w:val="2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Assumed from</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35"/>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For the seven months ended December 31, 2020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3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3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amount assumed of</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companies</w:t>
            </w:r>
          </w:p>
        </w:tc>
        <w:tc>
          <w:tcPr>
            <w:tcW w:w="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other companies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Life insurance in force</w:t>
            </w:r>
          </w:p>
        </w:tc>
        <w:tc>
          <w:tcPr>
            <w:tcW w:w="12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3,892</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(2,064)</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15"/>
                <w:szCs w:val="15"/>
                <w:color w:val="auto"/>
              </w:rPr>
            </w:pPr>
          </w:p>
        </w:tc>
        <w:tc>
          <w:tcPr>
            <w:tcW w:w="134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w w:val="98"/>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Premiums and other considerations: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Traditional life insurance premiums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Arial" w:cs="Arial" w:eastAsia="Arial" w:hAnsi="Arial"/>
                <w:sz w:val="14"/>
                <w:szCs w:val="14"/>
                <w:color w:val="auto"/>
              </w:rPr>
              <w:t>Annuity product charges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1340" w:type="dxa"/>
            <w:vAlign w:val="bottom"/>
          </w:tcPr>
          <w:p>
            <w:pPr>
              <w:ind w:left="10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premiums and other considerations</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w w:val="98"/>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25"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Fidelity National Financial,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Amended and Restated</w:t>
      </w:r>
    </w:p>
    <w:p>
      <w:pPr>
        <w:jc w:val="center"/>
        <w:spacing w:after="0"/>
        <w:rPr>
          <w:sz w:val="20"/>
          <w:szCs w:val="20"/>
          <w:color w:val="auto"/>
        </w:rPr>
      </w:pPr>
      <w:r>
        <w:rPr>
          <w:rFonts w:ascii="Arial" w:cs="Arial" w:eastAsia="Arial" w:hAnsi="Arial"/>
          <w:sz w:val="29"/>
          <w:szCs w:val="29"/>
          <w:b w:val="1"/>
          <w:bCs w:val="1"/>
          <w:color w:val="auto"/>
        </w:rPr>
        <w:t>2005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Grant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34"/>
        </w:trPr>
        <w:tc>
          <w:tcPr>
            <w:tcW w:w="4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 of Grantee:</w:t>
            </w:r>
          </w:p>
        </w:tc>
        <w:tc>
          <w:tcPr>
            <w:tcW w:w="6360" w:type="dxa"/>
            <w:vAlign w:val="bottom"/>
            <w:tcBorders>
              <w:top w:val="single" w:sz="8" w:color="auto"/>
              <w:right w:val="single" w:sz="8" w:color="auto"/>
            </w:tcBorders>
          </w:tcPr>
          <w:p>
            <w:pPr>
              <w:spacing w:after="0"/>
              <w:rPr>
                <w:sz w:val="24"/>
                <w:szCs w:val="24"/>
                <w:color w:val="auto"/>
              </w:rPr>
            </w:pPr>
          </w:p>
        </w:tc>
      </w:tr>
      <w:tr>
        <w:trPr>
          <w:trHeight w:val="58"/>
        </w:trPr>
        <w:tc>
          <w:tcPr>
            <w:tcW w:w="4800" w:type="dxa"/>
            <w:vAlign w:val="bottom"/>
            <w:tcBorders>
              <w:left w:val="single" w:sz="8" w:color="auto"/>
              <w:bottom w:val="single" w:sz="8" w:color="auto"/>
              <w:right w:val="single" w:sz="8" w:color="auto"/>
            </w:tcBorders>
          </w:tcPr>
          <w:p>
            <w:pPr>
              <w:spacing w:after="0"/>
              <w:rPr>
                <w:sz w:val="5"/>
                <w:szCs w:val="5"/>
                <w:color w:val="auto"/>
              </w:rPr>
            </w:pPr>
          </w:p>
        </w:tc>
        <w:tc>
          <w:tcPr>
            <w:tcW w:w="6360" w:type="dxa"/>
            <w:vAlign w:val="bottom"/>
            <w:tcBorders>
              <w:bottom w:val="single" w:sz="8" w:color="auto"/>
              <w:right w:val="single" w:sz="8" w:color="auto"/>
            </w:tcBorders>
          </w:tcPr>
          <w:p>
            <w:pPr>
              <w:spacing w:after="0"/>
              <w:rPr>
                <w:sz w:val="5"/>
                <w:szCs w:val="5"/>
                <w:color w:val="auto"/>
              </w:rPr>
            </w:pPr>
          </w:p>
        </w:tc>
      </w:tr>
      <w:tr>
        <w:trPr>
          <w:trHeight w:val="284"/>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Number of Shares:</w:t>
            </w:r>
          </w:p>
        </w:tc>
        <w:tc>
          <w:tcPr>
            <w:tcW w:w="6360" w:type="dxa"/>
            <w:vAlign w:val="bottom"/>
            <w:tcBorders>
              <w:bottom w:val="single" w:sz="8" w:color="auto"/>
              <w:right w:val="single" w:sz="8" w:color="auto"/>
            </w:tcBorders>
          </w:tcPr>
          <w:p>
            <w:pPr>
              <w:spacing w:after="0"/>
              <w:rPr>
                <w:sz w:val="24"/>
                <w:szCs w:val="24"/>
                <w:color w:val="auto"/>
              </w:rPr>
            </w:pPr>
          </w:p>
        </w:tc>
      </w:tr>
      <w:tr>
        <w:trPr>
          <w:trHeight w:val="320"/>
        </w:trPr>
        <w:tc>
          <w:tcPr>
            <w:tcW w:w="4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Effective Date of Grant:</w:t>
            </w:r>
          </w:p>
        </w:tc>
        <w:tc>
          <w:tcPr>
            <w:tcW w:w="636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November 6, 2020</w:t>
            </w:r>
          </w:p>
        </w:tc>
      </w:tr>
      <w:tr>
        <w:trPr>
          <w:trHeight w:val="58"/>
        </w:trPr>
        <w:tc>
          <w:tcPr>
            <w:tcW w:w="4800" w:type="dxa"/>
            <w:vAlign w:val="bottom"/>
            <w:tcBorders>
              <w:left w:val="single" w:sz="8" w:color="auto"/>
              <w:bottom w:val="single" w:sz="8" w:color="auto"/>
              <w:right w:val="single" w:sz="8" w:color="auto"/>
            </w:tcBorders>
          </w:tcPr>
          <w:p>
            <w:pPr>
              <w:spacing w:after="0"/>
              <w:rPr>
                <w:sz w:val="5"/>
                <w:szCs w:val="5"/>
                <w:color w:val="auto"/>
              </w:rPr>
            </w:pPr>
          </w:p>
        </w:tc>
        <w:tc>
          <w:tcPr>
            <w:tcW w:w="6360" w:type="dxa"/>
            <w:vAlign w:val="bottom"/>
            <w:tcBorders>
              <w:bottom w:val="single" w:sz="8" w:color="auto"/>
              <w:right w:val="single" w:sz="8" w:color="auto"/>
            </w:tcBorders>
          </w:tcPr>
          <w:p>
            <w:pPr>
              <w:spacing w:after="0"/>
              <w:rPr>
                <w:sz w:val="5"/>
                <w:szCs w:val="5"/>
                <w:color w:val="auto"/>
              </w:rPr>
            </w:pPr>
          </w:p>
        </w:tc>
      </w:tr>
      <w:tr>
        <w:trPr>
          <w:trHeight w:val="250"/>
        </w:trPr>
        <w:tc>
          <w:tcPr>
            <w:tcW w:w="4800" w:type="dxa"/>
            <w:vAlign w:val="bottom"/>
            <w:tcBorders>
              <w:left w:val="single" w:sz="8" w:color="auto"/>
              <w:right w:val="single" w:sz="8" w:color="auto"/>
            </w:tcBorders>
          </w:tcPr>
          <w:p>
            <w:pPr>
              <w:ind w:left="40"/>
              <w:spacing w:after="0" w:line="250" w:lineRule="exact"/>
              <w:rPr>
                <w:sz w:val="20"/>
                <w:szCs w:val="20"/>
                <w:color w:val="auto"/>
              </w:rPr>
            </w:pPr>
            <w:r>
              <w:rPr>
                <w:rFonts w:ascii="Arial" w:cs="Arial" w:eastAsia="Arial" w:hAnsi="Arial"/>
                <w:sz w:val="22"/>
                <w:szCs w:val="22"/>
                <w:color w:val="auto"/>
              </w:rPr>
              <w:t>Vesting and Period of Restriction:</w:t>
            </w:r>
          </w:p>
        </w:tc>
        <w:tc>
          <w:tcPr>
            <w:tcW w:w="6360" w:type="dxa"/>
            <w:vAlign w:val="bottom"/>
            <w:tcBorders>
              <w:right w:val="single" w:sz="8" w:color="auto"/>
            </w:tcBorders>
          </w:tcPr>
          <w:p>
            <w:pPr>
              <w:spacing w:after="0" w:line="250" w:lineRule="exact"/>
              <w:rPr>
                <w:sz w:val="20"/>
                <w:szCs w:val="20"/>
                <w:color w:val="auto"/>
              </w:rPr>
            </w:pPr>
            <w:r>
              <w:rPr>
                <w:rFonts w:ascii="Arial" w:cs="Arial" w:eastAsia="Arial" w:hAnsi="Arial"/>
                <w:sz w:val="22"/>
                <w:szCs w:val="22"/>
                <w:color w:val="auto"/>
              </w:rPr>
              <w:t>Subject to the terms of the Plan and the Restricted Stock Award</w:t>
            </w:r>
          </w:p>
        </w:tc>
      </w:tr>
      <w:tr>
        <w:trPr>
          <w:trHeight w:val="235"/>
        </w:trPr>
        <w:tc>
          <w:tcPr>
            <w:tcW w:w="4800" w:type="dxa"/>
            <w:vAlign w:val="bottom"/>
            <w:tcBorders>
              <w:left w:val="single" w:sz="8" w:color="auto"/>
              <w:right w:val="single" w:sz="8" w:color="auto"/>
            </w:tcBorders>
          </w:tcPr>
          <w:p>
            <w:pPr>
              <w:spacing w:after="0"/>
              <w:rPr>
                <w:sz w:val="20"/>
                <w:szCs w:val="20"/>
                <w:color w:val="auto"/>
              </w:rPr>
            </w:pPr>
          </w:p>
        </w:tc>
        <w:tc>
          <w:tcPr>
            <w:tcW w:w="6360" w:type="dxa"/>
            <w:vAlign w:val="bottom"/>
            <w:tcBorders>
              <w:right w:val="single" w:sz="8" w:color="auto"/>
            </w:tcBorders>
          </w:tcPr>
          <w:p>
            <w:pPr>
              <w:spacing w:after="0" w:line="234" w:lineRule="exact"/>
              <w:rPr>
                <w:sz w:val="20"/>
                <w:szCs w:val="20"/>
                <w:color w:val="auto"/>
              </w:rPr>
            </w:pPr>
            <w:r>
              <w:rPr>
                <w:rFonts w:ascii="Arial" w:cs="Arial" w:eastAsia="Arial" w:hAnsi="Arial"/>
                <w:sz w:val="22"/>
                <w:szCs w:val="22"/>
                <w:color w:val="auto"/>
                <w:w w:val="89"/>
              </w:rPr>
              <w:t>Agreement attached hereto, the Period of Restriction shall lapse, and the</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63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0"/>
              </w:rPr>
              <w:t>Shares shall vest and become free of the forfeiture provisions contained</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63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3"/>
              </w:rPr>
              <w:t>in the Restricted Stock Award Agreement, with respect to one third of</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63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8"/>
              </w:rPr>
              <w:t>the shares on each anniversary of the Effective Date of Grant and</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63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3"/>
              </w:rPr>
              <w:t>satisfaction of the Performance Restriction as set forth on Exhibit A of</w:t>
            </w:r>
          </w:p>
        </w:tc>
      </w:tr>
      <w:tr>
        <w:trPr>
          <w:trHeight w:val="285"/>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6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the Restricted Stock Award Agreement, attached hereto.</w:t>
            </w:r>
          </w:p>
        </w:tc>
      </w:tr>
    </w:tbl>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008080"/>
        </w:rPr>
        <w:t>Electronic Signature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008080"/>
        </w:rPr>
        <w:t>Accepted Date</w:t>
      </w:r>
    </w:p>
    <w:p>
      <w:pPr>
        <w:sectPr>
          <w:pgSz w:w="11900" w:h="16838" w:orient="portrait"/>
          <w:cols w:equalWidth="0" w:num="1">
            <w:col w:w="11240"/>
          </w:cols>
          <w:pgMar w:left="320" w:top="1138" w:right="339" w:bottom="1440" w:gutter="0" w:footer="0" w:header="0"/>
        </w:sectPr>
      </w:pPr>
    </w:p>
    <w:bookmarkStart w:id="179" w:name="page180"/>
    <w:bookmarkEnd w:id="179"/>
    <w:p>
      <w:pPr>
        <w:jc w:val="center"/>
        <w:ind w:right="312"/>
        <w:spacing w:after="0"/>
        <w:rPr>
          <w:sz w:val="20"/>
          <w:szCs w:val="20"/>
          <w:color w:val="auto"/>
        </w:rPr>
      </w:pPr>
      <w:r>
        <w:rPr>
          <w:rFonts w:ascii="Arial" w:cs="Arial" w:eastAsia="Arial" w:hAnsi="Arial"/>
          <w:sz w:val="20"/>
          <w:szCs w:val="20"/>
          <w:b w:val="1"/>
          <w:bCs w:val="1"/>
          <w:color w:val="auto"/>
        </w:rPr>
        <w:t>Fidelity National Financial, Inc.</w:t>
      </w:r>
    </w:p>
    <w:p>
      <w:pPr>
        <w:spacing w:after="0" w:line="8"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Amended and Restated 2005 Omnibus Incentive Plan</w:t>
      </w:r>
    </w:p>
    <w:p>
      <w:pPr>
        <w:spacing w:after="0" w:line="207"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Restricted Stock Award Agreement</w:t>
      </w:r>
    </w:p>
    <w:p>
      <w:pPr>
        <w:spacing w:after="0" w:line="243" w:lineRule="exact"/>
        <w:rPr>
          <w:sz w:val="20"/>
          <w:szCs w:val="20"/>
          <w:color w:val="auto"/>
        </w:rPr>
      </w:pPr>
    </w:p>
    <w:p>
      <w:pPr>
        <w:ind w:left="308" w:hanging="308"/>
        <w:spacing w:after="0"/>
        <w:tabs>
          <w:tab w:leader="none" w:pos="308" w:val="left"/>
        </w:tabs>
        <w:numPr>
          <w:ilvl w:val="0"/>
          <w:numId w:val="68"/>
        </w:numPr>
        <w:rPr>
          <w:rFonts w:ascii="Arial" w:cs="Arial" w:eastAsia="Arial" w:hAnsi="Arial"/>
          <w:sz w:val="22"/>
          <w:szCs w:val="22"/>
          <w:color w:val="auto"/>
        </w:rPr>
      </w:pPr>
      <w:r>
        <w:rPr>
          <w:rFonts w:ascii="Arial" w:cs="Arial" w:eastAsia="Arial" w:hAnsi="Arial"/>
          <w:sz w:val="20"/>
          <w:szCs w:val="20"/>
          <w:b w:val="1"/>
          <w:bCs w:val="1"/>
          <w:color w:val="auto"/>
        </w:rPr>
        <w:t>SECTION 1. GRANT OF RESTRICTED STOCK</w:t>
      </w:r>
    </w:p>
    <w:p>
      <w:pPr>
        <w:spacing w:after="0" w:line="233" w:lineRule="exact"/>
        <w:rPr>
          <w:rFonts w:ascii="Arial" w:cs="Arial" w:eastAsia="Arial" w:hAnsi="Arial"/>
          <w:sz w:val="22"/>
          <w:szCs w:val="22"/>
          <w:color w:val="auto"/>
        </w:rPr>
      </w:pPr>
    </w:p>
    <w:p>
      <w:pPr>
        <w:jc w:val="both"/>
        <w:ind w:left="968" w:hanging="320"/>
        <w:spacing w:after="0" w:line="234" w:lineRule="auto"/>
        <w:tabs>
          <w:tab w:leader="none" w:pos="959" w:val="left"/>
        </w:tabs>
        <w:numPr>
          <w:ilvl w:val="1"/>
          <w:numId w:val="68"/>
        </w:numPr>
        <w:rPr>
          <w:rFonts w:ascii="Arial" w:cs="Arial" w:eastAsia="Arial" w:hAnsi="Arial"/>
          <w:sz w:val="22"/>
          <w:szCs w:val="22"/>
          <w:color w:val="auto"/>
        </w:rPr>
      </w:pPr>
      <w:r>
        <w:rPr>
          <w:rFonts w:ascii="Arial" w:cs="Arial" w:eastAsia="Arial" w:hAnsi="Arial"/>
          <w:sz w:val="20"/>
          <w:szCs w:val="20"/>
          <w:b w:val="1"/>
          <w:bCs w:val="1"/>
          <w:color w:val="auto"/>
        </w:rPr>
        <w:t>Restricted Stock</w:t>
      </w:r>
      <w:r>
        <w:rPr>
          <w:rFonts w:ascii="Arial" w:cs="Arial" w:eastAsia="Arial" w:hAnsi="Arial"/>
          <w:sz w:val="20"/>
          <w:szCs w:val="20"/>
          <w:color w:val="auto"/>
        </w:rPr>
        <w:t>. On the terms and conditions set forth in the Notice of Restricted Stock Grant and this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Award Agreement (the “Agreement”), the Company grants to the Grantee on the Effective Date of Grant the Shares of Restricted Stock (the “Restricted Stock”) set forth in the Notice of Restricted Stock Grant.</w:t>
      </w:r>
    </w:p>
    <w:p>
      <w:pPr>
        <w:spacing w:after="0" w:line="1" w:lineRule="exact"/>
        <w:rPr>
          <w:rFonts w:ascii="Arial" w:cs="Arial" w:eastAsia="Arial" w:hAnsi="Arial"/>
          <w:sz w:val="22"/>
          <w:szCs w:val="22"/>
          <w:color w:val="auto"/>
        </w:rPr>
      </w:pPr>
    </w:p>
    <w:p>
      <w:pPr>
        <w:jc w:val="both"/>
        <w:ind w:left="968" w:hanging="320"/>
        <w:spacing w:after="0" w:line="246" w:lineRule="auto"/>
        <w:tabs>
          <w:tab w:leader="none" w:pos="959" w:val="left"/>
        </w:tabs>
        <w:numPr>
          <w:ilvl w:val="1"/>
          <w:numId w:val="68"/>
        </w:numPr>
        <w:rPr>
          <w:rFonts w:ascii="Arial" w:cs="Arial" w:eastAsia="Arial" w:hAnsi="Arial"/>
          <w:sz w:val="21"/>
          <w:szCs w:val="21"/>
          <w:color w:val="auto"/>
        </w:rPr>
      </w:pPr>
      <w:r>
        <w:rPr>
          <w:rFonts w:ascii="Arial" w:cs="Arial" w:eastAsia="Arial" w:hAnsi="Arial"/>
          <w:sz w:val="19"/>
          <w:szCs w:val="19"/>
          <w:b w:val="1"/>
          <w:bCs w:val="1"/>
          <w:color w:val="auto"/>
        </w:rPr>
        <w:t>Plan and Defined Terms</w:t>
      </w:r>
      <w:r>
        <w:rPr>
          <w:rFonts w:ascii="Arial" w:cs="Arial" w:eastAsia="Arial" w:hAnsi="Arial"/>
          <w:sz w:val="19"/>
          <w:szCs w:val="19"/>
          <w:color w:val="auto"/>
        </w:rPr>
        <w:t>. The Restricted Stock is granted pursuant to the Plan. All terms, provisions,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211" w:lineRule="exact"/>
        <w:rPr>
          <w:rFonts w:ascii="Arial" w:cs="Arial" w:eastAsia="Arial" w:hAnsi="Arial"/>
          <w:sz w:val="21"/>
          <w:szCs w:val="21"/>
          <w:color w:val="auto"/>
        </w:rPr>
      </w:pPr>
    </w:p>
    <w:p>
      <w:pPr>
        <w:ind w:left="308" w:hanging="308"/>
        <w:spacing w:after="0"/>
        <w:tabs>
          <w:tab w:leader="none" w:pos="308" w:val="left"/>
        </w:tabs>
        <w:numPr>
          <w:ilvl w:val="0"/>
          <w:numId w:val="68"/>
        </w:numPr>
        <w:rPr>
          <w:rFonts w:ascii="Arial" w:cs="Arial" w:eastAsia="Arial" w:hAnsi="Arial"/>
          <w:sz w:val="22"/>
          <w:szCs w:val="22"/>
          <w:color w:val="auto"/>
        </w:rPr>
      </w:pPr>
      <w:r>
        <w:rPr>
          <w:rFonts w:ascii="Arial" w:cs="Arial" w:eastAsia="Arial" w:hAnsi="Arial"/>
          <w:sz w:val="20"/>
          <w:szCs w:val="20"/>
          <w:b w:val="1"/>
          <w:bCs w:val="1"/>
          <w:color w:val="auto"/>
        </w:rPr>
        <w:t>SECTION 2. FORFEITURE AND TRANSFER RESTRICTIONS</w:t>
      </w:r>
    </w:p>
    <w:p>
      <w:pPr>
        <w:spacing w:after="0" w:line="233" w:lineRule="exact"/>
        <w:rPr>
          <w:rFonts w:ascii="Arial" w:cs="Arial" w:eastAsia="Arial" w:hAnsi="Arial"/>
          <w:sz w:val="22"/>
          <w:szCs w:val="22"/>
          <w:color w:val="auto"/>
        </w:rPr>
      </w:pPr>
    </w:p>
    <w:p>
      <w:pPr>
        <w:ind w:left="968" w:right="20" w:hanging="320"/>
        <w:spacing w:after="0" w:line="239" w:lineRule="auto"/>
        <w:tabs>
          <w:tab w:leader="none" w:pos="959" w:val="left"/>
        </w:tabs>
        <w:numPr>
          <w:ilvl w:val="1"/>
          <w:numId w:val="68"/>
        </w:numPr>
        <w:rPr>
          <w:rFonts w:ascii="Arial" w:cs="Arial" w:eastAsia="Arial" w:hAnsi="Arial"/>
          <w:sz w:val="22"/>
          <w:szCs w:val="22"/>
          <w:color w:val="auto"/>
        </w:rPr>
      </w:pPr>
      <w:r>
        <w:rPr>
          <w:rFonts w:ascii="Arial" w:cs="Arial" w:eastAsia="Arial" w:hAnsi="Arial"/>
          <w:sz w:val="20"/>
          <w:szCs w:val="20"/>
          <w:b w:val="1"/>
          <w:bCs w:val="1"/>
          <w:color w:val="auto"/>
        </w:rPr>
        <w:t>Forfeiture</w:t>
      </w:r>
      <w:r>
        <w:rPr>
          <w:rFonts w:ascii="Arial" w:cs="Arial" w:eastAsia="Arial" w:hAnsi="Arial"/>
          <w:sz w:val="20"/>
          <w:szCs w:val="20"/>
          <w:color w:val="auto"/>
        </w:rPr>
        <w:t>. Except as otherwise provided in Grantee’s employment, director services or similar agreement in effect at the</w:t>
      </w:r>
      <w:r>
        <w:rPr>
          <w:rFonts w:ascii="Arial" w:cs="Arial" w:eastAsia="Arial" w:hAnsi="Arial"/>
          <w:sz w:val="20"/>
          <w:szCs w:val="20"/>
          <w:b w:val="1"/>
          <w:bCs w:val="1"/>
          <w:color w:val="auto"/>
        </w:rPr>
        <w:t xml:space="preserve"> </w:t>
      </w:r>
      <w:r>
        <w:rPr>
          <w:rFonts w:ascii="Arial" w:cs="Arial" w:eastAsia="Arial" w:hAnsi="Arial"/>
          <w:sz w:val="20"/>
          <w:szCs w:val="20"/>
          <w:color w:val="auto"/>
        </w:rPr>
        <w:t>time of the employment termination:</w:t>
      </w:r>
    </w:p>
    <w:p>
      <w:pPr>
        <w:jc w:val="both"/>
        <w:ind w:left="1628" w:hanging="440"/>
        <w:spacing w:after="0" w:line="256" w:lineRule="auto"/>
        <w:tabs>
          <w:tab w:leader="none" w:pos="1628" w:val="left"/>
        </w:tabs>
        <w:numPr>
          <w:ilvl w:val="2"/>
          <w:numId w:val="68"/>
        </w:numPr>
        <w:rPr>
          <w:rFonts w:ascii="Arial" w:cs="Arial" w:eastAsia="Arial" w:hAnsi="Arial"/>
          <w:sz w:val="19"/>
          <w:szCs w:val="19"/>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jc w:val="both"/>
        <w:ind w:left="1628" w:hanging="488"/>
        <w:spacing w:after="0" w:line="231" w:lineRule="auto"/>
        <w:tabs>
          <w:tab w:leader="none" w:pos="1628" w:val="left"/>
        </w:tabs>
        <w:numPr>
          <w:ilvl w:val="2"/>
          <w:numId w:val="68"/>
        </w:numPr>
        <w:rPr>
          <w:rFonts w:ascii="Arial" w:cs="Arial" w:eastAsia="Arial" w:hAnsi="Arial"/>
          <w:sz w:val="22"/>
          <w:szCs w:val="22"/>
          <w:color w:val="auto"/>
        </w:rPr>
      </w:pPr>
      <w:r>
        <w:rPr>
          <w:rFonts w:ascii="Arial" w:cs="Arial" w:eastAsia="Arial" w:hAnsi="Arial"/>
          <w:sz w:val="20"/>
          <w:szCs w:val="20"/>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13" w:lineRule="exact"/>
        <w:rPr>
          <w:rFonts w:ascii="Arial" w:cs="Arial" w:eastAsia="Arial" w:hAnsi="Arial"/>
          <w:sz w:val="22"/>
          <w:szCs w:val="22"/>
          <w:color w:val="auto"/>
        </w:rPr>
      </w:pPr>
    </w:p>
    <w:p>
      <w:pPr>
        <w:ind w:left="1628"/>
        <w:spacing w:after="0"/>
        <w:rPr>
          <w:rFonts w:ascii="Arial" w:cs="Arial" w:eastAsia="Arial" w:hAnsi="Arial"/>
          <w:sz w:val="22"/>
          <w:szCs w:val="22"/>
          <w:color w:val="auto"/>
        </w:rPr>
      </w:pPr>
      <w:r>
        <w:rPr>
          <w:rFonts w:ascii="Arial" w:cs="Arial" w:eastAsia="Arial" w:hAnsi="Arial"/>
          <w:sz w:val="20"/>
          <w:szCs w:val="20"/>
          <w:color w:val="auto"/>
        </w:rPr>
        <w:t>(A x B) – C, where</w:t>
      </w:r>
    </w:p>
    <w:p>
      <w:pPr>
        <w:spacing w:after="0" w:line="229" w:lineRule="exact"/>
        <w:rPr>
          <w:rFonts w:ascii="Arial" w:cs="Arial" w:eastAsia="Arial" w:hAnsi="Arial"/>
          <w:sz w:val="22"/>
          <w:szCs w:val="22"/>
          <w:color w:val="auto"/>
        </w:rPr>
      </w:pPr>
    </w:p>
    <w:p>
      <w:pPr>
        <w:ind w:left="1628"/>
        <w:spacing w:after="0"/>
        <w:rPr>
          <w:rFonts w:ascii="Arial" w:cs="Arial" w:eastAsia="Arial" w:hAnsi="Arial"/>
          <w:sz w:val="22"/>
          <w:szCs w:val="22"/>
          <w:color w:val="auto"/>
        </w:rPr>
      </w:pPr>
      <w:r>
        <w:rPr>
          <w:rFonts w:ascii="Arial" w:cs="Arial" w:eastAsia="Arial" w:hAnsi="Arial"/>
          <w:sz w:val="20"/>
          <w:szCs w:val="20"/>
          <w:color w:val="auto"/>
        </w:rPr>
        <w:t>A = the total number of Shares granted under this Agreement,</w:t>
      </w:r>
    </w:p>
    <w:p>
      <w:pPr>
        <w:spacing w:after="0" w:line="229" w:lineRule="exact"/>
        <w:rPr>
          <w:rFonts w:ascii="Arial" w:cs="Arial" w:eastAsia="Arial" w:hAnsi="Arial"/>
          <w:sz w:val="22"/>
          <w:szCs w:val="22"/>
          <w:color w:val="auto"/>
        </w:rPr>
      </w:pPr>
    </w:p>
    <w:p>
      <w:pPr>
        <w:ind w:left="1628"/>
        <w:spacing w:after="0" w:line="246" w:lineRule="auto"/>
        <w:rPr>
          <w:rFonts w:ascii="Arial" w:cs="Arial" w:eastAsia="Arial" w:hAnsi="Arial"/>
          <w:sz w:val="22"/>
          <w:szCs w:val="22"/>
          <w:color w:val="auto"/>
        </w:rPr>
      </w:pPr>
      <w:r>
        <w:rPr>
          <w:rFonts w:ascii="Arial" w:cs="Arial" w:eastAsia="Arial" w:hAnsi="Arial"/>
          <w:sz w:val="20"/>
          <w:szCs w:val="20"/>
          <w:color w:val="auto"/>
        </w:rPr>
        <w:t>B = the number of completed months to the date of termination of employment since the Effective Date of Grant divided by 36, and</w:t>
      </w:r>
    </w:p>
    <w:p>
      <w:pPr>
        <w:spacing w:after="0" w:line="204" w:lineRule="exact"/>
        <w:rPr>
          <w:sz w:val="20"/>
          <w:szCs w:val="20"/>
          <w:color w:val="auto"/>
        </w:rPr>
      </w:pPr>
    </w:p>
    <w:p>
      <w:pPr>
        <w:ind w:left="1628" w:right="20"/>
        <w:spacing w:after="0" w:line="246" w:lineRule="auto"/>
        <w:rPr>
          <w:sz w:val="20"/>
          <w:szCs w:val="20"/>
          <w:color w:val="auto"/>
        </w:rPr>
      </w:pPr>
      <w:r>
        <w:rPr>
          <w:rFonts w:ascii="Arial" w:cs="Arial" w:eastAsia="Arial" w:hAnsi="Arial"/>
          <w:sz w:val="20"/>
          <w:szCs w:val="20"/>
          <w:color w:val="auto"/>
        </w:rPr>
        <w:t>C = the number of Shares granted under this Agreement which vested on or prior to the date of termination of employment.</w:t>
      </w:r>
    </w:p>
    <w:p>
      <w:pPr>
        <w:spacing w:after="0" w:line="204" w:lineRule="exact"/>
        <w:rPr>
          <w:sz w:val="20"/>
          <w:szCs w:val="20"/>
          <w:color w:val="auto"/>
        </w:rPr>
      </w:pPr>
    </w:p>
    <w:p>
      <w:pPr>
        <w:ind w:left="8" w:right="20"/>
        <w:spacing w:after="0" w:line="300"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71" w:lineRule="exact"/>
        <w:rPr>
          <w:sz w:val="20"/>
          <w:szCs w:val="20"/>
          <w:color w:val="auto"/>
        </w:rPr>
      </w:pPr>
    </w:p>
    <w:p>
      <w:pPr>
        <w:jc w:val="both"/>
        <w:ind w:left="1628" w:hanging="536"/>
        <w:spacing w:after="0" w:line="244" w:lineRule="auto"/>
        <w:tabs>
          <w:tab w:leader="none" w:pos="1628" w:val="left"/>
        </w:tabs>
        <w:numPr>
          <w:ilvl w:val="0"/>
          <w:numId w:val="69"/>
        </w:numPr>
        <w:rPr>
          <w:rFonts w:ascii="Arial" w:cs="Arial" w:eastAsia="Arial" w:hAnsi="Arial"/>
          <w:sz w:val="22"/>
          <w:szCs w:val="22"/>
          <w:color w:val="auto"/>
        </w:rPr>
      </w:pPr>
      <w:r>
        <w:rPr>
          <w:rFonts w:ascii="Arial" w:cs="Arial" w:eastAsia="Arial" w:hAnsi="Arial"/>
          <w:sz w:val="20"/>
          <w:szCs w:val="20"/>
          <w:color w:val="auto"/>
        </w:rPr>
        <w:t>The term “Disability” shall have the meaning ascribed to such term in the Grantee’s employment, director services or similar agreement with the Company. If the Grantee’s employment, director services or similar agreement does not define the term “Disability,”</w:t>
      </w:r>
    </w:p>
    <w:p>
      <w:pPr>
        <w:sectPr>
          <w:pgSz w:w="11900" w:h="16838" w:orient="portrait"/>
          <w:cols w:equalWidth="0" w:num="1">
            <w:col w:w="10908"/>
          </w:cols>
          <w:pgMar w:left="652" w:top="1129" w:right="339" w:bottom="1440" w:gutter="0" w:footer="0" w:header="0"/>
        </w:sectPr>
      </w:pPr>
    </w:p>
    <w:bookmarkStart w:id="180" w:name="page181"/>
    <w:bookmarkEnd w:id="180"/>
    <w:p>
      <w:pPr>
        <w:jc w:val="both"/>
        <w:ind w:left="1960"/>
        <w:spacing w:after="0" w:line="254" w:lineRule="auto"/>
        <w:rPr>
          <w:sz w:val="20"/>
          <w:szCs w:val="20"/>
          <w:color w:val="auto"/>
        </w:rPr>
      </w:pPr>
      <w:r>
        <w:rPr>
          <w:rFonts w:ascii="Arial" w:cs="Arial" w:eastAsia="Arial" w:hAnsi="Arial"/>
          <w:sz w:val="18"/>
          <w:szCs w:val="18"/>
          <w:color w:val="auto"/>
        </w:rPr>
        <w:t>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4" w:lineRule="exact"/>
        <w:rPr>
          <w:sz w:val="20"/>
          <w:szCs w:val="20"/>
          <w:color w:val="auto"/>
        </w:rPr>
      </w:pPr>
    </w:p>
    <w:p>
      <w:pPr>
        <w:ind w:left="1960" w:hanging="548"/>
        <w:spacing w:after="0" w:line="283" w:lineRule="auto"/>
        <w:tabs>
          <w:tab w:leader="none" w:pos="1944" w:val="left"/>
        </w:tabs>
        <w:numPr>
          <w:ilvl w:val="2"/>
          <w:numId w:val="70"/>
        </w:numPr>
        <w:rPr>
          <w:rFonts w:ascii="Arial" w:cs="Arial" w:eastAsia="Arial" w:hAnsi="Arial"/>
          <w:sz w:val="18"/>
          <w:szCs w:val="18"/>
          <w:color w:val="auto"/>
        </w:rPr>
      </w:pPr>
      <w:r>
        <w:rPr>
          <w:rFonts w:ascii="Arial" w:cs="Arial" w:eastAsia="Arial" w:hAnsi="Arial"/>
          <w:sz w:val="17"/>
          <w:szCs w:val="17"/>
          <w:color w:val="auto"/>
        </w:rPr>
        <w:t>If the Performance Restriction is not satisfied during the Measurement Period, all of the Shares that do not satisfy the performance criteria for the applicable Performance Period, shall be forfeited to the Company, for no consideration.</w:t>
      </w:r>
    </w:p>
    <w:p>
      <w:pPr>
        <w:jc w:val="both"/>
        <w:ind w:left="1300" w:hanging="320"/>
        <w:spacing w:after="0" w:line="227" w:lineRule="auto"/>
        <w:tabs>
          <w:tab w:leader="none" w:pos="1291" w:val="left"/>
        </w:tabs>
        <w:numPr>
          <w:ilvl w:val="1"/>
          <w:numId w:val="71"/>
        </w:numPr>
        <w:rPr>
          <w:rFonts w:ascii="Arial" w:cs="Arial" w:eastAsia="Arial" w:hAnsi="Arial"/>
          <w:sz w:val="22"/>
          <w:szCs w:val="22"/>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During the Period of Restriction, the Restricted Stock may not be sold, assigned,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exchanged, hypothecated or otherwise transferred, encumbered or disposed of, to the extent such Shares are subject to a Period of Restriction.</w:t>
      </w:r>
    </w:p>
    <w:p>
      <w:pPr>
        <w:jc w:val="both"/>
        <w:ind w:left="1300" w:hanging="320"/>
        <w:spacing w:after="0"/>
        <w:tabs>
          <w:tab w:leader="none" w:pos="1292" w:val="left"/>
        </w:tabs>
        <w:numPr>
          <w:ilvl w:val="1"/>
          <w:numId w:val="71"/>
        </w:numPr>
        <w:rPr>
          <w:rFonts w:ascii="Arial" w:cs="Arial" w:eastAsia="Arial" w:hAnsi="Arial"/>
          <w:sz w:val="21"/>
          <w:szCs w:val="21"/>
          <w:color w:val="auto"/>
        </w:rPr>
      </w:pPr>
      <w:r>
        <w:rPr>
          <w:rFonts w:ascii="Arial" w:cs="Arial" w:eastAsia="Arial" w:hAnsi="Arial"/>
          <w:sz w:val="19"/>
          <w:szCs w:val="19"/>
          <w:b w:val="1"/>
          <w:bCs w:val="1"/>
          <w:color w:val="auto"/>
        </w:rPr>
        <w:t>Holding Period</w:t>
      </w:r>
      <w:r>
        <w:rPr>
          <w:rFonts w:ascii="Arial" w:cs="Arial" w:eastAsia="Arial" w:hAnsi="Arial"/>
          <w:sz w:val="19"/>
          <w:szCs w:val="19"/>
          <w:color w:val="auto"/>
        </w:rPr>
        <w:t>. If and when (i) the Grantee is an Officer (as defined in Rule 16a-1(f) of the Exchange Act) or holds the title</w:t>
      </w:r>
      <w:r>
        <w:rPr>
          <w:rFonts w:ascii="Arial" w:cs="Arial" w:eastAsia="Arial" w:hAnsi="Arial"/>
          <w:sz w:val="19"/>
          <w:szCs w:val="19"/>
          <w:b w:val="1"/>
          <w:bCs w:val="1"/>
          <w:color w:val="auto"/>
        </w:rPr>
        <w:t xml:space="preserve"> </w:t>
      </w:r>
      <w:r>
        <w:rPr>
          <w:rFonts w:ascii="Arial" w:cs="Arial" w:eastAsia="Arial" w:hAnsi="Arial"/>
          <w:sz w:val="19"/>
          <w:szCs w:val="19"/>
          <w:color w:val="auto"/>
        </w:rPr>
        <w:t>of President - Agency Operations,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 w:lineRule="exact"/>
        <w:rPr>
          <w:rFonts w:ascii="Arial" w:cs="Arial" w:eastAsia="Arial" w:hAnsi="Arial"/>
          <w:sz w:val="21"/>
          <w:szCs w:val="21"/>
          <w:color w:val="auto"/>
        </w:rPr>
      </w:pPr>
    </w:p>
    <w:p>
      <w:pPr>
        <w:jc w:val="both"/>
        <w:ind w:left="1300" w:hanging="320"/>
        <w:spacing w:after="0" w:line="261" w:lineRule="auto"/>
        <w:tabs>
          <w:tab w:leader="none" w:pos="1291" w:val="left"/>
        </w:tabs>
        <w:numPr>
          <w:ilvl w:val="1"/>
          <w:numId w:val="71"/>
        </w:numPr>
        <w:rPr>
          <w:rFonts w:ascii="Arial" w:cs="Arial" w:eastAsia="Arial" w:hAnsi="Arial"/>
          <w:sz w:val="19"/>
          <w:szCs w:val="19"/>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98" w:lineRule="exact"/>
        <w:rPr>
          <w:rFonts w:ascii="Arial" w:cs="Arial" w:eastAsia="Arial" w:hAnsi="Arial"/>
          <w:sz w:val="19"/>
          <w:szCs w:val="19"/>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SECTION 3. STOCK CERTIFICATES</w:t>
      </w:r>
    </w:p>
    <w:p>
      <w:pPr>
        <w:spacing w:after="0" w:line="22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As soon as practicable following the grant of Restricted Stock, the Shares of Restricted Stock shall be registered in the</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3"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0"/>
          <w:szCs w:val="20"/>
          <w:b w:val="1"/>
          <w:bCs w:val="1"/>
          <w:color w:val="auto"/>
        </w:rPr>
        <w:t>SECTION 4. SHAREHOLDER RIGHTS</w:t>
      </w:r>
    </w:p>
    <w:p>
      <w:pPr>
        <w:spacing w:after="0" w:line="22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Except for the transfer and dividend restrictions, and subject to such other restrictions, if any, as determined by the Committee, the Grantee shall have all other rights of a holder of Shares, including the</w:t>
      </w:r>
    </w:p>
    <w:p>
      <w:pPr>
        <w:sectPr>
          <w:pgSz w:w="11900" w:h="16838" w:orient="portrait"/>
          <w:cols w:equalWidth="0" w:num="1">
            <w:col w:w="11240"/>
          </w:cols>
          <w:pgMar w:left="320" w:top="892" w:right="339" w:bottom="1440" w:gutter="0" w:footer="0" w:header="0"/>
        </w:sectPr>
      </w:pPr>
    </w:p>
    <w:bookmarkStart w:id="181" w:name="page182"/>
    <w:bookmarkEnd w:id="181"/>
    <w:p>
      <w:pPr>
        <w:jc w:val="both"/>
        <w:spacing w:after="0" w:line="238" w:lineRule="auto"/>
        <w:rPr>
          <w:sz w:val="20"/>
          <w:szCs w:val="20"/>
          <w:color w:val="auto"/>
        </w:rPr>
      </w:pPr>
      <w:r>
        <w:rPr>
          <w:rFonts w:ascii="Arial" w:cs="Arial" w:eastAsia="Arial" w:hAnsi="Arial"/>
          <w:sz w:val="22"/>
          <w:szCs w:val="22"/>
          <w:color w:val="auto"/>
        </w:rPr>
        <w:t>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224"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22"/>
          <w:szCs w:val="22"/>
          <w:color w:val="auto"/>
        </w:rPr>
      </w:pPr>
      <w:r>
        <w:rPr>
          <w:rFonts w:ascii="Arial" w:cs="Arial" w:eastAsia="Arial" w:hAnsi="Arial"/>
          <w:sz w:val="20"/>
          <w:szCs w:val="20"/>
          <w:b w:val="1"/>
          <w:bCs w:val="1"/>
          <w:color w:val="auto"/>
        </w:rPr>
        <w:t>SECTION 5. DIVIDENDS</w:t>
      </w:r>
    </w:p>
    <w:p>
      <w:pPr>
        <w:spacing w:after="0" w:line="220" w:lineRule="exact"/>
        <w:rPr>
          <w:rFonts w:ascii="Arial" w:cs="Arial" w:eastAsia="Arial" w:hAnsi="Arial"/>
          <w:sz w:val="22"/>
          <w:szCs w:val="22"/>
          <w:color w:val="auto"/>
        </w:rPr>
      </w:pPr>
    </w:p>
    <w:p>
      <w:pPr>
        <w:ind w:left="1300" w:hanging="320"/>
        <w:spacing w:after="0" w:line="239" w:lineRule="auto"/>
        <w:tabs>
          <w:tab w:leader="none" w:pos="1289" w:val="left"/>
        </w:tabs>
        <w:numPr>
          <w:ilvl w:val="1"/>
          <w:numId w:val="74"/>
        </w:numPr>
        <w:rPr>
          <w:rFonts w:ascii="Arial" w:cs="Arial" w:eastAsia="Arial" w:hAnsi="Arial"/>
          <w:sz w:val="20"/>
          <w:szCs w:val="20"/>
          <w:color w:val="auto"/>
        </w:rPr>
      </w:pPr>
      <w:r>
        <w:rPr>
          <w:rFonts w:ascii="Arial" w:cs="Arial" w:eastAsia="Arial" w:hAnsi="Arial"/>
          <w:sz w:val="22"/>
          <w:szCs w:val="22"/>
          <w:color w:val="auto"/>
        </w:rPr>
        <w:t>Any dividends paid with respect to Shares which remain subject to a Period of Restriction shall not be paid to the Grantee but shall be held by the Company.</w:t>
      </w:r>
    </w:p>
    <w:p>
      <w:pPr>
        <w:ind w:left="1300" w:hanging="320"/>
        <w:spacing w:after="0"/>
        <w:tabs>
          <w:tab w:leader="none" w:pos="1300" w:val="left"/>
        </w:tabs>
        <w:numPr>
          <w:ilvl w:val="1"/>
          <w:numId w:val="74"/>
        </w:numPr>
        <w:rPr>
          <w:rFonts w:ascii="Arial" w:cs="Arial" w:eastAsia="Arial" w:hAnsi="Arial"/>
          <w:sz w:val="19"/>
          <w:szCs w:val="19"/>
          <w:color w:val="auto"/>
        </w:rPr>
      </w:pPr>
      <w:r>
        <w:rPr>
          <w:rFonts w:ascii="Arial" w:cs="Arial" w:eastAsia="Arial" w:hAnsi="Arial"/>
          <w:sz w:val="21"/>
          <w:szCs w:val="21"/>
          <w:color w:val="auto"/>
        </w:rPr>
        <w:t>Such held dividends shall be subject to the same Period of Restriction as the Shares to which they relate.</w:t>
      </w:r>
    </w:p>
    <w:p>
      <w:pPr>
        <w:spacing w:after="0" w:line="1" w:lineRule="exact"/>
        <w:rPr>
          <w:rFonts w:ascii="Arial" w:cs="Arial" w:eastAsia="Arial" w:hAnsi="Arial"/>
          <w:sz w:val="19"/>
          <w:szCs w:val="19"/>
          <w:color w:val="auto"/>
        </w:rPr>
      </w:pPr>
    </w:p>
    <w:p>
      <w:pPr>
        <w:ind w:left="1300" w:hanging="320"/>
        <w:spacing w:after="0" w:line="230" w:lineRule="auto"/>
        <w:tabs>
          <w:tab w:leader="none" w:pos="1292" w:val="left"/>
        </w:tabs>
        <w:numPr>
          <w:ilvl w:val="1"/>
          <w:numId w:val="74"/>
        </w:numPr>
        <w:rPr>
          <w:rFonts w:ascii="Arial" w:cs="Arial" w:eastAsia="Arial" w:hAnsi="Arial"/>
          <w:sz w:val="20"/>
          <w:szCs w:val="20"/>
          <w:color w:val="auto"/>
        </w:rPr>
      </w:pPr>
      <w:r>
        <w:rPr>
          <w:rFonts w:ascii="Arial" w:cs="Arial" w:eastAsia="Arial" w:hAnsi="Arial"/>
          <w:sz w:val="22"/>
          <w:szCs w:val="22"/>
          <w:color w:val="auto"/>
        </w:rPr>
        <w:t>Any dividends held pursuant to this Section 5 which are attributable to Shares which vest pursuant to this Agreement shall be paid to the Grantee within 30 days of the applicable vesting date.</w:t>
      </w:r>
    </w:p>
    <w:p>
      <w:pPr>
        <w:spacing w:after="0" w:line="1" w:lineRule="exact"/>
        <w:rPr>
          <w:rFonts w:ascii="Arial" w:cs="Arial" w:eastAsia="Arial" w:hAnsi="Arial"/>
          <w:sz w:val="20"/>
          <w:szCs w:val="20"/>
          <w:color w:val="auto"/>
        </w:rPr>
      </w:pPr>
    </w:p>
    <w:p>
      <w:pPr>
        <w:ind w:left="1300" w:hanging="320"/>
        <w:spacing w:after="0" w:line="236" w:lineRule="auto"/>
        <w:tabs>
          <w:tab w:leader="none" w:pos="1289" w:val="left"/>
        </w:tabs>
        <w:numPr>
          <w:ilvl w:val="1"/>
          <w:numId w:val="74"/>
        </w:numPr>
        <w:rPr>
          <w:rFonts w:ascii="Arial" w:cs="Arial" w:eastAsia="Arial" w:hAnsi="Arial"/>
          <w:sz w:val="20"/>
          <w:szCs w:val="20"/>
          <w:color w:val="auto"/>
        </w:rPr>
      </w:pPr>
      <w:r>
        <w:rPr>
          <w:rFonts w:ascii="Arial" w:cs="Arial" w:eastAsia="Arial" w:hAnsi="Arial"/>
          <w:sz w:val="22"/>
          <w:szCs w:val="22"/>
          <w:color w:val="auto"/>
        </w:rPr>
        <w:t>Dividends attributable to Shares forfeited pursuant to Section 2 of this Agreement shall be forfeited to the Company on the date such Shares are forfeited.</w:t>
      </w:r>
    </w:p>
    <w:p>
      <w:pPr>
        <w:spacing w:after="0" w:line="225" w:lineRule="exact"/>
        <w:rPr>
          <w:rFonts w:ascii="Arial" w:cs="Arial" w:eastAsia="Arial" w:hAnsi="Arial"/>
          <w:sz w:val="20"/>
          <w:szCs w:val="20"/>
          <w:color w:val="auto"/>
        </w:rPr>
      </w:pPr>
    </w:p>
    <w:p>
      <w:pPr>
        <w:ind w:left="620" w:hanging="288"/>
        <w:spacing w:after="0"/>
        <w:tabs>
          <w:tab w:leader="none" w:pos="620" w:val="left"/>
        </w:tabs>
        <w:numPr>
          <w:ilvl w:val="0"/>
          <w:numId w:val="74"/>
        </w:numPr>
        <w:rPr>
          <w:rFonts w:ascii="Arial" w:cs="Arial" w:eastAsia="Arial" w:hAnsi="Arial"/>
          <w:sz w:val="22"/>
          <w:szCs w:val="22"/>
          <w:color w:val="auto"/>
        </w:rPr>
      </w:pPr>
      <w:r>
        <w:rPr>
          <w:rFonts w:ascii="Arial" w:cs="Arial" w:eastAsia="Arial" w:hAnsi="Arial"/>
          <w:sz w:val="20"/>
          <w:szCs w:val="20"/>
          <w:b w:val="1"/>
          <w:bCs w:val="1"/>
          <w:color w:val="auto"/>
        </w:rPr>
        <w:t>SECTION 6. MISCELLANEOUS PROVISIONS</w:t>
      </w:r>
    </w:p>
    <w:p>
      <w:pPr>
        <w:spacing w:after="0" w:line="233" w:lineRule="exact"/>
        <w:rPr>
          <w:rFonts w:ascii="Arial" w:cs="Arial" w:eastAsia="Arial" w:hAnsi="Arial"/>
          <w:sz w:val="22"/>
          <w:szCs w:val="22"/>
          <w:color w:val="auto"/>
        </w:rPr>
      </w:pPr>
    </w:p>
    <w:p>
      <w:pPr>
        <w:jc w:val="both"/>
        <w:ind w:left="1300" w:hanging="320"/>
        <w:spacing w:after="0" w:line="264" w:lineRule="auto"/>
        <w:tabs>
          <w:tab w:leader="none" w:pos="1291" w:val="left"/>
        </w:tabs>
        <w:numPr>
          <w:ilvl w:val="1"/>
          <w:numId w:val="74"/>
        </w:numPr>
        <w:rPr>
          <w:rFonts w:ascii="Arial" w:cs="Arial" w:eastAsia="Arial" w:hAnsi="Arial"/>
          <w:sz w:val="19"/>
          <w:szCs w:val="19"/>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Pursuant to Article 20 of the Plan, the Committee shall have the power and right to deduct or withhold,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Grantee 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jc w:val="both"/>
        <w:ind w:left="1300" w:hanging="320"/>
        <w:spacing w:after="0" w:line="256" w:lineRule="auto"/>
        <w:tabs>
          <w:tab w:leader="none" w:pos="1291" w:val="left"/>
        </w:tabs>
        <w:numPr>
          <w:ilvl w:val="1"/>
          <w:numId w:val="74"/>
        </w:numPr>
        <w:rPr>
          <w:rFonts w:ascii="Arial" w:cs="Arial" w:eastAsia="Arial" w:hAnsi="Arial"/>
          <w:sz w:val="19"/>
          <w:szCs w:val="19"/>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deemed to have indicated the Grantee’s acceptance and ratification of, and consent to, any action taken under the Plan or this Agreement and Notice of Restricted Stock Grant by the Company, the Board or the Committee.</w:t>
      </w:r>
    </w:p>
    <w:p>
      <w:pPr>
        <w:jc w:val="both"/>
        <w:ind w:left="1300" w:hanging="320"/>
        <w:spacing w:after="0" w:line="233" w:lineRule="auto"/>
        <w:tabs>
          <w:tab w:leader="none" w:pos="1292" w:val="left"/>
        </w:tabs>
        <w:numPr>
          <w:ilvl w:val="1"/>
          <w:numId w:val="74"/>
        </w:numPr>
        <w:rPr>
          <w:rFonts w:ascii="Arial" w:cs="Arial" w:eastAsia="Arial" w:hAnsi="Arial"/>
          <w:sz w:val="22"/>
          <w:szCs w:val="22"/>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Any notice required by the terms of this Agreement shall be given in writing and shall be deemed effective upon</w:t>
      </w:r>
      <w:r>
        <w:rPr>
          <w:rFonts w:ascii="Arial" w:cs="Arial" w:eastAsia="Arial" w:hAnsi="Arial"/>
          <w:sz w:val="20"/>
          <w:szCs w:val="20"/>
          <w:b w:val="1"/>
          <w:bCs w:val="1"/>
          <w:color w:val="auto"/>
        </w:rPr>
        <w:t xml:space="preserve"> </w:t>
      </w:r>
      <w:r>
        <w:rPr>
          <w:rFonts w:ascii="Arial" w:cs="Arial" w:eastAsia="Arial" w:hAnsi="Arial"/>
          <w:sz w:val="20"/>
          <w:szCs w:val="20"/>
          <w:color w:val="auto"/>
        </w:rPr>
        <w:t>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2" w:lineRule="exact"/>
        <w:rPr>
          <w:rFonts w:ascii="Arial" w:cs="Arial" w:eastAsia="Arial" w:hAnsi="Arial"/>
          <w:sz w:val="22"/>
          <w:szCs w:val="22"/>
          <w:color w:val="auto"/>
        </w:rPr>
      </w:pPr>
    </w:p>
    <w:p>
      <w:pPr>
        <w:jc w:val="both"/>
        <w:ind w:left="1300" w:hanging="320"/>
        <w:spacing w:after="0" w:line="226" w:lineRule="auto"/>
        <w:tabs>
          <w:tab w:leader="none" w:pos="1291" w:val="left"/>
        </w:tabs>
        <w:numPr>
          <w:ilvl w:val="1"/>
          <w:numId w:val="74"/>
        </w:numPr>
        <w:rPr>
          <w:rFonts w:ascii="Arial" w:cs="Arial" w:eastAsia="Arial" w:hAnsi="Arial"/>
          <w:sz w:val="22"/>
          <w:szCs w:val="22"/>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and the Notice of Restricted Stock Grant shall be governed by, and construed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laws of 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3" w:lineRule="exact"/>
        <w:rPr>
          <w:rFonts w:ascii="Arial" w:cs="Arial" w:eastAsia="Arial" w:hAnsi="Arial"/>
          <w:sz w:val="22"/>
          <w:szCs w:val="22"/>
          <w:color w:val="auto"/>
        </w:rPr>
      </w:pPr>
    </w:p>
    <w:p>
      <w:pPr>
        <w:jc w:val="both"/>
        <w:ind w:left="1300" w:hanging="320"/>
        <w:spacing w:after="0" w:line="266" w:lineRule="auto"/>
        <w:tabs>
          <w:tab w:leader="none" w:pos="1291" w:val="left"/>
        </w:tabs>
        <w:numPr>
          <w:ilvl w:val="1"/>
          <w:numId w:val="74"/>
        </w:numPr>
        <w:rPr>
          <w:rFonts w:ascii="Arial" w:cs="Arial" w:eastAsia="Arial" w:hAnsi="Arial"/>
          <w:sz w:val="19"/>
          <w:szCs w:val="19"/>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Subject to, and in accordance with the provisions of Article 3 of the Plan, any dispute or claim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Plan, 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w:t>
      </w:r>
    </w:p>
    <w:p>
      <w:pPr>
        <w:sectPr>
          <w:pgSz w:w="11900" w:h="16838" w:orient="portrait"/>
          <w:cols w:equalWidth="0" w:num="1">
            <w:col w:w="11240"/>
          </w:cols>
          <w:pgMar w:left="320" w:top="888" w:right="339" w:bottom="1440" w:gutter="0" w:footer="0" w:header="0"/>
        </w:sectPr>
      </w:pPr>
    </w:p>
    <w:bookmarkStart w:id="182" w:name="page183"/>
    <w:bookmarkEnd w:id="182"/>
    <w:p>
      <w:pPr>
        <w:jc w:val="both"/>
        <w:ind w:left="320"/>
        <w:spacing w:after="0" w:line="229" w:lineRule="auto"/>
        <w:rPr>
          <w:sz w:val="20"/>
          <w:szCs w:val="20"/>
          <w:color w:val="auto"/>
        </w:rPr>
      </w:pPr>
      <w:r>
        <w:rPr>
          <w:rFonts w:ascii="Arial" w:cs="Arial" w:eastAsia="Arial" w:hAnsi="Arial"/>
          <w:sz w:val="20"/>
          <w:szCs w:val="20"/>
          <w:color w:val="auto"/>
        </w:rPr>
        <w:t>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jc w:val="both"/>
        <w:ind w:left="320" w:hanging="320"/>
        <w:spacing w:after="0" w:line="233" w:lineRule="auto"/>
        <w:tabs>
          <w:tab w:leader="none" w:pos="319" w:val="left"/>
        </w:tabs>
        <w:numPr>
          <w:ilvl w:val="0"/>
          <w:numId w:val="75"/>
        </w:numPr>
        <w:rPr>
          <w:rFonts w:ascii="Arial" w:cs="Arial" w:eastAsia="Arial" w:hAnsi="Arial"/>
          <w:sz w:val="22"/>
          <w:szCs w:val="22"/>
          <w:color w:val="auto"/>
        </w:rPr>
      </w:pPr>
      <w:r>
        <w:rPr>
          <w:rFonts w:ascii="Arial" w:cs="Arial" w:eastAsia="Arial" w:hAnsi="Arial"/>
          <w:sz w:val="20"/>
          <w:szCs w:val="20"/>
          <w:b w:val="1"/>
          <w:bCs w:val="1"/>
          <w:color w:val="auto"/>
        </w:rPr>
        <w:t>Modification or Amendment</w:t>
      </w:r>
      <w:r>
        <w:rPr>
          <w:rFonts w:ascii="Arial" w:cs="Arial" w:eastAsia="Arial" w:hAnsi="Arial"/>
          <w:sz w:val="20"/>
          <w:szCs w:val="20"/>
          <w:color w:val="auto"/>
        </w:rPr>
        <w:t>. This Agreement may only be modified or amended by written agreement executed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provided, however, that the adjustments permitted pursuant to Section 4.3 of the Plan may be made without such written agreement.</w:t>
      </w:r>
    </w:p>
    <w:p>
      <w:pPr>
        <w:spacing w:after="0" w:line="2" w:lineRule="exact"/>
        <w:rPr>
          <w:rFonts w:ascii="Arial" w:cs="Arial" w:eastAsia="Arial" w:hAnsi="Arial"/>
          <w:sz w:val="22"/>
          <w:szCs w:val="22"/>
          <w:color w:val="auto"/>
        </w:rPr>
      </w:pPr>
    </w:p>
    <w:p>
      <w:pPr>
        <w:jc w:val="both"/>
        <w:ind w:left="320" w:hanging="320"/>
        <w:spacing w:after="0" w:line="227" w:lineRule="auto"/>
        <w:tabs>
          <w:tab w:leader="none" w:pos="311" w:val="left"/>
        </w:tabs>
        <w:numPr>
          <w:ilvl w:val="0"/>
          <w:numId w:val="75"/>
        </w:numPr>
        <w:rPr>
          <w:rFonts w:ascii="Arial" w:cs="Arial" w:eastAsia="Arial" w:hAnsi="Arial"/>
          <w:sz w:val="22"/>
          <w:szCs w:val="22"/>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In the event any provision of this Agreement shall be held illegal or invalid for any reason, the illegality or</w:t>
      </w:r>
      <w:r>
        <w:rPr>
          <w:rFonts w:ascii="Arial" w:cs="Arial" w:eastAsia="Arial" w:hAnsi="Arial"/>
          <w:sz w:val="20"/>
          <w:szCs w:val="20"/>
          <w:b w:val="1"/>
          <w:bCs w:val="1"/>
          <w:color w:val="auto"/>
        </w:rPr>
        <w:t xml:space="preserve"> </w:t>
      </w:r>
      <w:r>
        <w:rPr>
          <w:rFonts w:ascii="Arial" w:cs="Arial" w:eastAsia="Arial" w:hAnsi="Arial"/>
          <w:sz w:val="20"/>
          <w:szCs w:val="20"/>
          <w:color w:val="auto"/>
        </w:rPr>
        <w:t>invalidity shall not affect the remaining provisions of this Agreement, and this Agreement shall be construed and enforced as if such illegal or invalid provision had not been included.</w:t>
      </w:r>
    </w:p>
    <w:p>
      <w:pPr>
        <w:ind w:left="320" w:hanging="320"/>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7"/>
          <w:szCs w:val="17"/>
          <w:b w:val="1"/>
          <w:bCs w:val="1"/>
          <w:color w:val="auto"/>
        </w:rPr>
        <w:t>References to Plan</w:t>
      </w:r>
      <w:r>
        <w:rPr>
          <w:rFonts w:ascii="Arial" w:cs="Arial" w:eastAsia="Arial" w:hAnsi="Arial"/>
          <w:sz w:val="17"/>
          <w:szCs w:val="17"/>
          <w:color w:val="auto"/>
        </w:rPr>
        <w:t>. All references to the Plan shall be deemed references to the Plan as may be amended from time to time.</w:t>
      </w:r>
    </w:p>
    <w:p>
      <w:pPr>
        <w:spacing w:after="0" w:line="33" w:lineRule="exact"/>
        <w:rPr>
          <w:rFonts w:ascii="Arial" w:cs="Arial" w:eastAsia="Arial" w:hAnsi="Arial"/>
          <w:sz w:val="18"/>
          <w:szCs w:val="18"/>
          <w:color w:val="auto"/>
        </w:rPr>
      </w:pPr>
    </w:p>
    <w:p>
      <w:pPr>
        <w:jc w:val="both"/>
        <w:ind w:left="320" w:hanging="320"/>
        <w:spacing w:after="0" w:line="232" w:lineRule="auto"/>
        <w:tabs>
          <w:tab w:leader="none" w:pos="320" w:val="left"/>
        </w:tabs>
        <w:numPr>
          <w:ilvl w:val="0"/>
          <w:numId w:val="75"/>
        </w:numPr>
        <w:rPr>
          <w:rFonts w:ascii="Arial" w:cs="Arial" w:eastAsia="Arial" w:hAnsi="Arial"/>
          <w:sz w:val="22"/>
          <w:szCs w:val="22"/>
          <w:color w:val="auto"/>
        </w:rPr>
      </w:pPr>
      <w:r>
        <w:rPr>
          <w:rFonts w:ascii="Arial" w:cs="Arial" w:eastAsia="Arial" w:hAnsi="Arial"/>
          <w:sz w:val="20"/>
          <w:szCs w:val="20"/>
          <w:b w:val="1"/>
          <w:bCs w:val="1"/>
          <w:color w:val="auto"/>
        </w:rPr>
        <w:t>Section 409A Compliance</w:t>
      </w:r>
      <w:r>
        <w:rPr>
          <w:rFonts w:ascii="Arial" w:cs="Arial" w:eastAsia="Arial" w:hAnsi="Arial"/>
          <w:sz w:val="20"/>
          <w:szCs w:val="20"/>
          <w:color w:val="auto"/>
        </w:rPr>
        <w:t>. To the extent applicable, it is intended that the Plan and this Agreement comply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requirements of Code Section 409A and any related regulations or other guidance promulgated with respect to such Section by the </w:t>
      </w:r>
      <w:r>
        <w:rPr>
          <w:rFonts w:ascii="Arial" w:cs="Arial" w:eastAsia="Arial" w:hAnsi="Arial"/>
          <w:sz w:val="21"/>
          <w:szCs w:val="21"/>
          <w:color w:val="auto"/>
        </w:rPr>
        <w:t>U.S.</w:t>
      </w:r>
      <w:r>
        <w:rPr>
          <w:rFonts w:ascii="Arial" w:cs="Arial" w:eastAsia="Arial" w:hAnsi="Arial"/>
          <w:sz w:val="20"/>
          <w:szCs w:val="20"/>
          <w:color w:val="auto"/>
        </w:rPr>
        <w:t xml:space="preserve"> Department of the Treasury or the Internal Revenue Service and the Plan and the Award Agreement shall be interpreted accordingly.</w:t>
      </w:r>
    </w:p>
    <w:p>
      <w:pPr>
        <w:sectPr>
          <w:pgSz w:w="11900" w:h="16838" w:orient="portrait"/>
          <w:cols w:equalWidth="0" w:num="1">
            <w:col w:w="10260"/>
          </w:cols>
          <w:pgMar w:left="1300" w:top="892"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and Restrictions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grant is subject to both a Performance Restriction and a Time-Based Restriction, as described below (collectively, the “Period of Restriction”).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Restriction</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for the Restricted Stock to vest, the Compensation Committee of the Board of Directors of the Company (the “Committee”) must determine that the Company has achieved 9.5% or greater Title Operating Margin (as defined below) in at least two calendar quarters of any of the next five calendar quarters starting October 1, 2020 (the “Performance Restriction”). The five calendar quarters starting October 1, 2020 and ending December 31, 2021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00" w:type="dxa"/>
            <w:vAlign w:val="bottom"/>
          </w:tcPr>
          <w:p>
            <w:pPr>
              <w:spacing w:after="0"/>
              <w:rPr>
                <w:sz w:val="22"/>
                <w:szCs w:val="22"/>
                <w:color w:val="auto"/>
              </w:rPr>
            </w:pPr>
          </w:p>
        </w:tc>
        <w:tc>
          <w:tcPr>
            <w:tcW w:w="6360" w:type="dxa"/>
            <w:vAlign w:val="bottom"/>
            <w:gridSpan w:val="2"/>
          </w:tcPr>
          <w:p>
            <w:pPr>
              <w:jc w:val="right"/>
              <w:ind w:right="4101"/>
              <w:spacing w:after="0"/>
              <w:rPr>
                <w:sz w:val="20"/>
                <w:szCs w:val="20"/>
                <w:color w:val="auto"/>
              </w:rPr>
            </w:pPr>
            <w:r>
              <w:rPr>
                <w:rFonts w:ascii="Arial" w:cs="Arial" w:eastAsia="Arial" w:hAnsi="Arial"/>
                <w:sz w:val="20"/>
                <w:szCs w:val="20"/>
                <w:b w:val="1"/>
                <w:bCs w:val="1"/>
                <w:color w:val="auto"/>
                <w:w w:val="91"/>
              </w:rPr>
              <w:t>Time-Based Restrictions</w:t>
            </w:r>
          </w:p>
        </w:tc>
      </w:tr>
      <w:tr>
        <w:trPr>
          <w:trHeight w:val="252"/>
        </w:trPr>
        <w:tc>
          <w:tcPr>
            <w:tcW w:w="4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140" w:type="dxa"/>
            <w:vAlign w:val="bottom"/>
            <w:tcBorders>
              <w:bottom w:val="single" w:sz="8" w:color="auto"/>
            </w:tcBorders>
          </w:tcPr>
          <w:p>
            <w:pPr>
              <w:spacing w:after="0"/>
              <w:rPr>
                <w:sz w:val="21"/>
                <w:szCs w:val="21"/>
                <w:color w:val="auto"/>
              </w:rPr>
            </w:pPr>
          </w:p>
        </w:tc>
      </w:tr>
      <w:tr>
        <w:trPr>
          <w:trHeight w:val="259"/>
        </w:trPr>
        <w:tc>
          <w:tcPr>
            <w:tcW w:w="4500" w:type="dxa"/>
            <w:vAlign w:val="bottom"/>
            <w:tcBorders>
              <w:left w:val="single" w:sz="8" w:color="auto"/>
              <w:bottom w:val="single" w:sz="8" w:color="auto"/>
            </w:tcBorders>
          </w:tcPr>
          <w:p>
            <w:pPr>
              <w:ind w:left="2120"/>
              <w:spacing w:after="0"/>
              <w:rPr>
                <w:sz w:val="20"/>
                <w:szCs w:val="20"/>
                <w:color w:val="auto"/>
              </w:rPr>
            </w:pPr>
            <w:r>
              <w:rPr>
                <w:rFonts w:ascii="Arial" w:cs="Arial" w:eastAsia="Arial" w:hAnsi="Arial"/>
                <w:sz w:val="20"/>
                <w:szCs w:val="20"/>
                <w:b w:val="1"/>
                <w:bCs w:val="1"/>
                <w:color w:val="auto"/>
              </w:rPr>
              <w:t>Anniversary Date</w:t>
            </w:r>
          </w:p>
        </w:tc>
        <w:tc>
          <w:tcPr>
            <w:tcW w:w="1220" w:type="dxa"/>
            <w:vAlign w:val="bottom"/>
            <w:tcBorders>
              <w:bottom w:val="single" w:sz="8" w:color="auto"/>
              <w:right w:val="single" w:sz="8" w:color="auto"/>
            </w:tcBorders>
          </w:tcPr>
          <w:p>
            <w:pPr>
              <w:spacing w:after="0"/>
              <w:rPr>
                <w:sz w:val="22"/>
                <w:szCs w:val="22"/>
                <w:color w:val="auto"/>
              </w:rPr>
            </w:pPr>
          </w:p>
        </w:tc>
        <w:tc>
          <w:tcPr>
            <w:tcW w:w="5140" w:type="dxa"/>
            <w:vAlign w:val="bottom"/>
            <w:tcBorders>
              <w:bottom w:val="single" w:sz="8" w:color="auto"/>
              <w:right w:val="single" w:sz="8" w:color="auto"/>
            </w:tcBorders>
          </w:tcPr>
          <w:p>
            <w:pPr>
              <w:jc w:val="right"/>
              <w:ind w:right="1561"/>
              <w:spacing w:after="0"/>
              <w:rPr>
                <w:sz w:val="20"/>
                <w:szCs w:val="20"/>
                <w:color w:val="auto"/>
              </w:rPr>
            </w:pPr>
            <w:r>
              <w:rPr>
                <w:rFonts w:ascii="Arial" w:cs="Arial" w:eastAsia="Arial" w:hAnsi="Arial"/>
                <w:sz w:val="20"/>
                <w:szCs w:val="20"/>
                <w:b w:val="1"/>
                <w:bCs w:val="1"/>
                <w:color w:val="auto"/>
              </w:rPr>
              <w:t>% of Restricted Stock</w:t>
            </w:r>
          </w:p>
        </w:tc>
      </w:tr>
      <w:tr>
        <w:trPr>
          <w:trHeight w:val="268"/>
        </w:trPr>
        <w:tc>
          <w:tcPr>
            <w:tcW w:w="4500" w:type="dxa"/>
            <w:vAlign w:val="bottom"/>
            <w:tcBorders>
              <w:left w:val="single" w:sz="8" w:color="auto"/>
              <w:bottom w:val="single" w:sz="8" w:color="auto"/>
            </w:tcBorders>
          </w:tcPr>
          <w:p>
            <w:pPr>
              <w:ind w:left="40"/>
              <w:spacing w:after="0" w:line="267" w:lineRule="exact"/>
              <w:rPr>
                <w:sz w:val="20"/>
                <w:szCs w:val="20"/>
                <w:color w:val="auto"/>
              </w:rPr>
            </w:pPr>
            <w:r>
              <w:rPr>
                <w:rFonts w:ascii="Arial" w:cs="Arial" w:eastAsia="Arial" w:hAnsi="Arial"/>
                <w:sz w:val="20"/>
                <w:szCs w:val="20"/>
                <w:color w:val="auto"/>
                <w:w w:val="97"/>
              </w:rPr>
              <w:t>First (1</w:t>
            </w:r>
            <w:r>
              <w:rPr>
                <w:rFonts w:ascii="Arial" w:cs="Arial" w:eastAsia="Arial" w:hAnsi="Arial"/>
                <w:sz w:val="28"/>
                <w:szCs w:val="28"/>
                <w:color w:val="auto"/>
                <w:w w:val="97"/>
                <w:vertAlign w:val="superscript"/>
              </w:rPr>
              <w:t>st</w:t>
            </w:r>
            <w:r>
              <w:rPr>
                <w:rFonts w:ascii="Arial" w:cs="Arial" w:eastAsia="Arial" w:hAnsi="Arial"/>
                <w:sz w:val="20"/>
                <w:szCs w:val="20"/>
                <w:color w:val="auto"/>
                <w:w w:val="97"/>
              </w:rPr>
              <w:t>) anniversary of the Effective Date of Grant</w:t>
            </w:r>
          </w:p>
        </w:tc>
        <w:tc>
          <w:tcPr>
            <w:tcW w:w="1220" w:type="dxa"/>
            <w:vAlign w:val="bottom"/>
            <w:tcBorders>
              <w:bottom w:val="single" w:sz="8" w:color="auto"/>
              <w:right w:val="single" w:sz="8" w:color="auto"/>
            </w:tcBorders>
          </w:tcPr>
          <w:p>
            <w:pPr>
              <w:spacing w:after="0"/>
              <w:rPr>
                <w:sz w:val="23"/>
                <w:szCs w:val="23"/>
                <w:color w:val="auto"/>
              </w:rPr>
            </w:pPr>
          </w:p>
        </w:tc>
        <w:tc>
          <w:tcPr>
            <w:tcW w:w="5140" w:type="dxa"/>
            <w:vAlign w:val="bottom"/>
            <w:tcBorders>
              <w:bottom w:val="single" w:sz="8" w:color="auto"/>
              <w:right w:val="single" w:sz="8" w:color="auto"/>
            </w:tcBorders>
          </w:tcPr>
          <w:p>
            <w:pPr>
              <w:jc w:val="right"/>
              <w:ind w:right="4421"/>
              <w:spacing w:after="0"/>
              <w:rPr>
                <w:sz w:val="20"/>
                <w:szCs w:val="20"/>
                <w:color w:val="auto"/>
              </w:rPr>
            </w:pPr>
            <w:r>
              <w:rPr>
                <w:rFonts w:ascii="Arial" w:cs="Arial" w:eastAsia="Arial" w:hAnsi="Arial"/>
                <w:sz w:val="20"/>
                <w:szCs w:val="20"/>
                <w:color w:val="auto"/>
                <w:w w:val="88"/>
              </w:rPr>
              <w:t>33.33%</w:t>
            </w:r>
          </w:p>
        </w:tc>
      </w:tr>
      <w:tr>
        <w:trPr>
          <w:trHeight w:val="263"/>
        </w:trPr>
        <w:tc>
          <w:tcPr>
            <w:tcW w:w="4500" w:type="dxa"/>
            <w:vAlign w:val="bottom"/>
            <w:tcBorders>
              <w:left w:val="single" w:sz="8" w:color="auto"/>
              <w:bottom w:val="single" w:sz="8" w:color="auto"/>
            </w:tcBorders>
          </w:tcPr>
          <w:p>
            <w:pPr>
              <w:ind w:left="40"/>
              <w:spacing w:after="0" w:line="263" w:lineRule="exact"/>
              <w:rPr>
                <w:sz w:val="20"/>
                <w:szCs w:val="20"/>
                <w:color w:val="auto"/>
              </w:rPr>
            </w:pPr>
            <w:r>
              <w:rPr>
                <w:rFonts w:ascii="Arial" w:cs="Arial" w:eastAsia="Arial" w:hAnsi="Arial"/>
                <w:sz w:val="20"/>
                <w:szCs w:val="20"/>
                <w:color w:val="auto"/>
                <w:w w:val="90"/>
              </w:rPr>
              <w:t>Second (2</w:t>
            </w:r>
            <w:r>
              <w:rPr>
                <w:rFonts w:ascii="Arial" w:cs="Arial" w:eastAsia="Arial" w:hAnsi="Arial"/>
                <w:sz w:val="28"/>
                <w:szCs w:val="28"/>
                <w:color w:val="auto"/>
                <w:w w:val="90"/>
                <w:vertAlign w:val="superscript"/>
              </w:rPr>
              <w:t>nd</w:t>
            </w:r>
            <w:r>
              <w:rPr>
                <w:rFonts w:ascii="Arial" w:cs="Arial" w:eastAsia="Arial" w:hAnsi="Arial"/>
                <w:sz w:val="20"/>
                <w:szCs w:val="20"/>
                <w:color w:val="auto"/>
                <w:w w:val="90"/>
              </w:rPr>
              <w:t>) anniversary of the Effective Date of Grant</w:t>
            </w:r>
          </w:p>
        </w:tc>
        <w:tc>
          <w:tcPr>
            <w:tcW w:w="1220" w:type="dxa"/>
            <w:vAlign w:val="bottom"/>
            <w:tcBorders>
              <w:bottom w:val="single" w:sz="8" w:color="auto"/>
              <w:right w:val="single" w:sz="8" w:color="auto"/>
            </w:tcBorders>
          </w:tcPr>
          <w:p>
            <w:pPr>
              <w:spacing w:after="0"/>
              <w:rPr>
                <w:sz w:val="22"/>
                <w:szCs w:val="22"/>
                <w:color w:val="auto"/>
              </w:rPr>
            </w:pPr>
          </w:p>
        </w:tc>
        <w:tc>
          <w:tcPr>
            <w:tcW w:w="5140" w:type="dxa"/>
            <w:vAlign w:val="bottom"/>
            <w:tcBorders>
              <w:bottom w:val="single" w:sz="8" w:color="auto"/>
              <w:right w:val="single" w:sz="8" w:color="auto"/>
            </w:tcBorders>
          </w:tcPr>
          <w:p>
            <w:pPr>
              <w:jc w:val="right"/>
              <w:ind w:right="4421"/>
              <w:spacing w:after="0"/>
              <w:rPr>
                <w:sz w:val="20"/>
                <w:szCs w:val="20"/>
                <w:color w:val="auto"/>
              </w:rPr>
            </w:pPr>
            <w:r>
              <w:rPr>
                <w:rFonts w:ascii="Arial" w:cs="Arial" w:eastAsia="Arial" w:hAnsi="Arial"/>
                <w:sz w:val="20"/>
                <w:szCs w:val="20"/>
                <w:color w:val="auto"/>
                <w:w w:val="88"/>
              </w:rPr>
              <w:t>33.33%</w:t>
            </w:r>
          </w:p>
        </w:tc>
      </w:tr>
      <w:tr>
        <w:trPr>
          <w:trHeight w:val="263"/>
        </w:trPr>
        <w:tc>
          <w:tcPr>
            <w:tcW w:w="4500" w:type="dxa"/>
            <w:vAlign w:val="bottom"/>
            <w:tcBorders>
              <w:left w:val="single" w:sz="8" w:color="auto"/>
              <w:bottom w:val="single" w:sz="8" w:color="auto"/>
            </w:tcBorders>
          </w:tcPr>
          <w:p>
            <w:pPr>
              <w:ind w:left="40"/>
              <w:spacing w:after="0" w:line="263" w:lineRule="exact"/>
              <w:rPr>
                <w:sz w:val="20"/>
                <w:szCs w:val="20"/>
                <w:color w:val="auto"/>
              </w:rPr>
            </w:pPr>
            <w:r>
              <w:rPr>
                <w:rFonts w:ascii="Arial" w:cs="Arial" w:eastAsia="Arial" w:hAnsi="Arial"/>
                <w:sz w:val="20"/>
                <w:szCs w:val="20"/>
                <w:color w:val="auto"/>
                <w:w w:val="95"/>
              </w:rPr>
              <w:t>Third (3</w:t>
            </w:r>
            <w:r>
              <w:rPr>
                <w:rFonts w:ascii="Arial" w:cs="Arial" w:eastAsia="Arial" w:hAnsi="Arial"/>
                <w:sz w:val="28"/>
                <w:szCs w:val="28"/>
                <w:color w:val="auto"/>
                <w:w w:val="95"/>
                <w:vertAlign w:val="superscript"/>
              </w:rPr>
              <w:t>rd</w:t>
            </w:r>
            <w:r>
              <w:rPr>
                <w:rFonts w:ascii="Arial" w:cs="Arial" w:eastAsia="Arial" w:hAnsi="Arial"/>
                <w:sz w:val="20"/>
                <w:szCs w:val="20"/>
                <w:color w:val="auto"/>
                <w:w w:val="95"/>
              </w:rPr>
              <w:t>) anniversary of the Effective Date of Grant</w:t>
            </w:r>
          </w:p>
        </w:tc>
        <w:tc>
          <w:tcPr>
            <w:tcW w:w="1220" w:type="dxa"/>
            <w:vAlign w:val="bottom"/>
            <w:tcBorders>
              <w:bottom w:val="single" w:sz="8" w:color="auto"/>
              <w:right w:val="single" w:sz="8" w:color="auto"/>
            </w:tcBorders>
          </w:tcPr>
          <w:p>
            <w:pPr>
              <w:spacing w:after="0"/>
              <w:rPr>
                <w:sz w:val="22"/>
                <w:szCs w:val="22"/>
                <w:color w:val="auto"/>
              </w:rPr>
            </w:pPr>
          </w:p>
        </w:tc>
        <w:tc>
          <w:tcPr>
            <w:tcW w:w="5140" w:type="dxa"/>
            <w:vAlign w:val="bottom"/>
            <w:tcBorders>
              <w:bottom w:val="single" w:sz="8" w:color="auto"/>
              <w:right w:val="single" w:sz="8" w:color="auto"/>
            </w:tcBorders>
          </w:tcPr>
          <w:p>
            <w:pPr>
              <w:jc w:val="right"/>
              <w:ind w:right="4421"/>
              <w:spacing w:after="0"/>
              <w:rPr>
                <w:sz w:val="20"/>
                <w:szCs w:val="20"/>
                <w:color w:val="auto"/>
              </w:rPr>
            </w:pPr>
            <w:r>
              <w:rPr>
                <w:rFonts w:ascii="Arial" w:cs="Arial" w:eastAsia="Arial" w:hAnsi="Arial"/>
                <w:sz w:val="20"/>
                <w:szCs w:val="20"/>
                <w:color w:val="auto"/>
                <w:w w:val="88"/>
              </w:rPr>
              <w:t>33.34%</w:t>
            </w:r>
          </w:p>
        </w:tc>
      </w:tr>
      <w:tr>
        <w:trPr>
          <w:trHeight w:val="470"/>
        </w:trPr>
        <w:tc>
          <w:tcPr>
            <w:tcW w:w="4500" w:type="dxa"/>
            <w:vAlign w:val="bottom"/>
          </w:tcPr>
          <w:p>
            <w:pPr>
              <w:spacing w:after="0"/>
              <w:rPr>
                <w:sz w:val="24"/>
                <w:szCs w:val="24"/>
                <w:color w:val="auto"/>
              </w:rPr>
            </w:pPr>
          </w:p>
        </w:tc>
        <w:tc>
          <w:tcPr>
            <w:tcW w:w="6360" w:type="dxa"/>
            <w:vAlign w:val="bottom"/>
            <w:gridSpan w:val="2"/>
          </w:tcPr>
          <w:p>
            <w:pPr>
              <w:jc w:val="right"/>
              <w:ind w:right="4821"/>
              <w:spacing w:after="0"/>
              <w:rPr>
                <w:sz w:val="20"/>
                <w:szCs w:val="20"/>
                <w:color w:val="auto"/>
              </w:rPr>
            </w:pPr>
            <w:r>
              <w:rPr>
                <w:rFonts w:ascii="Arial" w:cs="Arial" w:eastAsia="Arial" w:hAnsi="Arial"/>
                <w:sz w:val="20"/>
                <w:szCs w:val="20"/>
                <w:b w:val="1"/>
                <w:bCs w:val="1"/>
                <w:color w:val="auto"/>
              </w:rPr>
              <w:t>Vesting</w:t>
            </w:r>
          </w:p>
        </w:tc>
      </w:tr>
    </w:tbl>
    <w:p>
      <w:pPr>
        <w:spacing w:after="0" w:line="20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240"/>
          </w:cols>
          <w:pgMar w:left="320" w:top="1129"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7460" w:type="dxa"/>
            <w:vAlign w:val="bottom"/>
            <w:gridSpan w:val="3"/>
          </w:tcPr>
          <w:p>
            <w:pPr>
              <w:jc w:val="center"/>
              <w:ind w:right="357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660" w:type="dxa"/>
            <w:vAlign w:val="bottom"/>
          </w:tcPr>
          <w:p>
            <w:pPr>
              <w:spacing w:after="0"/>
              <w:rPr>
                <w:sz w:val="18"/>
                <w:szCs w:val="18"/>
                <w:color w:val="auto"/>
              </w:rPr>
            </w:pPr>
          </w:p>
        </w:tc>
        <w:tc>
          <w:tcPr>
            <w:tcW w:w="746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w w:val="89"/>
              </w:rPr>
              <w:t>List of Subsidiaries December 31, 2020</w:t>
            </w:r>
          </w:p>
        </w:tc>
      </w:tr>
      <w:tr>
        <w:trPr>
          <w:trHeight w:val="234"/>
        </w:trPr>
        <w:tc>
          <w:tcPr>
            <w:tcW w:w="3660" w:type="dxa"/>
            <w:vAlign w:val="bottom"/>
          </w:tcPr>
          <w:p>
            <w:pPr>
              <w:spacing w:after="0"/>
              <w:rPr>
                <w:sz w:val="20"/>
                <w:szCs w:val="20"/>
                <w:color w:val="auto"/>
              </w:rPr>
            </w:pPr>
          </w:p>
        </w:tc>
        <w:tc>
          <w:tcPr>
            <w:tcW w:w="746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48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w:t>
            </w:r>
          </w:p>
        </w:tc>
        <w:tc>
          <w:tcPr>
            <w:tcW w:w="3020" w:type="dxa"/>
            <w:vAlign w:val="bottom"/>
            <w:tcBorders>
              <w:bottom w:val="single" w:sz="8" w:color="auto"/>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INCORPORATION</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FNTG Holdings, LLC</w:t>
            </w:r>
          </w:p>
        </w:tc>
        <w:tc>
          <w:tcPr>
            <w:tcW w:w="3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ServiceLink Holdings, Inc.</w:t>
            </w:r>
          </w:p>
        </w:tc>
        <w:tc>
          <w:tcPr>
            <w:tcW w:w="3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w w:val="96"/>
              </w:rPr>
              <w:t>Commonwealth Land Title Insurance Company</w:t>
            </w:r>
          </w:p>
        </w:tc>
        <w:tc>
          <w:tcPr>
            <w:tcW w:w="3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F&amp;G Annuities &amp; Life, Inc.</w:t>
            </w:r>
          </w:p>
        </w:tc>
        <w:tc>
          <w:tcPr>
            <w:tcW w:w="3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80"/>
          </w:cols>
          <w:pgMar w:left="380" w:top="89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Registration Statements (Form S-3 Nos. 333-157123, 333-147391, 333-174650, 333-238860, 333-239002) of Fidelity National Financial, Inc.</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Statements (Form S-4 Nos. 333-231213, 333-194938, 333-190902, 333-237540) of Fidelity National Financial, Inc.</w:t>
      </w:r>
    </w:p>
    <w:p>
      <w:pPr>
        <w:ind w:left="660" w:right="20" w:hanging="328"/>
        <w:spacing w:after="0" w:line="24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Statements (Form S-8 Nos. 333-197249, 333-190527, 333-157643, 333-132843, 333-138254, 333-129886, 333-129016, 333-176395, 333-213427, 333-238853) of Fidelity National Financial, Inc.</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reports dated March 1, 2021,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2020.</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9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Raymond R. Quirk</w:t>
      </w:r>
    </w:p>
    <w:p>
      <w:pPr>
        <w:ind w:left="1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1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Anthony J. Park</w:t>
      </w:r>
    </w:p>
    <w:p>
      <w:pPr>
        <w:ind w:left="1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March 1, 2021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R. Quirk</w:t>
            </w:r>
          </w:p>
        </w:tc>
      </w:tr>
      <w:tr>
        <w:trPr>
          <w:trHeight w:val="222"/>
        </w:trPr>
        <w:tc>
          <w:tcPr>
            <w:tcW w:w="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Raymond R. Quirk</w:t>
            </w:r>
          </w:p>
        </w:tc>
      </w:tr>
      <w:tr>
        <w:trPr>
          <w:trHeight w:val="230"/>
        </w:trPr>
        <w:tc>
          <w:tcPr>
            <w:tcW w:w="8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3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March 1, 2021</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222"/>
        </w:trPr>
        <w:tc>
          <w:tcPr>
            <w:tcW w:w="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Anthony J. Park</w:t>
            </w:r>
          </w:p>
        </w:tc>
      </w:tr>
      <w:tr>
        <w:trPr>
          <w:trHeight w:val="230"/>
        </w:trPr>
        <w:tc>
          <w:tcPr>
            <w:tcW w:w="7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lowerRoman"/>
      <w:start w:val="1"/>
    </w:lvl>
  </w:abstractNum>
  <w:abstractNum w:abstractNumId="16">
    <w:nsid w:val="32FFF902"/>
    <w:multiLevelType w:val="hybridMultilevel"/>
    <w:lvl w:ilvl="0">
      <w:lvlJc w:val="left"/>
      <w:lvlText w:val="(%1)"/>
      <w:numFmt w:val="lowerRoman"/>
      <w:start w:val="6"/>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Roman"/>
      <w:start w:val="4"/>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upperLetter"/>
      <w:start w:val="35"/>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lowerRoman"/>
      <w:start w:val="1"/>
    </w:lvl>
  </w:abstractNum>
  <w:abstractNum w:abstractNumId="35">
    <w:nsid w:val="235BA861"/>
    <w:multiLevelType w:val="hybridMultilevel"/>
    <w:lvl w:ilvl="0">
      <w:lvlJc w:val="left"/>
      <w:lvlText w:val="(%1)"/>
      <w:numFmt w:val="lowerRoman"/>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lowerLetter"/>
      <w:start w:val="1"/>
    </w:lvl>
    <w:lvl w:ilvl="1">
      <w:lvlJc w:val="left"/>
      <w:lvlText w:val="•"/>
      <w:numFmt w:val="bullet"/>
      <w:start w:val="1"/>
    </w:lvl>
  </w:abstractNum>
  <w:abstractNum w:abstractNumId="63">
    <w:nsid w:val="42C296BD"/>
    <w:multiLevelType w:val="hybridMultilevel"/>
    <w:lvl w:ilvl="0">
      <w:lvlJc w:val="left"/>
      <w:lvlText w:val="(%1)"/>
      <w:numFmt w:val="lowerLetter"/>
      <w:start w:val="2"/>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decimal"/>
      <w:start w:val="1"/>
    </w:lvl>
    <w:lvl w:ilvl="1">
      <w:lvlJc w:val="left"/>
      <w:lvlText w:val="%2"/>
      <w:numFmt w:val="decimal"/>
      <w:start w:val="104"/>
    </w:lvl>
  </w:abstractNum>
  <w:abstractNum w:abstractNumId="66">
    <w:nsid w:val="661E3F1E"/>
    <w:multiLevelType w:val="hybridMultilevel"/>
    <w:lvl w:ilvl="0">
      <w:lvlJc w:val="left"/>
      <w:lvlText w:val="(%1)"/>
      <w:numFmt w:val="decimal"/>
      <w:start w:val="1"/>
    </w:lvl>
    <w:lvl w:ilvl="1">
      <w:lvlJc w:val="left"/>
      <w:lvlText w:val="%2"/>
      <w:numFmt w:val="decimal"/>
      <w:start w:val="1"/>
    </w:lvl>
  </w:abstractNum>
  <w:abstractNum w:abstractNumId="67">
    <w:nsid w:val="5DC79E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8">
    <w:nsid w:val="540A471C"/>
    <w:multiLevelType w:val="hybridMultilevel"/>
    <w:lvl w:ilvl="0">
      <w:lvlJc w:val="left"/>
      <w:lvlText w:val="%1."/>
      <w:numFmt w:val="lowerRoman"/>
      <w:start w:val="3"/>
    </w:lvl>
  </w:abstractNum>
  <w:abstractNum w:abstractNumId="69">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70">
    <w:nsid w:val="51D9C56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1">
    <w:nsid w:val="613EFDC5"/>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72">
    <w:nsid w:val="BF72B14"/>
    <w:multiLevelType w:val="hybridMultilevel"/>
    <w:lvl w:ilvl="0">
      <w:lvlJc w:val="left"/>
      <w:lvlText w:val="%1."/>
      <w:numFmt w:val="upperLetter"/>
      <w:start w:val="4"/>
    </w:lvl>
  </w:abstractNum>
  <w:abstractNum w:abstractNumId="73">
    <w:nsid w:val="11447B73"/>
    <w:multiLevelType w:val="hybridMultilevel"/>
    <w:lvl w:ilvl="0">
      <w:lvlJc w:val="left"/>
      <w:lvlText w:val="%1."/>
      <w:numFmt w:val="upperLetter"/>
      <w:start w:val="5"/>
    </w:lvl>
    <w:lvl w:ilvl="1">
      <w:lvlJc w:val="left"/>
      <w:lvlText w:val="%2."/>
      <w:numFmt w:val="lowerLetter"/>
      <w:start w:val="1"/>
    </w:lvl>
  </w:abstractNum>
  <w:abstractNum w:abstractNumId="74">
    <w:nsid w:val="42963E5A"/>
    <w:multiLevelType w:val="hybridMultilevel"/>
    <w:lvl w:ilvl="0">
      <w:lvlJc w:val="left"/>
      <w:lvlText w:val="%1."/>
      <w:numFmt w:val="lowerLetter"/>
      <w:start w:val="6"/>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51" Type="http://schemas.openxmlformats.org/officeDocument/2006/relationships/image" Target="media/image227.png"/><Relationship Id="rId264" Type="http://schemas.openxmlformats.org/officeDocument/2006/relationships/image" Target="media/image228.png"/><Relationship Id="rId283" Type="http://schemas.openxmlformats.org/officeDocument/2006/relationships/image" Target="media/image229.png"/><Relationship Id="rId293" Type="http://schemas.openxmlformats.org/officeDocument/2006/relationships/image" Target="media/image230.png"/><Relationship Id="rId294" Type="http://schemas.openxmlformats.org/officeDocument/2006/relationships/image" Target="media/image231.png"/><Relationship Id="rId295" Type="http://schemas.openxmlformats.org/officeDocument/2006/relationships/image" Target="media/image232.png"/><Relationship Id="rId29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png"/><Relationship Id="rId299" Type="http://schemas.openxmlformats.org/officeDocument/2006/relationships/image" Target="media/image236.png"/><Relationship Id="rId300" Type="http://schemas.openxmlformats.org/officeDocument/2006/relationships/image" Target="media/image237.png"/><Relationship Id="rId301" Type="http://schemas.openxmlformats.org/officeDocument/2006/relationships/image" Target="media/image238.png"/><Relationship Id="rId302" Type="http://schemas.openxmlformats.org/officeDocument/2006/relationships/image" Target="media/image239.png"/><Relationship Id="rId303" Type="http://schemas.openxmlformats.org/officeDocument/2006/relationships/image" Target="media/image240.png"/><Relationship Id="rId304" Type="http://schemas.openxmlformats.org/officeDocument/2006/relationships/image" Target="media/image241.png"/><Relationship Id="rId305" Type="http://schemas.openxmlformats.org/officeDocument/2006/relationships/image" Target="media/image242.png"/><Relationship Id="rId306" Type="http://schemas.openxmlformats.org/officeDocument/2006/relationships/image" Target="media/image243.png"/><Relationship Id="rId234" Type="http://schemas.openxmlformats.org/officeDocument/2006/relationships/hyperlink" Target="http://www.sec.gov/Archives/edgar/data/1331875/000104746917003921/a2232187zex-2_1.htm" TargetMode="External"/><Relationship Id="rId235" Type="http://schemas.openxmlformats.org/officeDocument/2006/relationships/hyperlink" Target="http://www.sec.gov/Archives/edgar/data/1331875/000104746917003921/a2232187zex-2_2.htm" TargetMode="External"/><Relationship Id="rId236" Type="http://schemas.openxmlformats.org/officeDocument/2006/relationships/hyperlink" Target="http://www.sec.gov/Archives/edgar/data/1331875/000110465917069547/a17-27153_1ex2d1.htm#Exhibit2_1_101925" TargetMode="External"/><Relationship Id="rId237" Type="http://schemas.openxmlformats.org/officeDocument/2006/relationships/hyperlink" Target="http://www.sec.gov/Archives/edgar/data/1331875/000110465920012350/tm207083d1_ex2-1.htm" TargetMode="External"/><Relationship Id="rId238" Type="http://schemas.openxmlformats.org/officeDocument/2006/relationships/hyperlink" Target="http://www.sec.gov/Archives/edgar/data/1331875/000104746920002579/a2241436zs-4a.htm#annb" TargetMode="External"/><Relationship Id="rId239" Type="http://schemas.openxmlformats.org/officeDocument/2006/relationships/hyperlink" Target="http://www.sec.gov/Archives/edgar/data/1331875/000133187518000035/fnffifthamendedandrestated.htm" TargetMode="External"/><Relationship Id="rId240" Type="http://schemas.openxmlformats.org/officeDocument/2006/relationships/hyperlink" Target="http://www.sec.gov/Archives/edgar/data/1331875/000133187517000019/exhibit31fourthamendedandr.htm" TargetMode="External"/><Relationship Id="rId241" Type="http://schemas.openxmlformats.org/officeDocument/2006/relationships/hyperlink" Target="http://www.sec.gov/Archives/edgar/data/1331875/000095013406005246/a16815exv4w1.txt" TargetMode="External"/><Relationship Id="rId242" Type="http://schemas.openxmlformats.org/officeDocument/2006/relationships/hyperlink" Target="http://www.sec.gov/Archives/edgar/data/1331875/000089256906000049/a16429exv4w1.htm" TargetMode="External"/><Relationship Id="rId243" Type="http://schemas.openxmlformats.org/officeDocument/2006/relationships/hyperlink" Target="http://www.sec.gov/Archives/edgar/data/1331875/000095012310044230/g23229exv4w1.htm" TargetMode="External"/><Relationship Id="rId244" Type="http://schemas.openxmlformats.org/officeDocument/2006/relationships/hyperlink" Target="http://www.sec.gov/Archives/edgar/data/1331875/000119312512371962/d403278dex41.htm" TargetMode="External"/><Relationship Id="rId245" Type="http://schemas.openxmlformats.org/officeDocument/2006/relationships/hyperlink" Target="http://www.sec.gov/Archives/edgar/data/1331875/000089256907001411/a35688exv4w2xay.htm" TargetMode="External"/><Relationship Id="rId246" Type="http://schemas.openxmlformats.org/officeDocument/2006/relationships/hyperlink" Target="http://www.sec.gov/Archives/edgar/data/1331875/000133187518000051/exhibit44-fourthsupplement.htm" TargetMode="External"/><Relationship Id="rId247" Type="http://schemas.openxmlformats.org/officeDocument/2006/relationships/hyperlink" Target="http://www.sec.gov/Archives/edgar/data/1331875/000119312514182698/d702315dex41.htm" TargetMode="External"/><Relationship Id="rId248" Type="http://schemas.openxmlformats.org/officeDocument/2006/relationships/hyperlink" Target="http://www.sec.gov/Archives/edgar/data/1331875/000133187520000008/ex49descriptionoffnfco.htm" TargetMode="External"/><Relationship Id="rId249" Type="http://schemas.openxmlformats.org/officeDocument/2006/relationships/hyperlink" Target="http://www.sec.gov/Archives/edgar/data/1331875/000110465920068392/tm2021453d4_ex4-1.htm" TargetMode="External"/><Relationship Id="rId250" Type="http://schemas.openxmlformats.org/officeDocument/2006/relationships/hyperlink" Target="http://www.sec.gov/Archives/edgar/data/1668428/000119312518131682/d553516dex41.htm" TargetMode="External"/><Relationship Id="rId252" Type="http://schemas.openxmlformats.org/officeDocument/2006/relationships/hyperlink" Target="http://www.sec.gov/Archives/edgar/data/1331875/000110465920072692/tm2021971d7_ex4-1.htm" TargetMode="External"/><Relationship Id="rId253" Type="http://schemas.openxmlformats.org/officeDocument/2006/relationships/hyperlink" Target="http://www.sec.gov/Archives/edgar/data/1331875/000110465920105249/tm2030447d4_ex4-1.htm" TargetMode="External"/><Relationship Id="rId254" Type="http://schemas.openxmlformats.org/officeDocument/2006/relationships/hyperlink" Target="http://www.sec.gov/Archives/edgar/data/1331875/000133187517000046/ex102fourthamendedandresta.htm" TargetMode="External"/><Relationship Id="rId255" Type="http://schemas.openxmlformats.org/officeDocument/2006/relationships/hyperlink" Target="http://www.sec.gov/Archives/edgar/data/1331875/000119312516569331/d157551ddef14a.htm#toc157551_18" TargetMode="External"/><Relationship Id="rId256" Type="http://schemas.openxmlformats.org/officeDocument/2006/relationships/hyperlink" Target="http://www.sec.gov/Archives/edgar/data/1331875/000133187519000010/exhibit103amendedandrestat.htm" TargetMode="External"/><Relationship Id="rId257" Type="http://schemas.openxmlformats.org/officeDocument/2006/relationships/hyperlink" Target="http://www.sec.gov/Archives/edgar/data/1331875/000119312516569331/d157551ddef14a.htm#toc157551_19" TargetMode="External"/><Relationship Id="rId258" Type="http://schemas.openxmlformats.org/officeDocument/2006/relationships/hyperlink" Target="http://www.sec.gov/Archives/edgar/data/1331875/000095014409001785/g17782exv10w18.htm" TargetMode="External"/><Relationship Id="rId259" Type="http://schemas.openxmlformats.org/officeDocument/2006/relationships/hyperlink" Target="http://www.sec.gov/Archives/edgar/data/1331875/000133187516000111/exhibit10122015.htm" TargetMode="External"/><Relationship Id="rId260" Type="http://schemas.openxmlformats.org/officeDocument/2006/relationships/hyperlink" Target="http://www.sec.gov/Archives/edgar/data/1331875/000095014409001785/g17782exv10w11.htm" TargetMode="External"/><Relationship Id="rId261" Type="http://schemas.openxmlformats.org/officeDocument/2006/relationships/hyperlink" Target="http://www.sec.gov/Archives/edgar/data/1331875/000095012310019326/g21797exv10w13.htm" TargetMode="External"/><Relationship Id="rId262" Type="http://schemas.openxmlformats.org/officeDocument/2006/relationships/hyperlink" Target="http://www.sec.gov/Archives/edgar/data/1331875/000133187516000111/exhibit10272015.htm" TargetMode="External"/><Relationship Id="rId263" Type="http://schemas.openxmlformats.org/officeDocument/2006/relationships/hyperlink" Target="http://www.sec.gov/Archives/edgar/data/1331875/000095014409001785/g17782exv10w16.htm" TargetMode="External"/><Relationship Id="rId265" Type="http://schemas.openxmlformats.org/officeDocument/2006/relationships/hyperlink" Target="http://www.sec.gov/Archives/edgar/data/1331875/000095012310019326/g21797exv10w21.htm" TargetMode="External"/><Relationship Id="rId266" Type="http://schemas.openxmlformats.org/officeDocument/2006/relationships/hyperlink" Target="http://www.sec.gov/Archives/edgar/data/1331875/000133187513000012/exhibit1022.htm" TargetMode="External"/><Relationship Id="rId267" Type="http://schemas.openxmlformats.org/officeDocument/2006/relationships/hyperlink" Target="http://www.sec.gov/Archives/edgar/data/1331875/000133187515000019/exhibit1021q2015b.htm" TargetMode="External"/><Relationship Id="rId268" Type="http://schemas.openxmlformats.org/officeDocument/2006/relationships/hyperlink" Target="http://www.sec.gov/Archives/edgar/data/1331875/000133187513000012/exhibit1026.htm" TargetMode="External"/><Relationship Id="rId269" Type="http://schemas.openxmlformats.org/officeDocument/2006/relationships/hyperlink" Target="http://www.sec.gov/Archives/edgar/data/1331875/000119312514012055/d657527dex102.htm" TargetMode="External"/><Relationship Id="rId270" Type="http://schemas.openxmlformats.org/officeDocument/2006/relationships/hyperlink" Target="http://www.sec.gov/Archives/edgar/data/1331875/000119312514012055/d657527dex104.htm" TargetMode="External"/><Relationship Id="rId271" Type="http://schemas.openxmlformats.org/officeDocument/2006/relationships/hyperlink" Target="http://www.sec.gov/Archives/edgar/data/1331875/000119312514012055/d657527dex106.htm" TargetMode="External"/><Relationship Id="rId272" Type="http://schemas.openxmlformats.org/officeDocument/2006/relationships/hyperlink" Target="http://www.sec.gov/Archives/edgar/data/1331875/000133187516000144/exhibit101q22016foleyagree.htm" TargetMode="External"/><Relationship Id="rId273" Type="http://schemas.openxmlformats.org/officeDocument/2006/relationships/hyperlink" Target="http://www.sec.gov/Archives/edgar/data/1331875/000133187520000038/ex9915-28foleydirector.htm" TargetMode="External"/><Relationship Id="rId274" Type="http://schemas.openxmlformats.org/officeDocument/2006/relationships/hyperlink" Target="http://www.sec.gov/Archives/edgar/data/1331875/000133187516000144/exhibit102q22016quirkagree.htm" TargetMode="External"/><Relationship Id="rId275" Type="http://schemas.openxmlformats.org/officeDocument/2006/relationships/hyperlink" Target="http://www.sec.gov/Archives/edgar/data/1331875/000133187516000144/exhibit104q22016parkagreem.htm" TargetMode="External"/><Relationship Id="rId276" Type="http://schemas.openxmlformats.org/officeDocument/2006/relationships/hyperlink" Target="http://www.sec.gov/Archives/edgar/data/1331875/000133187516000144/exhibit105q22016gravelleag.htm" TargetMode="External"/><Relationship Id="rId277" Type="http://schemas.openxmlformats.org/officeDocument/2006/relationships/hyperlink" Target="http://www.sec.gov/Archives/edgar/data/1331875/000133187516000144/exhibit106q22016sadowskiag.htm" TargetMode="External"/><Relationship Id="rId278" Type="http://schemas.openxmlformats.org/officeDocument/2006/relationships/hyperlink" Target="http://www.sec.gov/Archives/edgar/data/1331875/000133187516000144/exhibit107q22016nolanagree.htm" TargetMode="External"/><Relationship Id="rId279" Type="http://schemas.openxmlformats.org/officeDocument/2006/relationships/hyperlink" Target="http://www.sec.gov/Archives/edgar/data/1331875/000133187516000144/exhibit108q22016nolanamend.htm" TargetMode="External"/><Relationship Id="rId280" Type="http://schemas.openxmlformats.org/officeDocument/2006/relationships/hyperlink" Target="http://www.sec.gov/Archives/edgar/data/1331875/000133187516000144/exhibit109q22016jewkesagre.htm" TargetMode="External"/><Relationship Id="rId281" Type="http://schemas.openxmlformats.org/officeDocument/2006/relationships/hyperlink" Target="http://www.sec.gov/Archives/edgar/data/1331875/000133187516000144/exhibit1010q22016jewkesame.htm" TargetMode="External"/><Relationship Id="rId282" Type="http://schemas.openxmlformats.org/officeDocument/2006/relationships/hyperlink" Target="http://www.sec.gov/Archives/edgar/data/1331875/000133187520000008/ex1033formofgrant2019.htm" TargetMode="External"/><Relationship Id="rId284" Type="http://schemas.openxmlformats.org/officeDocument/2006/relationships/hyperlink" Target="http://www.sec.gov/Archives/edgar/data/1331875/000133187519000010/exhibit1041formofrsgrant-1.htm" TargetMode="External"/><Relationship Id="rId285" Type="http://schemas.openxmlformats.org/officeDocument/2006/relationships/hyperlink" Target="http://www.sec.gov/Archives/edgar/data/1331875/000110465917069547/a17-27153_1ex10d1.htm" TargetMode="External"/><Relationship Id="rId286" Type="http://schemas.openxmlformats.org/officeDocument/2006/relationships/hyperlink" Target="http://www.sec.gov/Archives/edgar/data/1331875/000133187519000041/ex101terminationagreem.htm" TargetMode="External"/><Relationship Id="rId287" Type="http://schemas.openxmlformats.org/officeDocument/2006/relationships/hyperlink" Target="http://www.sec.gov/Archives/edgar/data/1331875/000133187519000053/exhibit102q32019gravel.htm" TargetMode="External"/><Relationship Id="rId288" Type="http://schemas.openxmlformats.org/officeDocument/2006/relationships/hyperlink" Target="http://www.sec.gov/Archives/edgar/data/1331875/000133187520000021/termloancreditagreemen.htm" TargetMode="External"/><Relationship Id="rId289" Type="http://schemas.openxmlformats.org/officeDocument/2006/relationships/hyperlink" Target="http://www.sec.gov/Archives/edgar/data/1331875/000110465920068435/tm2021453d1_ex99-1.htm" TargetMode="External"/><Relationship Id="rId290" Type="http://schemas.openxmlformats.org/officeDocument/2006/relationships/hyperlink" Target="http://www.sec.gov/Archives/edgar/data/1331875/000110465920121229/tm2034956d1_ex10-1.htm" TargetMode="External"/><Relationship Id="rId291" Type="http://schemas.openxmlformats.org/officeDocument/2006/relationships/hyperlink" Target="http://www.sec.gov/Archives/edgar/data/1331875/000119312520311192/d47435dex101.htm" TargetMode="External"/><Relationship Id="rId292" Type="http://schemas.openxmlformats.org/officeDocument/2006/relationships/hyperlink" Target="http://www.sec.gov/Archives/edgar/data/1331875/000119312521018114/d1027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2021-03-01T15:46:52Z</dcterms:created>
  <dcterms:modified xsi:type="dcterms:W3CDTF">2021-03-01T15:46:52Z</dcterms:modified>
</cp:coreProperties>
</file>