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191770</wp:posOffset>
            </wp:positionV>
            <wp:extent cx="72637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17145"/>
                    </a:xfrm>
                    <a:prstGeom prst="rect">
                      <a:avLst/>
                    </a:prstGeom>
                    <a:noFill/>
                  </pic:spPr>
                </pic:pic>
              </a:graphicData>
            </a:graphic>
          </wp:anchor>
        </w:drawing>
        <w:t>UNITED STATES SECU 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-120015</wp:posOffset>
            </wp:positionV>
            <wp:extent cx="72637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89" w:lineRule="exact"/>
        <w:rPr>
          <w:sz w:val="24"/>
          <w:szCs w:val="24"/>
          <w:color w:val="auto"/>
        </w:rPr>
      </w:pPr>
    </w:p>
    <w:p>
      <w:pPr>
        <w:ind w:left="320"/>
        <w:spacing w:after="0"/>
        <w:rPr>
          <w:sz w:val="20"/>
          <w:szCs w:val="20"/>
          <w:color w:val="auto"/>
        </w:rPr>
      </w:pPr>
      <w:r>
        <w:rPr>
          <w:rFonts w:ascii="Arial" w:cs="Arial" w:eastAsia="Arial" w:hAnsi="Arial"/>
          <w:sz w:val="12"/>
          <w:szCs w:val="12"/>
          <w:b w:val="1"/>
          <w:bCs w:val="1"/>
          <w:color w:val="auto"/>
        </w:rPr>
        <w:t>(Mark One)</w:t>
      </w:r>
    </w:p>
    <w:p>
      <w:pPr>
        <w:spacing w:after="0" w:line="37" w:lineRule="exact"/>
        <w:rPr>
          <w:sz w:val="24"/>
          <w:szCs w:val="24"/>
          <w:color w:val="auto"/>
        </w:rPr>
      </w:pPr>
    </w:p>
    <w:p>
      <w:pPr>
        <w:ind w:left="1280" w:hanging="693"/>
        <w:spacing w:after="0"/>
        <w:tabs>
          <w:tab w:leader="none" w:pos="1280" w:val="left"/>
        </w:tabs>
        <w:numPr>
          <w:ilvl w:val="0"/>
          <w:numId w:val="1"/>
        </w:numPr>
        <w:rPr>
          <w:rFonts w:ascii="Arial" w:cs="Arial" w:eastAsia="Arial" w:hAnsi="Arial"/>
          <w:sz w:val="12"/>
          <w:szCs w:val="12"/>
          <w:color w:val="auto"/>
        </w:rPr>
      </w:pPr>
      <w:r>
        <w:rPr>
          <w:rFonts w:ascii="Arial" w:cs="Arial" w:eastAsia="Arial" w:hAnsi="Arial"/>
          <w:sz w:val="14"/>
          <w:szCs w:val="14"/>
          <w:b w:val="1"/>
          <w:bCs w:val="1"/>
          <w:color w:val="auto"/>
        </w:rPr>
        <w:t>ANNUAL REPORT PURSUANT TO SECTION 13 OR 15(d) OF THE SECURITIES EXCHANGE ACT OF 1934 (No Fee Required)</w:t>
      </w:r>
    </w:p>
    <w:p>
      <w:pPr>
        <w:spacing w:after="0" w:line="43" w:lineRule="exact"/>
        <w:rPr>
          <w:sz w:val="24"/>
          <w:szCs w:val="24"/>
          <w:color w:val="auto"/>
        </w:rPr>
      </w:pPr>
    </w:p>
    <w:p>
      <w:pPr>
        <w:ind w:left="1280"/>
        <w:spacing w:after="0"/>
        <w:rPr>
          <w:sz w:val="20"/>
          <w:szCs w:val="20"/>
          <w:color w:val="auto"/>
        </w:rPr>
      </w:pPr>
      <w:r>
        <w:rPr>
          <w:rFonts w:ascii="Arial" w:cs="Arial" w:eastAsia="Arial" w:hAnsi="Arial"/>
          <w:sz w:val="12"/>
          <w:szCs w:val="12"/>
          <w:b w:val="1"/>
          <w:bCs w:val="1"/>
          <w:color w:val="auto"/>
        </w:rPr>
        <w:t>For the Fiscal Year Ended December 31, 2010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109" w:lineRule="exact"/>
        <w:rPr>
          <w:sz w:val="24"/>
          <w:szCs w:val="24"/>
          <w:color w:val="auto"/>
        </w:rPr>
      </w:pPr>
    </w:p>
    <w:p>
      <w:pPr>
        <w:ind w:left="1280" w:hanging="683"/>
        <w:spacing w:after="0"/>
        <w:tabs>
          <w:tab w:leader="none" w:pos="1280" w:val="left"/>
        </w:tabs>
        <w:numPr>
          <w:ilvl w:val="0"/>
          <w:numId w:val="2"/>
        </w:numPr>
        <w:rPr>
          <w:rFonts w:ascii="Arial" w:cs="Arial" w:eastAsia="Arial" w:hAnsi="Arial"/>
          <w:sz w:val="12"/>
          <w:szCs w:val="12"/>
          <w:color w:val="auto"/>
        </w:rPr>
      </w:pPr>
      <w:r>
        <w:rPr>
          <w:rFonts w:ascii="Arial" w:cs="Arial" w:eastAsia="Arial" w:hAnsi="Arial"/>
          <w:sz w:val="14"/>
          <w:szCs w:val="14"/>
          <w:b w:val="1"/>
          <w:bCs w:val="1"/>
          <w:color w:val="auto"/>
        </w:rPr>
        <w:t>TRANSITION REPORT PURSUANT TO SECTION 13 OR 15(d) OF THE SECURITIES EXCHANGE ACT OF 1934 (No Fee Required)</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Commission File No. 1-32630</w:t>
      </w:r>
    </w:p>
    <w:p>
      <w:pPr>
        <w:spacing w:after="0" w:line="52" w:lineRule="exact"/>
        <w:rPr>
          <w:sz w:val="24"/>
          <w:szCs w:val="24"/>
          <w:color w:val="auto"/>
        </w:rPr>
      </w:pPr>
    </w:p>
    <w:p>
      <w:pPr>
        <w:ind w:left="4960"/>
        <w:spacing w:after="0"/>
        <w:rPr>
          <w:sz w:val="20"/>
          <w:szCs w:val="20"/>
          <w:color w:val="auto"/>
        </w:rPr>
      </w:pPr>
      <w:r>
        <w:rPr>
          <w:rFonts w:ascii="Arial" w:cs="Arial" w:eastAsia="Arial" w:hAnsi="Arial"/>
          <w:sz w:val="10"/>
          <w:szCs w:val="10"/>
          <w:color w:val="auto"/>
        </w:rPr>
        <w:t>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Fidelity National Financial, Inc.</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173" w:lineRule="exact"/>
        <w:rPr>
          <w:sz w:val="24"/>
          <w:szCs w:val="24"/>
          <w:color w:val="auto"/>
        </w:rPr>
      </w:pPr>
    </w:p>
    <w:tbl>
      <w:tblPr>
        <w:tblLayout w:type="fixed"/>
        <w:tblInd w:w="14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4000" w:type="dxa"/>
            <w:vAlign w:val="bottom"/>
            <w:gridSpan w:val="2"/>
          </w:tcPr>
          <w:p>
            <w:pPr>
              <w:jc w:val="center"/>
              <w:ind w:right="3120"/>
              <w:spacing w:after="0"/>
              <w:rPr>
                <w:sz w:val="20"/>
                <w:szCs w:val="20"/>
                <w:color w:val="auto"/>
              </w:rPr>
            </w:pPr>
            <w:r>
              <w:rPr>
                <w:rFonts w:ascii="Arial" w:cs="Arial" w:eastAsia="Arial" w:hAnsi="Arial"/>
                <w:sz w:val="12"/>
                <w:szCs w:val="12"/>
                <w:b w:val="1"/>
                <w:bCs w:val="1"/>
                <w:color w:val="auto"/>
                <w:w w:val="94"/>
              </w:rPr>
              <w:t>Delaware</w:t>
            </w:r>
          </w:p>
        </w:tc>
        <w:tc>
          <w:tcPr>
            <w:tcW w:w="3080" w:type="dxa"/>
            <w:vAlign w:val="bottom"/>
            <w:gridSpan w:val="2"/>
          </w:tcPr>
          <w:p>
            <w:pPr>
              <w:jc w:val="right"/>
              <w:ind w:right="748"/>
              <w:spacing w:after="0"/>
              <w:rPr>
                <w:sz w:val="20"/>
                <w:szCs w:val="20"/>
                <w:color w:val="auto"/>
              </w:rPr>
            </w:pPr>
            <w:r>
              <w:rPr>
                <w:rFonts w:ascii="Arial" w:cs="Arial" w:eastAsia="Arial" w:hAnsi="Arial"/>
                <w:sz w:val="12"/>
                <w:szCs w:val="12"/>
                <w:b w:val="1"/>
                <w:bCs w:val="1"/>
                <w:color w:val="auto"/>
              </w:rPr>
              <w:t>16-1725106</w:t>
            </w:r>
          </w:p>
        </w:tc>
      </w:tr>
      <w:tr>
        <w:trPr>
          <w:trHeight w:val="145"/>
        </w:trPr>
        <w:tc>
          <w:tcPr>
            <w:tcW w:w="6100" w:type="dxa"/>
            <w:vAlign w:val="bottom"/>
            <w:gridSpan w:val="3"/>
          </w:tcPr>
          <w:p>
            <w:pPr>
              <w:jc w:val="center"/>
              <w:ind w:right="1020"/>
              <w:spacing w:after="0"/>
              <w:rPr>
                <w:sz w:val="20"/>
                <w:szCs w:val="20"/>
                <w:color w:val="auto"/>
              </w:rPr>
            </w:pPr>
            <w:r>
              <w:rPr>
                <w:rFonts w:ascii="Arial" w:cs="Arial" w:eastAsia="Arial" w:hAnsi="Arial"/>
                <w:sz w:val="10"/>
                <w:szCs w:val="10"/>
                <w:i w:val="1"/>
                <w:iCs w:val="1"/>
                <w:color w:val="auto"/>
                <w:w w:val="90"/>
              </w:rPr>
              <w:t>(State or other jurisdiction of incorporation or organization)</w:t>
            </w:r>
          </w:p>
        </w:tc>
        <w:tc>
          <w:tcPr>
            <w:tcW w:w="960" w:type="dxa"/>
            <w:vAlign w:val="bottom"/>
          </w:tcPr>
          <w:p>
            <w:pPr>
              <w:spacing w:after="0"/>
              <w:rPr>
                <w:sz w:val="12"/>
                <w:szCs w:val="12"/>
                <w:color w:val="auto"/>
              </w:rPr>
            </w:pPr>
          </w:p>
        </w:tc>
        <w:tc>
          <w:tcPr>
            <w:tcW w:w="2120" w:type="dxa"/>
            <w:vAlign w:val="bottom"/>
          </w:tcPr>
          <w:p>
            <w:pPr>
              <w:ind w:left="360"/>
              <w:spacing w:after="0"/>
              <w:rPr>
                <w:sz w:val="20"/>
                <w:szCs w:val="20"/>
                <w:color w:val="auto"/>
              </w:rPr>
            </w:pPr>
            <w:r>
              <w:rPr>
                <w:rFonts w:ascii="Arial" w:cs="Arial" w:eastAsia="Arial" w:hAnsi="Arial"/>
                <w:sz w:val="10"/>
                <w:szCs w:val="10"/>
                <w:i w:val="1"/>
                <w:iCs w:val="1"/>
                <w:color w:val="auto"/>
              </w:rPr>
              <w:t>(I.R.S. Employer Identification No.)</w:t>
            </w:r>
          </w:p>
        </w:tc>
      </w:tr>
      <w:tr>
        <w:trPr>
          <w:trHeight w:val="382"/>
        </w:trPr>
        <w:tc>
          <w:tcPr>
            <w:tcW w:w="610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88"/>
              </w:rPr>
              <w:t>601 Riverside Avenue</w:t>
            </w:r>
          </w:p>
        </w:tc>
        <w:tc>
          <w:tcPr>
            <w:tcW w:w="3080" w:type="dxa"/>
            <w:vAlign w:val="bottom"/>
            <w:gridSpan w:val="2"/>
          </w:tcPr>
          <w:p>
            <w:pPr>
              <w:jc w:val="right"/>
              <w:ind w:right="648"/>
              <w:spacing w:after="0"/>
              <w:rPr>
                <w:sz w:val="20"/>
                <w:szCs w:val="20"/>
                <w:color w:val="auto"/>
              </w:rPr>
            </w:pPr>
            <w:r>
              <w:rPr>
                <w:rFonts w:ascii="Arial" w:cs="Arial" w:eastAsia="Arial" w:hAnsi="Arial"/>
                <w:sz w:val="12"/>
                <w:szCs w:val="12"/>
                <w:b w:val="1"/>
                <w:bCs w:val="1"/>
                <w:color w:val="auto"/>
              </w:rPr>
              <w:t>(904) 854-8100</w:t>
            </w:r>
          </w:p>
        </w:tc>
      </w:tr>
      <w:tr>
        <w:trPr>
          <w:trHeight w:val="157"/>
        </w:trPr>
        <w:tc>
          <w:tcPr>
            <w:tcW w:w="6100" w:type="dxa"/>
            <w:vAlign w:val="bottom"/>
            <w:gridSpan w:val="3"/>
          </w:tcPr>
          <w:p>
            <w:pPr>
              <w:jc w:val="center"/>
              <w:ind w:right="1020"/>
              <w:spacing w:after="0"/>
              <w:rPr>
                <w:sz w:val="20"/>
                <w:szCs w:val="20"/>
                <w:color w:val="auto"/>
              </w:rPr>
            </w:pPr>
            <w:r>
              <w:rPr>
                <w:rFonts w:ascii="Arial" w:cs="Arial" w:eastAsia="Arial" w:hAnsi="Arial"/>
                <w:sz w:val="12"/>
                <w:szCs w:val="12"/>
                <w:b w:val="1"/>
                <w:bCs w:val="1"/>
                <w:color w:val="auto"/>
                <w:w w:val="89"/>
              </w:rPr>
              <w:t>Jacksonville, Florida 32204</w:t>
            </w:r>
          </w:p>
        </w:tc>
        <w:tc>
          <w:tcPr>
            <w:tcW w:w="96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0"/>
                <w:szCs w:val="10"/>
                <w:i w:val="1"/>
                <w:iCs w:val="1"/>
                <w:color w:val="auto"/>
                <w:w w:val="85"/>
              </w:rPr>
              <w:t>(Registrant’s telephone number,</w:t>
            </w:r>
          </w:p>
        </w:tc>
      </w:tr>
      <w:tr>
        <w:trPr>
          <w:trHeight w:val="136"/>
        </w:trPr>
        <w:tc>
          <w:tcPr>
            <w:tcW w:w="6100" w:type="dxa"/>
            <w:vAlign w:val="bottom"/>
            <w:gridSpan w:val="3"/>
          </w:tcPr>
          <w:p>
            <w:pPr>
              <w:jc w:val="center"/>
              <w:ind w:right="1000"/>
              <w:spacing w:after="0"/>
              <w:rPr>
                <w:sz w:val="20"/>
                <w:szCs w:val="20"/>
                <w:color w:val="auto"/>
              </w:rPr>
            </w:pPr>
            <w:r>
              <w:rPr>
                <w:rFonts w:ascii="Arial" w:cs="Arial" w:eastAsia="Arial" w:hAnsi="Arial"/>
                <w:sz w:val="10"/>
                <w:szCs w:val="10"/>
                <w:i w:val="1"/>
                <w:iCs w:val="1"/>
                <w:color w:val="auto"/>
                <w:w w:val="87"/>
              </w:rPr>
              <w:t>(Address of principal executive offices, including zip code)</w:t>
            </w:r>
          </w:p>
        </w:tc>
        <w:tc>
          <w:tcPr>
            <w:tcW w:w="960" w:type="dxa"/>
            <w:vAlign w:val="bottom"/>
          </w:tcPr>
          <w:p>
            <w:pPr>
              <w:spacing w:after="0"/>
              <w:rPr>
                <w:sz w:val="11"/>
                <w:szCs w:val="11"/>
                <w:color w:val="auto"/>
              </w:rPr>
            </w:pPr>
          </w:p>
        </w:tc>
        <w:tc>
          <w:tcPr>
            <w:tcW w:w="2120" w:type="dxa"/>
            <w:vAlign w:val="bottom"/>
          </w:tcPr>
          <w:p>
            <w:pPr>
              <w:ind w:left="620"/>
              <w:spacing w:after="0"/>
              <w:rPr>
                <w:sz w:val="20"/>
                <w:szCs w:val="20"/>
                <w:color w:val="auto"/>
              </w:rPr>
            </w:pPr>
            <w:r>
              <w:rPr>
                <w:rFonts w:ascii="Arial" w:cs="Arial" w:eastAsia="Arial" w:hAnsi="Arial"/>
                <w:sz w:val="10"/>
                <w:szCs w:val="10"/>
                <w:i w:val="1"/>
                <w:iCs w:val="1"/>
                <w:color w:val="auto"/>
              </w:rPr>
              <w:t>including area code)</w:t>
            </w:r>
          </w:p>
        </w:tc>
      </w:tr>
      <w:tr>
        <w:trPr>
          <w:trHeight w:val="170"/>
        </w:trPr>
        <w:tc>
          <w:tcPr>
            <w:tcW w:w="2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20" w:type="dxa"/>
            <w:vAlign w:val="bottom"/>
            <w:gridSpan w:val="3"/>
          </w:tcPr>
          <w:p>
            <w:pPr>
              <w:jc w:val="center"/>
              <w:ind w:right="908"/>
              <w:spacing w:after="0"/>
              <w:rPr>
                <w:sz w:val="20"/>
                <w:szCs w:val="20"/>
                <w:color w:val="auto"/>
              </w:rPr>
            </w:pPr>
            <w:r>
              <w:rPr>
                <w:rFonts w:ascii="Arial" w:cs="Arial" w:eastAsia="Arial" w:hAnsi="Arial"/>
                <w:sz w:val="12"/>
                <w:szCs w:val="12"/>
                <w:b w:val="1"/>
                <w:bCs w:val="1"/>
                <w:color w:val="auto"/>
                <w:w w:val="89"/>
              </w:rPr>
              <w:t>Securities registered pursuant to Section 12(b) of the Act:</w:t>
            </w:r>
          </w:p>
        </w:tc>
      </w:tr>
      <w:tr>
        <w:trPr>
          <w:trHeight w:val="216"/>
        </w:trPr>
        <w:tc>
          <w:tcPr>
            <w:tcW w:w="21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Title of Each Class</w:t>
            </w:r>
          </w:p>
        </w:tc>
        <w:tc>
          <w:tcPr>
            <w:tcW w:w="3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Name of Each Exchange on Which Registered</w:t>
            </w:r>
          </w:p>
        </w:tc>
      </w:tr>
      <w:tr>
        <w:trPr>
          <w:trHeight w:val="187"/>
        </w:trPr>
        <w:tc>
          <w:tcPr>
            <w:tcW w:w="6100" w:type="dxa"/>
            <w:vAlign w:val="bottom"/>
            <w:gridSpan w:val="3"/>
          </w:tcPr>
          <w:p>
            <w:pPr>
              <w:jc w:val="center"/>
              <w:ind w:right="1000"/>
              <w:spacing w:after="0"/>
              <w:rPr>
                <w:sz w:val="20"/>
                <w:szCs w:val="20"/>
                <w:color w:val="auto"/>
              </w:rPr>
            </w:pPr>
            <w:r>
              <w:rPr>
                <w:rFonts w:ascii="Arial" w:cs="Arial" w:eastAsia="Arial" w:hAnsi="Arial"/>
                <w:sz w:val="12"/>
                <w:szCs w:val="12"/>
                <w:color w:val="auto"/>
                <w:w w:val="90"/>
              </w:rPr>
              <w:t>Common Stock, $0.0001 par value</w:t>
            </w:r>
          </w:p>
        </w:tc>
        <w:tc>
          <w:tcPr>
            <w:tcW w:w="96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2"/>
                <w:szCs w:val="12"/>
                <w:color w:val="auto"/>
                <w:w w:val="91"/>
              </w:rPr>
              <w:t>New York Stock Exchange</w:t>
            </w:r>
          </w:p>
        </w:tc>
      </w:tr>
      <w:tr>
        <w:trPr>
          <w:trHeight w:val="162"/>
        </w:trPr>
        <w:tc>
          <w:tcPr>
            <w:tcW w:w="2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20" w:type="dxa"/>
            <w:vAlign w:val="bottom"/>
            <w:gridSpan w:val="3"/>
          </w:tcPr>
          <w:p>
            <w:pPr>
              <w:jc w:val="center"/>
              <w:ind w:right="908"/>
              <w:spacing w:after="0"/>
              <w:rPr>
                <w:sz w:val="20"/>
                <w:szCs w:val="20"/>
                <w:color w:val="auto"/>
              </w:rPr>
            </w:pPr>
            <w:r>
              <w:rPr>
                <w:rFonts w:ascii="Arial" w:cs="Arial" w:eastAsia="Arial" w:hAnsi="Arial"/>
                <w:sz w:val="12"/>
                <w:szCs w:val="12"/>
                <w:b w:val="1"/>
                <w:bCs w:val="1"/>
                <w:color w:val="auto"/>
                <w:w w:val="88"/>
              </w:rPr>
              <w:t>Securities registered pursuant to Section 12(g) of the Act: None</w:t>
            </w:r>
          </w:p>
        </w:tc>
      </w:tr>
      <w:tr>
        <w:trPr>
          <w:trHeight w:val="225"/>
        </w:trPr>
        <w:tc>
          <w:tcPr>
            <w:tcW w:w="6100" w:type="dxa"/>
            <w:vAlign w:val="bottom"/>
            <w:gridSpan w:val="3"/>
          </w:tcPr>
          <w:p>
            <w:pPr>
              <w:spacing w:after="0"/>
              <w:rPr>
                <w:sz w:val="20"/>
                <w:szCs w:val="20"/>
                <w:color w:val="auto"/>
              </w:rPr>
            </w:pPr>
            <w:r>
              <w:rPr>
                <w:rFonts w:ascii="Arial" w:cs="Arial" w:eastAsia="Arial" w:hAnsi="Arial"/>
                <w:sz w:val="12"/>
                <w:szCs w:val="12"/>
                <w:color w:val="auto"/>
                <w:w w:val="92"/>
              </w:rPr>
              <w:t>Indicate by check mark if the registrant is a well-known seasoned issuer, as defined in Rule 405 of the Securities Act. Yes R</w:t>
            </w:r>
          </w:p>
        </w:tc>
        <w:tc>
          <w:tcPr>
            <w:tcW w:w="3080" w:type="dxa"/>
            <w:vAlign w:val="bottom"/>
            <w:gridSpan w:val="2"/>
          </w:tcPr>
          <w:p>
            <w:pPr>
              <w:ind w:left="20"/>
              <w:spacing w:after="0"/>
              <w:rPr>
                <w:sz w:val="20"/>
                <w:szCs w:val="20"/>
                <w:color w:val="auto"/>
              </w:rPr>
            </w:pPr>
            <w:r>
              <w:rPr>
                <w:rFonts w:ascii="Arial" w:cs="Arial" w:eastAsia="Arial" w:hAnsi="Arial"/>
                <w:sz w:val="12"/>
                <w:szCs w:val="12"/>
                <w:color w:val="auto"/>
              </w:rPr>
              <w:t>No o</w:t>
            </w:r>
          </w:p>
        </w:tc>
      </w:tr>
      <w:tr>
        <w:trPr>
          <w:trHeight w:val="225"/>
        </w:trPr>
        <w:tc>
          <w:tcPr>
            <w:tcW w:w="6100" w:type="dxa"/>
            <w:vAlign w:val="bottom"/>
            <w:gridSpan w:val="3"/>
          </w:tcPr>
          <w:p>
            <w:pPr>
              <w:spacing w:after="0"/>
              <w:rPr>
                <w:sz w:val="20"/>
                <w:szCs w:val="20"/>
                <w:color w:val="auto"/>
              </w:rPr>
            </w:pPr>
            <w:r>
              <w:rPr>
                <w:rFonts w:ascii="Arial" w:cs="Arial" w:eastAsia="Arial" w:hAnsi="Arial"/>
                <w:sz w:val="12"/>
                <w:szCs w:val="12"/>
                <w:color w:val="auto"/>
                <w:w w:val="91"/>
              </w:rPr>
              <w:t>Indicate by check mark if the registrant is not required to file reports pursuant to Section 13 or Section 15(d) of the Act. Yes o</w:t>
            </w:r>
          </w:p>
        </w:tc>
        <w:tc>
          <w:tcPr>
            <w:tcW w:w="3080" w:type="dxa"/>
            <w:vAlign w:val="bottom"/>
            <w:gridSpan w:val="2"/>
          </w:tcPr>
          <w:p>
            <w:pPr>
              <w:ind w:left="120"/>
              <w:spacing w:after="0"/>
              <w:rPr>
                <w:sz w:val="20"/>
                <w:szCs w:val="20"/>
                <w:color w:val="auto"/>
              </w:rPr>
            </w:pPr>
            <w:r>
              <w:rPr>
                <w:rFonts w:ascii="Arial" w:cs="Arial" w:eastAsia="Arial" w:hAnsi="Arial"/>
                <w:sz w:val="12"/>
                <w:szCs w:val="12"/>
                <w:color w:val="auto"/>
              </w:rPr>
              <w:t>No R</w:t>
            </w:r>
          </w:p>
        </w:tc>
      </w:tr>
    </w:tbl>
    <w:p>
      <w:pPr>
        <w:spacing w:after="0" w:line="72" w:lineRule="exact"/>
        <w:rPr>
          <w:sz w:val="24"/>
          <w:szCs w:val="24"/>
          <w:color w:val="auto"/>
        </w:rPr>
      </w:pPr>
    </w:p>
    <w:p>
      <w:pPr>
        <w:ind w:firstLine="144"/>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52" w:lineRule="exact"/>
        <w:rPr>
          <w:sz w:val="24"/>
          <w:szCs w:val="24"/>
          <w:color w:val="auto"/>
        </w:rPr>
      </w:pPr>
    </w:p>
    <w:p>
      <w:pPr>
        <w:ind w:right="20" w:firstLine="144"/>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214" w:lineRule="exact"/>
        <w:rPr>
          <w:sz w:val="24"/>
          <w:szCs w:val="24"/>
          <w:color w:val="auto"/>
        </w:rPr>
      </w:pPr>
    </w:p>
    <w:p>
      <w:pPr>
        <w:ind w:firstLine="144"/>
        <w:spacing w:after="0" w:line="276" w:lineRule="auto"/>
        <w:rPr>
          <w:sz w:val="20"/>
          <w:szCs w:val="20"/>
          <w:color w:val="auto"/>
        </w:rPr>
      </w:pPr>
      <w:r>
        <w:rPr>
          <w:rFonts w:ascii="Arial" w:cs="Arial" w:eastAsia="Arial" w:hAnsi="Arial"/>
          <w:sz w:val="12"/>
          <w:szCs w:val="12"/>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52" w:lineRule="exact"/>
        <w:rPr>
          <w:sz w:val="24"/>
          <w:szCs w:val="24"/>
          <w:color w:val="auto"/>
        </w:rPr>
      </w:pPr>
    </w:p>
    <w:p>
      <w:pPr>
        <w:ind w:firstLine="144"/>
        <w:spacing w:after="0" w:line="276" w:lineRule="auto"/>
        <w:rPr>
          <w:sz w:val="20"/>
          <w:szCs w:val="20"/>
          <w:color w:val="auto"/>
        </w:rPr>
      </w:pPr>
      <w:r>
        <w:rPr>
          <w:rFonts w:ascii="Arial" w:cs="Arial" w:eastAsia="Arial" w:hAnsi="Arial"/>
          <w:sz w:val="12"/>
          <w:szCs w:val="12"/>
          <w:color w:val="auto"/>
        </w:rPr>
        <w:t>Indicate by ch 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3" w:lineRule="exact"/>
        <w:rPr>
          <w:sz w:val="24"/>
          <w:szCs w:val="24"/>
          <w:color w:val="auto"/>
        </w:rPr>
      </w:pPr>
    </w:p>
    <w:p>
      <w:pPr>
        <w:ind w:left="560"/>
        <w:spacing w:after="0"/>
        <w:tabs>
          <w:tab w:leader="none" w:pos="3100" w:val="left"/>
          <w:tab w:leader="none" w:pos="5780" w:val="left"/>
          <w:tab w:leader="none" w:pos="8840" w:val="left"/>
        </w:tabs>
        <w:rPr>
          <w:sz w:val="20"/>
          <w:szCs w:val="20"/>
          <w:color w:val="auto"/>
        </w:rPr>
      </w:pPr>
      <w:r>
        <w:rPr>
          <w:rFonts w:ascii="Arial" w:cs="Arial" w:eastAsia="Arial" w:hAnsi="Arial"/>
          <w:sz w:val="12"/>
          <w:szCs w:val="12"/>
          <w:color w:val="auto"/>
        </w:rPr>
        <w:t>L arge accelerated filer R</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11"/>
          <w:szCs w:val="11"/>
          <w:color w:val="auto"/>
        </w:rPr>
        <w:t>Smaller reporting company o</w:t>
      </w:r>
    </w:p>
    <w:p>
      <w:pPr>
        <w:spacing w:after="0" w:line="9" w:lineRule="exact"/>
        <w:rPr>
          <w:sz w:val="24"/>
          <w:szCs w:val="24"/>
          <w:color w:val="auto"/>
        </w:rPr>
      </w:pPr>
    </w:p>
    <w:p>
      <w:pPr>
        <w:ind w:left="5440"/>
        <w:spacing w:after="0"/>
        <w:rPr>
          <w:sz w:val="20"/>
          <w:szCs w:val="20"/>
          <w:color w:val="auto"/>
        </w:rPr>
      </w:pPr>
      <w:r>
        <w:rPr>
          <w:rFonts w:ascii="Arial" w:cs="Arial" w:eastAsia="Arial" w:hAnsi="Arial"/>
          <w:sz w:val="10"/>
          <w:szCs w:val="10"/>
          <w:color w:val="auto"/>
        </w:rPr>
        <w:t>(Do not check if a smaller reporting company)</w:t>
      </w:r>
    </w:p>
    <w:p>
      <w:pPr>
        <w:ind w:left="140"/>
        <w:spacing w:after="0"/>
        <w:tabs>
          <w:tab w:leader="none" w:pos="604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w:t>
        <w:tab/>
        <w:t>No R</w:t>
      </w:r>
    </w:p>
    <w:p>
      <w:pPr>
        <w:spacing w:after="0" w:line="98" w:lineRule="exact"/>
        <w:rPr>
          <w:sz w:val="24"/>
          <w:szCs w:val="24"/>
          <w:color w:val="auto"/>
        </w:rPr>
      </w:pPr>
    </w:p>
    <w:p>
      <w:pPr>
        <w:ind w:left="140"/>
        <w:spacing w:after="0"/>
        <w:rPr>
          <w:sz w:val="20"/>
          <w:szCs w:val="20"/>
          <w:color w:val="auto"/>
        </w:rPr>
      </w:pPr>
      <w:r>
        <w:rPr>
          <w:rFonts w:ascii="Arial" w:cs="Arial" w:eastAsia="Arial" w:hAnsi="Arial"/>
          <w:sz w:val="11"/>
          <w:szCs w:val="11"/>
          <w:color w:val="auto"/>
        </w:rPr>
        <w:t>The aggregate market value of the shares of the common stock held by non-affiliates of the registrant as of June 30, 2010 was $2,814,002,098, based on the closing price of $12.99 as reported by the New York Stock Exchange.</w:t>
      </w:r>
    </w:p>
    <w:p>
      <w:pPr>
        <w:spacing w:after="0" w:line="99" w:lineRule="exact"/>
        <w:rPr>
          <w:sz w:val="24"/>
          <w:szCs w:val="24"/>
          <w:color w:val="auto"/>
        </w:rPr>
      </w:pPr>
    </w:p>
    <w:p>
      <w:pPr>
        <w:ind w:left="140"/>
        <w:spacing w:after="0"/>
        <w:rPr>
          <w:sz w:val="20"/>
          <w:szCs w:val="20"/>
          <w:color w:val="auto"/>
        </w:rPr>
      </w:pPr>
      <w:r>
        <w:rPr>
          <w:rFonts w:ascii="Arial" w:cs="Arial" w:eastAsia="Arial" w:hAnsi="Arial"/>
          <w:sz w:val="12"/>
          <w:szCs w:val="12"/>
          <w:color w:val="auto"/>
        </w:rPr>
        <w:t>As of January 31, 2011, there were 223,725,673 shares of Common Stock outstanding.</w:t>
      </w:r>
    </w:p>
    <w:p>
      <w:pPr>
        <w:spacing w:after="0" w:line="87" w:lineRule="exact"/>
        <w:rPr>
          <w:sz w:val="24"/>
          <w:szCs w:val="24"/>
          <w:color w:val="auto"/>
        </w:rPr>
      </w:pPr>
    </w:p>
    <w:p>
      <w:pPr>
        <w:ind w:right="20" w:firstLine="144"/>
        <w:spacing w:after="0" w:line="276" w:lineRule="auto"/>
        <w:rPr>
          <w:sz w:val="20"/>
          <w:szCs w:val="20"/>
          <w:color w:val="auto"/>
        </w:rPr>
      </w:pPr>
      <w:r>
        <w:rPr>
          <w:rFonts w:ascii="Arial" w:cs="Arial" w:eastAsia="Arial" w:hAnsi="Arial"/>
          <w:sz w:val="12"/>
          <w:szCs w:val="12"/>
          <w:color w:val="auto"/>
        </w:rPr>
        <w:t>The information in Part&amp; nbsp;III hereof is incorporated herein by reference to the registrant's Proxy Statement on Schedule 14A for the fiscal year ended December 31, 2010, to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292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67310</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404"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60" w:type="dxa"/>
            <w:vAlign w:val="bottom"/>
            <w:gridSpan w:val="13"/>
          </w:tcPr>
          <w:p>
            <w:pPr>
              <w:jc w:val="center"/>
              <w:ind w:right="3060"/>
              <w:spacing w:after="0"/>
              <w:rPr>
                <w:sz w:val="20"/>
                <w:szCs w:val="20"/>
                <w:color w:val="auto"/>
              </w:rPr>
            </w:pPr>
            <w:r>
              <w:rPr>
                <w:rFonts w:ascii="Arial" w:cs="Arial" w:eastAsia="Arial" w:hAnsi="Arial"/>
                <w:sz w:val="12"/>
                <w:szCs w:val="12"/>
                <w:b w:val="1"/>
                <w:bCs w:val="1"/>
                <w:color w:val="auto"/>
              </w:rPr>
              <w:t>FIDELITY NATIONAL FINANCIAL, INC.</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20" w:type="dxa"/>
            <w:vAlign w:val="bottom"/>
            <w:gridSpan w:val="12"/>
          </w:tcPr>
          <w:p>
            <w:pPr>
              <w:jc w:val="center"/>
              <w:ind w:right="3800"/>
              <w:spacing w:after="0"/>
              <w:rPr>
                <w:sz w:val="20"/>
                <w:szCs w:val="20"/>
                <w:color w:val="auto"/>
              </w:rPr>
            </w:pPr>
            <w:r>
              <w:rPr>
                <w:rFonts w:ascii="Arial" w:cs="Arial" w:eastAsia="Arial" w:hAnsi="Arial"/>
                <w:sz w:val="12"/>
                <w:szCs w:val="12"/>
                <w:b w:val="1"/>
                <w:bCs w:val="1"/>
                <w:color w:val="auto"/>
              </w:rPr>
              <w:t>FORM 10-K</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20" w:type="dxa"/>
            <w:vAlign w:val="bottom"/>
            <w:gridSpan w:val="12"/>
          </w:tcPr>
          <w:p>
            <w:pPr>
              <w:jc w:val="center"/>
              <w:ind w:right="3780"/>
              <w:spacing w:after="0"/>
              <w:rPr>
                <w:sz w:val="20"/>
                <w:szCs w:val="20"/>
                <w:color w:val="auto"/>
              </w:rPr>
            </w:pPr>
            <w:r>
              <w:rPr>
                <w:rFonts w:ascii="Arial" w:cs="Arial" w:eastAsia="Arial" w:hAnsi="Arial"/>
                <w:sz w:val="12"/>
                <w:szCs w:val="12"/>
                <w:b w:val="1"/>
                <w:bCs w:val="1"/>
                <w:color w:val="auto"/>
                <w:w w:val="98"/>
              </w:rPr>
              <w:t>TABLE OF CONTENTS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83"/>
              </w:rPr>
              <w:t>Page</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1"/>
              </w:rPr>
              <w:t>Number</w:t>
            </w: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gridSpan w:val="9"/>
            <w:vMerge w:val="restart"/>
          </w:tcPr>
          <w:p>
            <w:pPr>
              <w:jc w:val="center"/>
              <w:ind w:right="4420"/>
              <w:spacing w:after="0"/>
              <w:rPr>
                <w:rFonts w:ascii="Arial" w:cs="Arial" w:eastAsia="Arial" w:hAnsi="Arial"/>
                <w:sz w:val="12"/>
                <w:szCs w:val="12"/>
                <w:b w:val="1"/>
                <w:bCs w:val="1"/>
                <w:color w:val="0000FF"/>
                <w:w w:val="96"/>
              </w:rPr>
            </w:pPr>
            <w:hyperlink w:anchor="page2">
              <w:r>
                <w:rPr>
                  <w:rFonts w:ascii="Arial" w:cs="Arial" w:eastAsia="Arial" w:hAnsi="Arial"/>
                  <w:sz w:val="12"/>
                  <w:szCs w:val="12"/>
                  <w:b w:val="1"/>
                  <w:bCs w:val="1"/>
                  <w:color w:val="0000FF"/>
                  <w:w w:val="96"/>
                </w:rPr>
                <w:t>PART I</w:t>
              </w:r>
            </w:hyperlink>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gridSpan w:val="9"/>
            <w:vMerge w:val="continue"/>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rFonts w:ascii="Arial" w:cs="Arial" w:eastAsia="Arial" w:hAnsi="Arial"/>
                <w:sz w:val="12"/>
                <w:szCs w:val="12"/>
                <w:color w:val="0000FF"/>
                <w:w w:val="87"/>
              </w:rPr>
            </w:pPr>
            <w:hyperlink w:anchor="page3">
              <w:r>
                <w:rPr>
                  <w:rFonts w:ascii="Arial" w:cs="Arial" w:eastAsia="Arial" w:hAnsi="Arial"/>
                  <w:sz w:val="12"/>
                  <w:szCs w:val="12"/>
                  <w:color w:val="0000FF"/>
                  <w:w w:val="87"/>
                </w:rPr>
                <w:t>Item 1.</w:t>
              </w:r>
            </w:hyperlink>
          </w:p>
        </w:tc>
        <w:tc>
          <w:tcPr>
            <w:tcW w:w="5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4260" w:type="dxa"/>
            <w:vAlign w:val="bottom"/>
            <w:gridSpan w:val="17"/>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Business</w:t>
              </w:r>
            </w:hyperlink>
          </w:p>
        </w:tc>
        <w:tc>
          <w:tcPr>
            <w:tcW w:w="380" w:type="dxa"/>
            <w:vAlign w:val="bottom"/>
            <w:tcBorders>
              <w:top w:val="single" w:sz="8" w:color="0000FF"/>
            </w:tcBorders>
            <w:gridSpan w:val="3"/>
          </w:tcPr>
          <w:p>
            <w:pPr>
              <w:spacing w:after="0"/>
              <w:rPr>
                <w:sz w:val="13"/>
                <w:szCs w:val="13"/>
                <w:color w:val="auto"/>
              </w:rPr>
            </w:pPr>
          </w:p>
        </w:tc>
        <w:tc>
          <w:tcPr>
            <w:tcW w:w="4420" w:type="dxa"/>
            <w:vAlign w:val="bottom"/>
            <w:gridSpan w:val="6"/>
          </w:tcPr>
          <w:p>
            <w:pPr>
              <w:spacing w:after="0"/>
              <w:rPr>
                <w:sz w:val="13"/>
                <w:szCs w:val="13"/>
                <w:color w:val="auto"/>
              </w:rPr>
            </w:pPr>
          </w:p>
        </w:tc>
        <w:tc>
          <w:tcPr>
            <w:tcW w:w="620" w:type="dxa"/>
            <w:vAlign w:val="bottom"/>
            <w:gridSpan w:val="3"/>
          </w:tcPr>
          <w:p>
            <w:pPr>
              <w:jc w:val="center"/>
              <w:ind w:left="461"/>
              <w:spacing w:after="0"/>
              <w:rPr>
                <w:rFonts w:ascii="Arial" w:cs="Arial" w:eastAsia="Arial" w:hAnsi="Arial"/>
                <w:sz w:val="12"/>
                <w:szCs w:val="12"/>
                <w:u w:val="single" w:color="auto"/>
                <w:color w:val="0000FF"/>
                <w:w w:val="89"/>
              </w:rPr>
            </w:pPr>
            <w:hyperlink w:anchor="page3">
              <w:r>
                <w:rPr>
                  <w:rFonts w:ascii="Arial" w:cs="Arial" w:eastAsia="Arial" w:hAnsi="Arial"/>
                  <w:sz w:val="12"/>
                  <w:szCs w:val="12"/>
                  <w:u w:val="single" w:color="auto"/>
                  <w:color w:val="0000FF"/>
                  <w:w w:val="89"/>
                </w:rPr>
                <w:t>1</w:t>
              </w:r>
            </w:hyperlink>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rFonts w:ascii="Arial" w:cs="Arial" w:eastAsia="Arial" w:hAnsi="Arial"/>
                <w:sz w:val="12"/>
                <w:szCs w:val="12"/>
                <w:color w:val="0000FF"/>
                <w:w w:val="75"/>
              </w:rPr>
            </w:pPr>
            <w:hyperlink w:anchor="page16">
              <w:r>
                <w:rPr>
                  <w:rFonts w:ascii="Arial" w:cs="Arial" w:eastAsia="Arial" w:hAnsi="Arial"/>
                  <w:sz w:val="12"/>
                  <w:szCs w:val="12"/>
                  <w:color w:val="0000FF"/>
                  <w:w w:val="75"/>
                </w:rPr>
                <w:t>Item 1A.</w:t>
              </w:r>
            </w:hyperlink>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60" w:type="dxa"/>
            <w:vAlign w:val="bottom"/>
            <w:gridSpan w:val="26"/>
          </w:tcPr>
          <w:p>
            <w:pPr>
              <w:spacing w:after="0"/>
              <w:rPr>
                <w:rFonts w:ascii="Arial" w:cs="Arial" w:eastAsia="Arial" w:hAnsi="Arial"/>
                <w:sz w:val="12"/>
                <w:szCs w:val="12"/>
                <w:color w:val="0000FF"/>
              </w:rPr>
            </w:pPr>
            <w:hyperlink w:anchor="page16">
              <w:r>
                <w:rPr>
                  <w:rFonts w:ascii="Arial" w:cs="Arial" w:eastAsia="Arial" w:hAnsi="Arial"/>
                  <w:sz w:val="12"/>
                  <w:szCs w:val="12"/>
                  <w:color w:val="0000FF"/>
                </w:rPr>
                <w:t>Risk Factors</w:t>
              </w:r>
            </w:hyperlink>
          </w:p>
        </w:tc>
        <w:tc>
          <w:tcPr>
            <w:tcW w:w="1140" w:type="dxa"/>
            <w:vAlign w:val="bottom"/>
            <w:gridSpan w:val="4"/>
          </w:tcPr>
          <w:p>
            <w:pPr>
              <w:jc w:val="center"/>
              <w:ind w:right="20"/>
              <w:spacing w:after="0"/>
              <w:rPr>
                <w:rFonts w:ascii="Arial" w:cs="Arial" w:eastAsia="Arial" w:hAnsi="Arial"/>
                <w:sz w:val="12"/>
                <w:szCs w:val="12"/>
                <w:color w:val="0000FF"/>
                <w:w w:val="89"/>
              </w:rPr>
            </w:pPr>
            <w:hyperlink w:anchor="page16">
              <w:r>
                <w:rPr>
                  <w:rFonts w:ascii="Arial" w:cs="Arial" w:eastAsia="Arial" w:hAnsi="Arial"/>
                  <w:sz w:val="12"/>
                  <w:szCs w:val="12"/>
                  <w:color w:val="0000FF"/>
                  <w:w w:val="89"/>
                </w:rPr>
                <w:t>14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rFonts w:ascii="Arial" w:cs="Arial" w:eastAsia="Arial" w:hAnsi="Arial"/>
                <w:sz w:val="12"/>
                <w:szCs w:val="12"/>
                <w:color w:val="0000FF"/>
                <w:w w:val="75"/>
              </w:rPr>
            </w:pPr>
            <w:hyperlink w:anchor="page20">
              <w:r>
                <w:rPr>
                  <w:rFonts w:ascii="Arial" w:cs="Arial" w:eastAsia="Arial" w:hAnsi="Arial"/>
                  <w:sz w:val="12"/>
                  <w:szCs w:val="12"/>
                  <w:color w:val="0000FF"/>
                  <w:w w:val="75"/>
                </w:rPr>
                <w:t>Item 1B.</w:t>
              </w:r>
            </w:hyperlink>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60" w:type="dxa"/>
            <w:vAlign w:val="bottom"/>
            <w:gridSpan w:val="26"/>
          </w:tcPr>
          <w:p>
            <w:pPr>
              <w:spacing w:after="0"/>
              <w:rPr>
                <w:rFonts w:ascii="Arial" w:cs="Arial" w:eastAsia="Arial" w:hAnsi="Arial"/>
                <w:sz w:val="12"/>
                <w:szCs w:val="12"/>
                <w:color w:val="0000FF"/>
              </w:rPr>
            </w:pPr>
            <w:hyperlink w:anchor="page20">
              <w:r>
                <w:rPr>
                  <w:rFonts w:ascii="Arial" w:cs="Arial" w:eastAsia="Arial" w:hAnsi="Arial"/>
                  <w:sz w:val="12"/>
                  <w:szCs w:val="12"/>
                  <w:color w:val="0000FF"/>
                </w:rPr>
                <w:t>Unresolved Staff Comments</w:t>
              </w:r>
            </w:hyperlink>
          </w:p>
        </w:tc>
        <w:tc>
          <w:tcPr>
            <w:tcW w:w="1140" w:type="dxa"/>
            <w:vAlign w:val="bottom"/>
            <w:gridSpan w:val="4"/>
          </w:tcPr>
          <w:p>
            <w:pPr>
              <w:jc w:val="center"/>
              <w:ind w:right="20"/>
              <w:spacing w:after="0"/>
              <w:rPr>
                <w:rFonts w:ascii="Arial" w:cs="Arial" w:eastAsia="Arial" w:hAnsi="Arial"/>
                <w:sz w:val="12"/>
                <w:szCs w:val="12"/>
                <w:color w:val="0000FF"/>
                <w:w w:val="89"/>
              </w:rPr>
            </w:pPr>
            <w:hyperlink w:anchor="page20">
              <w:r>
                <w:rPr>
                  <w:rFonts w:ascii="Arial" w:cs="Arial" w:eastAsia="Arial" w:hAnsi="Arial"/>
                  <w:sz w:val="12"/>
                  <w:szCs w:val="12"/>
                  <w:color w:val="0000FF"/>
                  <w:w w:val="89"/>
                </w:rPr>
                <w:t>18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rFonts w:ascii="Arial" w:cs="Arial" w:eastAsia="Arial" w:hAnsi="Arial"/>
                <w:sz w:val="12"/>
                <w:szCs w:val="12"/>
                <w:color w:val="0000FF"/>
                <w:w w:val="87"/>
              </w:rPr>
            </w:pPr>
            <w:hyperlink w:anchor="page20">
              <w:r>
                <w:rPr>
                  <w:rFonts w:ascii="Arial" w:cs="Arial" w:eastAsia="Arial" w:hAnsi="Arial"/>
                  <w:sz w:val="12"/>
                  <w:szCs w:val="12"/>
                  <w:color w:val="0000FF"/>
                  <w:w w:val="87"/>
                </w:rPr>
                <w:t>Item 2.</w:t>
              </w:r>
            </w:hyperlink>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gridSpan w:val="9"/>
          </w:tcPr>
          <w:p>
            <w:pPr>
              <w:spacing w:after="0"/>
              <w:rPr>
                <w:rFonts w:ascii="Arial" w:cs="Arial" w:eastAsia="Arial" w:hAnsi="Arial"/>
                <w:sz w:val="12"/>
                <w:szCs w:val="12"/>
                <w:color w:val="0000FF"/>
              </w:rPr>
            </w:pPr>
            <w:hyperlink w:anchor="page20">
              <w:r>
                <w:rPr>
                  <w:rFonts w:ascii="Arial" w:cs="Arial" w:eastAsia="Arial" w:hAnsi="Arial"/>
                  <w:sz w:val="12"/>
                  <w:szCs w:val="12"/>
                  <w:color w:val="0000FF"/>
                </w:rPr>
                <w:t>Properties</w:t>
              </w:r>
            </w:hyperlink>
          </w:p>
        </w:tc>
        <w:tc>
          <w:tcPr>
            <w:tcW w:w="7700" w:type="dxa"/>
            <w:vAlign w:val="bottom"/>
            <w:gridSpan w:val="17"/>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20">
              <w:r>
                <w:rPr>
                  <w:rFonts w:ascii="Arial" w:cs="Arial" w:eastAsia="Arial" w:hAnsi="Arial"/>
                  <w:sz w:val="12"/>
                  <w:szCs w:val="12"/>
                  <w:color w:val="0000FF"/>
                  <w:w w:val="89"/>
                </w:rPr>
                <w:t>18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rFonts w:ascii="Arial" w:cs="Arial" w:eastAsia="Arial" w:hAnsi="Arial"/>
                <w:sz w:val="12"/>
                <w:szCs w:val="12"/>
                <w:color w:val="0000FF"/>
                <w:w w:val="87"/>
              </w:rPr>
            </w:pPr>
            <w:hyperlink w:anchor="page20">
              <w:r>
                <w:rPr>
                  <w:rFonts w:ascii="Arial" w:cs="Arial" w:eastAsia="Arial" w:hAnsi="Arial"/>
                  <w:sz w:val="12"/>
                  <w:szCs w:val="12"/>
                  <w:color w:val="0000FF"/>
                  <w:w w:val="87"/>
                </w:rPr>
                <w:t>Item 3.</w:t>
              </w:r>
            </w:hyperlink>
          </w:p>
        </w:tc>
        <w:tc>
          <w:tcPr>
            <w:tcW w:w="5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9060" w:type="dxa"/>
            <w:vAlign w:val="bottom"/>
            <w:gridSpan w:val="26"/>
          </w:tcPr>
          <w:p>
            <w:pPr>
              <w:spacing w:after="0"/>
              <w:rPr>
                <w:rFonts w:ascii="Arial" w:cs="Arial" w:eastAsia="Arial" w:hAnsi="Arial"/>
                <w:sz w:val="12"/>
                <w:szCs w:val="12"/>
                <w:color w:val="0000FF"/>
              </w:rPr>
            </w:pPr>
            <w:hyperlink w:anchor="page20">
              <w:r>
                <w:rPr>
                  <w:rFonts w:ascii="Arial" w:cs="Arial" w:eastAsia="Arial" w:hAnsi="Arial"/>
                  <w:sz w:val="12"/>
                  <w:szCs w:val="12"/>
                  <w:color w:val="0000FF"/>
                </w:rPr>
                <w:t>Legal Proceedings</w:t>
              </w:r>
            </w:hyperlink>
          </w:p>
        </w:tc>
        <w:tc>
          <w:tcPr>
            <w:tcW w:w="1140" w:type="dxa"/>
            <w:vAlign w:val="bottom"/>
            <w:gridSpan w:val="4"/>
          </w:tcPr>
          <w:p>
            <w:pPr>
              <w:jc w:val="center"/>
              <w:ind w:right="20"/>
              <w:spacing w:after="0"/>
              <w:rPr>
                <w:rFonts w:ascii="Arial" w:cs="Arial" w:eastAsia="Arial" w:hAnsi="Arial"/>
                <w:sz w:val="12"/>
                <w:szCs w:val="12"/>
                <w:color w:val="0000FF"/>
                <w:w w:val="89"/>
              </w:rPr>
            </w:pPr>
            <w:hyperlink w:anchor="page20">
              <w:r>
                <w:rPr>
                  <w:rFonts w:ascii="Arial" w:cs="Arial" w:eastAsia="Arial" w:hAnsi="Arial"/>
                  <w:sz w:val="12"/>
                  <w:szCs w:val="12"/>
                  <w:color w:val="0000FF"/>
                  <w:w w:val="89"/>
                </w:rPr>
                <w:t>18</w:t>
              </w:r>
            </w:hyperlink>
          </w:p>
        </w:tc>
        <w:tc>
          <w:tcPr>
            <w:tcW w:w="0" w:type="dxa"/>
            <w:vAlign w:val="bottom"/>
          </w:tcPr>
          <w:p>
            <w:pPr>
              <w:spacing w:after="0"/>
              <w:rPr>
                <w:sz w:val="1"/>
                <w:szCs w:val="1"/>
                <w:color w:val="auto"/>
              </w:rPr>
            </w:pPr>
          </w:p>
        </w:tc>
      </w:tr>
      <w:tr>
        <w:trPr>
          <w:trHeight w:val="340"/>
        </w:trPr>
        <w:tc>
          <w:tcPr>
            <w:tcW w:w="3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0000FF"/>
            </w:tcBorders>
            <w:gridSpan w:val="5"/>
          </w:tcPr>
          <w:p>
            <w:pPr>
              <w:jc w:val="center"/>
              <w:spacing w:after="0"/>
              <w:rPr>
                <w:rFonts w:ascii="Arial" w:cs="Arial" w:eastAsia="Arial" w:hAnsi="Arial"/>
                <w:sz w:val="12"/>
                <w:szCs w:val="12"/>
                <w:b w:val="1"/>
                <w:bCs w:val="1"/>
                <w:color w:val="0000FF"/>
              </w:rPr>
            </w:pPr>
            <w:hyperlink w:anchor="page21">
              <w:r>
                <w:rPr>
                  <w:rFonts w:ascii="Arial" w:cs="Arial" w:eastAsia="Arial" w:hAnsi="Arial"/>
                  <w:sz w:val="12"/>
                  <w:szCs w:val="12"/>
                  <w:b w:val="1"/>
                  <w:bCs w:val="1"/>
                  <w:color w:val="0000FF"/>
                </w:rPr>
                <w:t>PART II</w:t>
              </w:r>
            </w:hyperlink>
          </w:p>
        </w:tc>
        <w:tc>
          <w:tcPr>
            <w:tcW w:w="438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rFonts w:ascii="Arial" w:cs="Arial" w:eastAsia="Arial" w:hAnsi="Arial"/>
                <w:sz w:val="12"/>
                <w:szCs w:val="12"/>
                <w:color w:val="0000FF"/>
                <w:w w:val="87"/>
              </w:rPr>
            </w:pPr>
            <w:hyperlink w:anchor="page21">
              <w:r>
                <w:rPr>
                  <w:rFonts w:ascii="Arial" w:cs="Arial" w:eastAsia="Arial" w:hAnsi="Arial"/>
                  <w:sz w:val="12"/>
                  <w:szCs w:val="12"/>
                  <w:color w:val="0000FF"/>
                  <w:w w:val="87"/>
                </w:rPr>
                <w:t>Item 5.</w:t>
              </w:r>
            </w:hyperlink>
          </w:p>
        </w:tc>
        <w:tc>
          <w:tcPr>
            <w:tcW w:w="5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9060" w:type="dxa"/>
            <w:vAlign w:val="bottom"/>
            <w:gridSpan w:val="26"/>
          </w:tcPr>
          <w:p>
            <w:pPr>
              <w:spacing w:after="0"/>
              <w:rPr>
                <w:rFonts w:ascii="Arial" w:cs="Arial" w:eastAsia="Arial" w:hAnsi="Arial"/>
                <w:sz w:val="12"/>
                <w:szCs w:val="12"/>
                <w:color w:val="0000FF"/>
              </w:rPr>
            </w:pPr>
            <w:hyperlink w:anchor="page21">
              <w:r>
                <w:rPr>
                  <w:rFonts w:ascii="Arial" w:cs="Arial" w:eastAsia="Arial" w:hAnsi="Arial"/>
                  <w:sz w:val="12"/>
                  <w:szCs w:val="12"/>
                  <w:color w:val="0000FF"/>
                </w:rPr>
                <w:t>Market for Registrant’s Common Equity, Related Stockholder Matters and Issuer Purchases of Equity Securities</w:t>
              </w:r>
            </w:hyperlink>
          </w:p>
        </w:tc>
        <w:tc>
          <w:tcPr>
            <w:tcW w:w="620" w:type="dxa"/>
            <w:vAlign w:val="bottom"/>
            <w:gridSpan w:val="3"/>
          </w:tcPr>
          <w:p>
            <w:pPr>
              <w:jc w:val="center"/>
              <w:ind w:left="441"/>
              <w:spacing w:after="0"/>
              <w:rPr>
                <w:rFonts w:ascii="Arial" w:cs="Arial" w:eastAsia="Arial" w:hAnsi="Arial"/>
                <w:sz w:val="12"/>
                <w:szCs w:val="12"/>
                <w:color w:val="0000FF"/>
                <w:w w:val="89"/>
              </w:rPr>
            </w:pPr>
            <w:hyperlink w:anchor="page21">
              <w:r>
                <w:rPr>
                  <w:rFonts w:ascii="Arial" w:cs="Arial" w:eastAsia="Arial" w:hAnsi="Arial"/>
                  <w:sz w:val="12"/>
                  <w:szCs w:val="12"/>
                  <w:color w:val="0000FF"/>
                  <w:w w:val="89"/>
                </w:rPr>
                <w:t>19</w:t>
              </w:r>
            </w:hyperlink>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sz w:val="20"/>
                <w:szCs w:val="20"/>
                <w:color w:val="auto"/>
              </w:rPr>
            </w:pPr>
            <w:r>
              <w:rPr>
                <w:rFonts w:ascii="Arial" w:cs="Arial" w:eastAsia="Arial" w:hAnsi="Arial"/>
                <w:sz w:val="12"/>
                <w:szCs w:val="12"/>
                <w:color w:val="0000FF"/>
                <w:w w:val="87"/>
              </w:rPr>
              <w:t>Item 6.</w:t>
            </w:r>
          </w:p>
        </w:tc>
        <w:tc>
          <w:tcPr>
            <w:tcW w:w="5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6"/>
          </w:tcPr>
          <w:p>
            <w:pPr>
              <w:spacing w:after="0"/>
              <w:rPr>
                <w:sz w:val="20"/>
                <w:szCs w:val="20"/>
                <w:color w:val="auto"/>
              </w:rPr>
            </w:pPr>
            <w:r>
              <w:rPr>
                <w:rFonts w:ascii="Arial" w:cs="Arial" w:eastAsia="Arial" w:hAnsi="Arial"/>
                <w:sz w:val="12"/>
                <w:szCs w:val="12"/>
                <w:color w:val="0000FF"/>
                <w:w w:val="88"/>
              </w:rPr>
              <w:t>Selected Financial Data</w:t>
            </w:r>
          </w:p>
        </w:tc>
        <w:tc>
          <w:tcPr>
            <w:tcW w:w="4240" w:type="dxa"/>
            <w:vAlign w:val="bottom"/>
            <w:gridSpan w:val="19"/>
          </w:tcPr>
          <w:p>
            <w:pPr>
              <w:spacing w:after="0"/>
              <w:rPr>
                <w:sz w:val="13"/>
                <w:szCs w:val="13"/>
                <w:color w:val="auto"/>
              </w:rPr>
            </w:pPr>
          </w:p>
        </w:tc>
        <w:tc>
          <w:tcPr>
            <w:tcW w:w="3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3"/>
          </w:tcPr>
          <w:p>
            <w:pPr>
              <w:jc w:val="center"/>
              <w:ind w:right="520"/>
              <w:spacing w:after="0"/>
              <w:rPr>
                <w:sz w:val="20"/>
                <w:szCs w:val="20"/>
                <w:color w:val="auto"/>
              </w:rPr>
            </w:pPr>
            <w:r>
              <w:rPr>
                <w:rFonts w:ascii="Arial" w:cs="Arial" w:eastAsia="Arial" w:hAnsi="Arial"/>
                <w:sz w:val="12"/>
                <w:szCs w:val="12"/>
                <w:color w:val="0000FF"/>
                <w:w w:val="89"/>
              </w:rPr>
              <w:t>21</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rFonts w:ascii="Arial" w:cs="Arial" w:eastAsia="Arial" w:hAnsi="Arial"/>
                <w:sz w:val="12"/>
                <w:szCs w:val="12"/>
                <w:color w:val="0000FF"/>
                <w:w w:val="87"/>
              </w:rPr>
            </w:pPr>
            <w:hyperlink w:anchor="page25">
              <w:r>
                <w:rPr>
                  <w:rFonts w:ascii="Arial" w:cs="Arial" w:eastAsia="Arial" w:hAnsi="Arial"/>
                  <w:sz w:val="12"/>
                  <w:szCs w:val="12"/>
                  <w:color w:val="0000FF"/>
                  <w:w w:val="87"/>
                </w:rPr>
                <w:t>Item 7.</w:t>
              </w:r>
            </w:hyperlink>
          </w:p>
        </w:tc>
        <w:tc>
          <w:tcPr>
            <w:tcW w:w="5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9060" w:type="dxa"/>
            <w:vAlign w:val="bottom"/>
            <w:gridSpan w:val="26"/>
          </w:tcPr>
          <w:p>
            <w:pPr>
              <w:spacing w:after="0"/>
              <w:rPr>
                <w:rFonts w:ascii="Arial" w:cs="Arial" w:eastAsia="Arial" w:hAnsi="Arial"/>
                <w:sz w:val="12"/>
                <w:szCs w:val="12"/>
                <w:color w:val="0000FF"/>
              </w:rPr>
            </w:pPr>
            <w:hyperlink w:anchor="page25">
              <w:r>
                <w:rPr>
                  <w:rFonts w:ascii="Arial" w:cs="Arial" w:eastAsia="Arial" w:hAnsi="Arial"/>
                  <w:sz w:val="12"/>
                  <w:szCs w:val="12"/>
                  <w:color w:val="0000FF"/>
                </w:rPr>
                <w:t>Management’s Discussion and Analysis of Financial Condition and Results of Operations</w:t>
              </w:r>
            </w:hyperlink>
          </w:p>
        </w:tc>
        <w:tc>
          <w:tcPr>
            <w:tcW w:w="1140" w:type="dxa"/>
            <w:vAlign w:val="bottom"/>
            <w:gridSpan w:val="4"/>
          </w:tcPr>
          <w:p>
            <w:pPr>
              <w:jc w:val="center"/>
              <w:ind w:right="20"/>
              <w:spacing w:after="0"/>
              <w:rPr>
                <w:rFonts w:ascii="Arial" w:cs="Arial" w:eastAsia="Arial" w:hAnsi="Arial"/>
                <w:sz w:val="12"/>
                <w:szCs w:val="12"/>
                <w:color w:val="0000FF"/>
                <w:w w:val="89"/>
              </w:rPr>
            </w:pPr>
            <w:hyperlink w:anchor="page25">
              <w:r>
                <w:rPr>
                  <w:rFonts w:ascii="Arial" w:cs="Arial" w:eastAsia="Arial" w:hAnsi="Arial"/>
                  <w:sz w:val="12"/>
                  <w:szCs w:val="12"/>
                  <w:color w:val="0000FF"/>
                  <w:w w:val="89"/>
                </w:rPr>
                <w:t>25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rFonts w:ascii="Arial" w:cs="Arial" w:eastAsia="Arial" w:hAnsi="Arial"/>
                <w:sz w:val="12"/>
                <w:szCs w:val="12"/>
                <w:color w:val="0000FF"/>
                <w:w w:val="75"/>
              </w:rPr>
            </w:pPr>
            <w:hyperlink w:anchor="page45">
              <w:r>
                <w:rPr>
                  <w:rFonts w:ascii="Arial" w:cs="Arial" w:eastAsia="Arial" w:hAnsi="Arial"/>
                  <w:sz w:val="12"/>
                  <w:szCs w:val="12"/>
                  <w:color w:val="0000FF"/>
                  <w:w w:val="75"/>
                </w:rPr>
                <w:t>Item 7A.</w:t>
              </w:r>
            </w:hyperlink>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00" w:type="dxa"/>
            <w:vAlign w:val="bottom"/>
            <w:gridSpan w:val="13"/>
          </w:tcPr>
          <w:p>
            <w:pPr>
              <w:spacing w:after="0"/>
              <w:rPr>
                <w:rFonts w:ascii="Arial" w:cs="Arial" w:eastAsia="Arial" w:hAnsi="Arial"/>
                <w:sz w:val="12"/>
                <w:szCs w:val="12"/>
                <w:color w:val="0000FF"/>
                <w:w w:val="92"/>
              </w:rPr>
            </w:pPr>
            <w:hyperlink w:anchor="page45">
              <w:r>
                <w:rPr>
                  <w:rFonts w:ascii="Arial" w:cs="Arial" w:eastAsia="Arial" w:hAnsi="Arial"/>
                  <w:sz w:val="12"/>
                  <w:szCs w:val="12"/>
                  <w:color w:val="0000FF"/>
                  <w:w w:val="92"/>
                </w:rPr>
                <w:t>Quantitative and Qualitative Disclosure About M arket Risk</w:t>
              </w:r>
            </w:hyperlink>
          </w:p>
        </w:tc>
        <w:tc>
          <w:tcPr>
            <w:tcW w:w="6160" w:type="dxa"/>
            <w:vAlign w:val="bottom"/>
            <w:gridSpan w:val="13"/>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45">
              <w:r>
                <w:rPr>
                  <w:rFonts w:ascii="Arial" w:cs="Arial" w:eastAsia="Arial" w:hAnsi="Arial"/>
                  <w:sz w:val="12"/>
                  <w:szCs w:val="12"/>
                  <w:color w:val="0000FF"/>
                  <w:w w:val="89"/>
                </w:rPr>
                <w:t>45</w:t>
              </w:r>
            </w:hyperlink>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rFonts w:ascii="Arial" w:cs="Arial" w:eastAsia="Arial" w:hAnsi="Arial"/>
                <w:sz w:val="12"/>
                <w:szCs w:val="12"/>
                <w:color w:val="0000FF"/>
                <w:w w:val="87"/>
              </w:rPr>
            </w:pPr>
            <w:hyperlink w:anchor="page46">
              <w:r>
                <w:rPr>
                  <w:rFonts w:ascii="Arial" w:cs="Arial" w:eastAsia="Arial" w:hAnsi="Arial"/>
                  <w:sz w:val="12"/>
                  <w:szCs w:val="12"/>
                  <w:color w:val="0000FF"/>
                  <w:w w:val="87"/>
                </w:rPr>
                <w:t>Item 8.</w:t>
              </w:r>
            </w:hyperlink>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00" w:type="dxa"/>
            <w:vAlign w:val="bottom"/>
            <w:gridSpan w:val="13"/>
          </w:tcPr>
          <w:p>
            <w:pPr>
              <w:spacing w:after="0"/>
              <w:rPr>
                <w:rFonts w:ascii="Arial" w:cs="Arial" w:eastAsia="Arial" w:hAnsi="Arial"/>
                <w:sz w:val="12"/>
                <w:szCs w:val="12"/>
                <w:color w:val="0000FF"/>
              </w:rPr>
            </w:pPr>
            <w:hyperlink w:anchor="page46">
              <w:r>
                <w:rPr>
                  <w:rFonts w:ascii="Arial" w:cs="Arial" w:eastAsia="Arial" w:hAnsi="Arial"/>
                  <w:sz w:val="12"/>
                  <w:szCs w:val="12"/>
                  <w:color w:val="0000FF"/>
                </w:rPr>
                <w:t>Financial Statements and Supplementary Data</w:t>
              </w:r>
            </w:hyperlink>
          </w:p>
        </w:tc>
        <w:tc>
          <w:tcPr>
            <w:tcW w:w="6160" w:type="dxa"/>
            <w:vAlign w:val="bottom"/>
            <w:gridSpan w:val="13"/>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46">
              <w:r>
                <w:rPr>
                  <w:rFonts w:ascii="Arial" w:cs="Arial" w:eastAsia="Arial" w:hAnsi="Arial"/>
                  <w:sz w:val="12"/>
                  <w:szCs w:val="12"/>
                  <w:color w:val="0000FF"/>
                  <w:w w:val="89"/>
                </w:rPr>
                <w:t>47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rFonts w:ascii="Arial" w:cs="Arial" w:eastAsia="Arial" w:hAnsi="Arial"/>
                <w:sz w:val="12"/>
                <w:szCs w:val="12"/>
                <w:color w:val="0000FF"/>
                <w:w w:val="87"/>
              </w:rPr>
            </w:pPr>
            <w:hyperlink w:anchor="page86">
              <w:r>
                <w:rPr>
                  <w:rFonts w:ascii="Arial" w:cs="Arial" w:eastAsia="Arial" w:hAnsi="Arial"/>
                  <w:sz w:val="12"/>
                  <w:szCs w:val="12"/>
                  <w:color w:val="0000FF"/>
                  <w:w w:val="87"/>
                </w:rPr>
                <w:t>Item 9.</w:t>
              </w:r>
            </w:hyperlink>
          </w:p>
        </w:tc>
        <w:tc>
          <w:tcPr>
            <w:tcW w:w="5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4380" w:type="dxa"/>
            <w:vAlign w:val="bottom"/>
            <w:gridSpan w:val="19"/>
          </w:tcPr>
          <w:p>
            <w:pPr>
              <w:spacing w:after="0"/>
              <w:rPr>
                <w:rFonts w:ascii="Arial" w:cs="Arial" w:eastAsia="Arial" w:hAnsi="Arial"/>
                <w:sz w:val="12"/>
                <w:szCs w:val="12"/>
                <w:color w:val="0000FF"/>
                <w:w w:val="90"/>
              </w:rPr>
            </w:pPr>
            <w:hyperlink w:anchor="page86">
              <w:r>
                <w:rPr>
                  <w:rFonts w:ascii="Arial" w:cs="Arial" w:eastAsia="Arial" w:hAnsi="Arial"/>
                  <w:sz w:val="12"/>
                  <w:szCs w:val="12"/>
                  <w:color w:val="0000FF"/>
                  <w:w w:val="90"/>
                </w:rPr>
                <w:t>Changes i n and Disagreements With Accountants on Accounting and Financial Disclosure</w:t>
              </w:r>
            </w:hyperlink>
          </w:p>
        </w:tc>
        <w:tc>
          <w:tcPr>
            <w:tcW w:w="4680" w:type="dxa"/>
            <w:vAlign w:val="bottom"/>
            <w:gridSpan w:val="7"/>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86">
              <w:r>
                <w:rPr>
                  <w:rFonts w:ascii="Arial" w:cs="Arial" w:eastAsia="Arial" w:hAnsi="Arial"/>
                  <w:sz w:val="12"/>
                  <w:szCs w:val="12"/>
                  <w:color w:val="0000FF"/>
                  <w:w w:val="89"/>
                </w:rPr>
                <w:t>86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rFonts w:ascii="Arial" w:cs="Arial" w:eastAsia="Arial" w:hAnsi="Arial"/>
                <w:sz w:val="12"/>
                <w:szCs w:val="12"/>
                <w:color w:val="0000FF"/>
                <w:w w:val="75"/>
              </w:rPr>
            </w:pPr>
            <w:hyperlink w:anchor="page87">
              <w:r>
                <w:rPr>
                  <w:rFonts w:ascii="Arial" w:cs="Arial" w:eastAsia="Arial" w:hAnsi="Arial"/>
                  <w:sz w:val="12"/>
                  <w:szCs w:val="12"/>
                  <w:color w:val="0000FF"/>
                  <w:w w:val="75"/>
                </w:rPr>
                <w:t>Item 9A.</w:t>
              </w:r>
            </w:hyperlink>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60" w:type="dxa"/>
            <w:vAlign w:val="bottom"/>
            <w:gridSpan w:val="26"/>
          </w:tcPr>
          <w:p>
            <w:pPr>
              <w:spacing w:after="0"/>
              <w:rPr>
                <w:rFonts w:ascii="Arial" w:cs="Arial" w:eastAsia="Arial" w:hAnsi="Arial"/>
                <w:sz w:val="12"/>
                <w:szCs w:val="12"/>
                <w:color w:val="0000FF"/>
              </w:rPr>
            </w:pPr>
            <w:hyperlink w:anchor="page87">
              <w:r>
                <w:rPr>
                  <w:rFonts w:ascii="Arial" w:cs="Arial" w:eastAsia="Arial" w:hAnsi="Arial"/>
                  <w:sz w:val="12"/>
                  <w:szCs w:val="12"/>
                  <w:color w:val="0000FF"/>
                </w:rPr>
                <w:t>Controls and Procedures</w:t>
              </w:r>
            </w:hyperlink>
          </w:p>
        </w:tc>
        <w:tc>
          <w:tcPr>
            <w:tcW w:w="1140" w:type="dxa"/>
            <w:vAlign w:val="bottom"/>
            <w:gridSpan w:val="4"/>
          </w:tcPr>
          <w:p>
            <w:pPr>
              <w:jc w:val="center"/>
              <w:ind w:right="20"/>
              <w:spacing w:after="0"/>
              <w:rPr>
                <w:rFonts w:ascii="Arial" w:cs="Arial" w:eastAsia="Arial" w:hAnsi="Arial"/>
                <w:sz w:val="12"/>
                <w:szCs w:val="12"/>
                <w:color w:val="0000FF"/>
                <w:w w:val="89"/>
              </w:rPr>
            </w:pPr>
            <w:hyperlink w:anchor="page87">
              <w:r>
                <w:rPr>
                  <w:rFonts w:ascii="Arial" w:cs="Arial" w:eastAsia="Arial" w:hAnsi="Arial"/>
                  <w:sz w:val="12"/>
                  <w:szCs w:val="12"/>
                  <w:color w:val="0000FF"/>
                  <w:w w:val="89"/>
                </w:rPr>
                <w:t>86</w:t>
              </w:r>
            </w:hyperlink>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rFonts w:ascii="Arial" w:cs="Arial" w:eastAsia="Arial" w:hAnsi="Arial"/>
                <w:sz w:val="12"/>
                <w:szCs w:val="12"/>
                <w:color w:val="0000FF"/>
                <w:w w:val="75"/>
              </w:rPr>
            </w:pPr>
            <w:hyperlink w:anchor="page87">
              <w:r>
                <w:rPr>
                  <w:rFonts w:ascii="Arial" w:cs="Arial" w:eastAsia="Arial" w:hAnsi="Arial"/>
                  <w:sz w:val="12"/>
                  <w:szCs w:val="12"/>
                  <w:color w:val="0000FF"/>
                  <w:w w:val="75"/>
                </w:rPr>
                <w:t>Item 9B.</w:t>
              </w:r>
            </w:hyperlink>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7"/>
          </w:tcPr>
          <w:p>
            <w:pPr>
              <w:spacing w:after="0"/>
              <w:rPr>
                <w:rFonts w:ascii="Arial" w:cs="Arial" w:eastAsia="Arial" w:hAnsi="Arial"/>
                <w:sz w:val="12"/>
                <w:szCs w:val="12"/>
                <w:color w:val="0000FF"/>
              </w:rPr>
            </w:pPr>
            <w:hyperlink w:anchor="page87">
              <w:r>
                <w:rPr>
                  <w:rFonts w:ascii="Arial" w:cs="Arial" w:eastAsia="Arial" w:hAnsi="Arial"/>
                  <w:sz w:val="12"/>
                  <w:szCs w:val="12"/>
                  <w:color w:val="0000FF"/>
                </w:rPr>
                <w:t>Other Information</w:t>
              </w:r>
            </w:hyperlink>
          </w:p>
        </w:tc>
        <w:tc>
          <w:tcPr>
            <w:tcW w:w="7880" w:type="dxa"/>
            <w:vAlign w:val="bottom"/>
            <w:gridSpan w:val="19"/>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87">
              <w:r>
                <w:rPr>
                  <w:rFonts w:ascii="Arial" w:cs="Arial" w:eastAsia="Arial" w:hAnsi="Arial"/>
                  <w:sz w:val="12"/>
                  <w:szCs w:val="12"/>
                  <w:color w:val="0000FF"/>
                  <w:w w:val="89"/>
                </w:rPr>
                <w:t>86</w:t>
              </w:r>
            </w:hyperlink>
          </w:p>
        </w:tc>
        <w:tc>
          <w:tcPr>
            <w:tcW w:w="0" w:type="dxa"/>
            <w:vAlign w:val="bottom"/>
          </w:tcPr>
          <w:p>
            <w:pPr>
              <w:spacing w:after="0"/>
              <w:rPr>
                <w:sz w:val="1"/>
                <w:szCs w:val="1"/>
                <w:color w:val="auto"/>
              </w:rPr>
            </w:pPr>
          </w:p>
        </w:tc>
      </w:tr>
      <w:tr>
        <w:trPr>
          <w:trHeight w:val="340"/>
        </w:trPr>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gridSpan w:val="12"/>
          </w:tcPr>
          <w:p>
            <w:pPr>
              <w:jc w:val="center"/>
              <w:ind w:right="3780"/>
              <w:spacing w:after="0"/>
              <w:rPr>
                <w:rFonts w:ascii="Arial" w:cs="Arial" w:eastAsia="Arial" w:hAnsi="Arial"/>
                <w:sz w:val="12"/>
                <w:szCs w:val="12"/>
                <w:b w:val="1"/>
                <w:bCs w:val="1"/>
                <w:color w:val="0000FF"/>
              </w:rPr>
            </w:pPr>
            <w:hyperlink w:anchor="page87">
              <w:r>
                <w:rPr>
                  <w:rFonts w:ascii="Arial" w:cs="Arial" w:eastAsia="Arial" w:hAnsi="Arial"/>
                  <w:sz w:val="12"/>
                  <w:szCs w:val="12"/>
                  <w:b w:val="1"/>
                  <w:bCs w:val="1"/>
                  <w:color w:val="0000FF"/>
                </w:rPr>
                <w:t>PART III</w:t>
              </w:r>
            </w:hyperlink>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80" w:type="dxa"/>
            <w:vAlign w:val="bottom"/>
            <w:gridSpan w:val="2"/>
          </w:tcPr>
          <w:p>
            <w:pPr>
              <w:spacing w:after="0"/>
              <w:rPr>
                <w:rFonts w:ascii="Arial" w:cs="Arial" w:eastAsia="Arial" w:hAnsi="Arial"/>
                <w:sz w:val="12"/>
                <w:szCs w:val="12"/>
                <w:color w:val="0000FF"/>
                <w:w w:val="78"/>
              </w:rPr>
            </w:pPr>
            <w:hyperlink w:anchor="page87">
              <w:r>
                <w:rPr>
                  <w:rFonts w:ascii="Arial" w:cs="Arial" w:eastAsia="Arial" w:hAnsi="Arial"/>
                  <w:sz w:val="12"/>
                  <w:szCs w:val="12"/>
                  <w:color w:val="0000FF"/>
                  <w:w w:val="78"/>
                </w:rPr>
                <w:t>Item 10.</w:t>
              </w:r>
            </w:hyperlink>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gridSpan w:val="12"/>
          </w:tcPr>
          <w:p>
            <w:pPr>
              <w:spacing w:after="0"/>
              <w:rPr>
                <w:rFonts w:ascii="Arial" w:cs="Arial" w:eastAsia="Arial" w:hAnsi="Arial"/>
                <w:sz w:val="12"/>
                <w:szCs w:val="12"/>
                <w:color w:val="0000FF"/>
                <w:w w:val="91"/>
              </w:rPr>
            </w:pPr>
            <w:hyperlink w:anchor="page87">
              <w:r>
                <w:rPr>
                  <w:rFonts w:ascii="Arial" w:cs="Arial" w:eastAsia="Arial" w:hAnsi="Arial"/>
                  <w:sz w:val="12"/>
                  <w:szCs w:val="12"/>
                  <w:color w:val="0000FF"/>
                  <w:w w:val="91"/>
                </w:rPr>
                <w:t>Directors and Executive Officers of the Registrant</w:t>
              </w:r>
            </w:hyperlink>
          </w:p>
        </w:tc>
        <w:tc>
          <w:tcPr>
            <w:tcW w:w="1800" w:type="dxa"/>
            <w:vAlign w:val="bottom"/>
            <w:gridSpan w:val="3"/>
          </w:tcPr>
          <w:p>
            <w:pPr>
              <w:spacing w:after="0"/>
              <w:rPr>
                <w:sz w:val="13"/>
                <w:szCs w:val="13"/>
                <w:color w:val="auto"/>
              </w:rPr>
            </w:pPr>
          </w:p>
        </w:tc>
        <w:tc>
          <w:tcPr>
            <w:tcW w:w="500" w:type="dxa"/>
            <w:vAlign w:val="bottom"/>
            <w:tcBorders>
              <w:top w:val="single" w:sz="8" w:color="0000FF"/>
            </w:tcBorders>
            <w:gridSpan w:val="8"/>
          </w:tcPr>
          <w:p>
            <w:pPr>
              <w:spacing w:after="0"/>
              <w:rPr>
                <w:sz w:val="13"/>
                <w:szCs w:val="13"/>
                <w:color w:val="auto"/>
              </w:rPr>
            </w:pPr>
          </w:p>
        </w:tc>
        <w:tc>
          <w:tcPr>
            <w:tcW w:w="4340" w:type="dxa"/>
            <w:vAlign w:val="bottom"/>
            <w:gridSpan w:val="3"/>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87">
              <w:r>
                <w:rPr>
                  <w:rFonts w:ascii="Arial" w:cs="Arial" w:eastAsia="Arial" w:hAnsi="Arial"/>
                  <w:sz w:val="12"/>
                  <w:szCs w:val="12"/>
                  <w:color w:val="0000FF"/>
                  <w:w w:val="89"/>
                </w:rPr>
                <w:t>86</w:t>
              </w:r>
            </w:hyperlink>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8"/>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sz w:val="20"/>
                <w:szCs w:val="20"/>
                <w:color w:val="auto"/>
              </w:rPr>
            </w:pPr>
            <w:r>
              <w:rPr>
                <w:rFonts w:ascii="Arial" w:cs="Arial" w:eastAsia="Arial" w:hAnsi="Arial"/>
                <w:sz w:val="12"/>
                <w:szCs w:val="12"/>
                <w:color w:val="0000FF"/>
                <w:w w:val="78"/>
              </w:rPr>
              <w:t>Item 11.</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gridSpan w:val="12"/>
          </w:tcPr>
          <w:p>
            <w:pPr>
              <w:spacing w:after="0"/>
              <w:rPr>
                <w:sz w:val="20"/>
                <w:szCs w:val="20"/>
                <w:color w:val="auto"/>
              </w:rPr>
            </w:pPr>
            <w:r>
              <w:rPr>
                <w:rFonts w:ascii="Arial" w:cs="Arial" w:eastAsia="Arial" w:hAnsi="Arial"/>
                <w:sz w:val="12"/>
                <w:szCs w:val="12"/>
                <w:color w:val="0000EE"/>
              </w:rPr>
              <w:t>Executive Compensation</w:t>
            </w:r>
          </w:p>
        </w:tc>
        <w:tc>
          <w:tcPr>
            <w:tcW w:w="6640" w:type="dxa"/>
            <w:vAlign w:val="bottom"/>
            <w:gridSpan w:val="14"/>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87">
              <w:r>
                <w:rPr>
                  <w:rFonts w:ascii="Arial" w:cs="Arial" w:eastAsia="Arial" w:hAnsi="Arial"/>
                  <w:sz w:val="12"/>
                  <w:szCs w:val="12"/>
                  <w:color w:val="0000FF"/>
                  <w:w w:val="89"/>
                </w:rPr>
                <w:t>86</w:t>
              </w:r>
            </w:hyperlink>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8"/>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sz w:val="20"/>
                <w:szCs w:val="20"/>
                <w:color w:val="auto"/>
              </w:rPr>
            </w:pPr>
            <w:r>
              <w:rPr>
                <w:rFonts w:ascii="Arial" w:cs="Arial" w:eastAsia="Arial" w:hAnsi="Arial"/>
                <w:sz w:val="12"/>
                <w:szCs w:val="12"/>
                <w:color w:val="0000FF"/>
                <w:w w:val="78"/>
              </w:rPr>
              <w:t>Item 12.</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60" w:type="dxa"/>
            <w:vAlign w:val="bottom"/>
            <w:gridSpan w:val="26"/>
          </w:tcPr>
          <w:p>
            <w:pPr>
              <w:spacing w:after="0"/>
              <w:rPr>
                <w:sz w:val="20"/>
                <w:szCs w:val="20"/>
                <w:color w:val="auto"/>
              </w:rPr>
            </w:pPr>
            <w:r>
              <w:rPr>
                <w:rFonts w:ascii="Arial" w:cs="Arial" w:eastAsia="Arial" w:hAnsi="Arial"/>
                <w:sz w:val="12"/>
                <w:szCs w:val="12"/>
                <w:color w:val="0000FF"/>
              </w:rPr>
              <w:t>Security Ownership of Certain Beneficial Owners and Management and Related Stockholder Matters</w:t>
            </w: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87">
              <w:r>
                <w:rPr>
                  <w:rFonts w:ascii="Arial" w:cs="Arial" w:eastAsia="Arial" w:hAnsi="Arial"/>
                  <w:sz w:val="12"/>
                  <w:szCs w:val="12"/>
                  <w:color w:val="0000FF"/>
                  <w:w w:val="89"/>
                </w:rPr>
                <w:t>86</w:t>
              </w:r>
            </w:hyperlink>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Borders>
              <w:right w:val="single" w:sz="8" w:color="0000FF"/>
            </w:tcBorders>
            <w:gridSpan w:val="10"/>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sz w:val="20"/>
                <w:szCs w:val="20"/>
                <w:color w:val="auto"/>
              </w:rPr>
            </w:pPr>
            <w:r>
              <w:rPr>
                <w:rFonts w:ascii="Arial" w:cs="Arial" w:eastAsia="Arial" w:hAnsi="Arial"/>
                <w:sz w:val="12"/>
                <w:szCs w:val="12"/>
                <w:color w:val="0000FF"/>
                <w:w w:val="78"/>
              </w:rPr>
              <w:t>Item 13.</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40" w:type="dxa"/>
            <w:vAlign w:val="bottom"/>
            <w:gridSpan w:val="14"/>
          </w:tcPr>
          <w:p>
            <w:pPr>
              <w:spacing w:after="0"/>
              <w:rPr>
                <w:sz w:val="20"/>
                <w:szCs w:val="20"/>
                <w:color w:val="auto"/>
              </w:rPr>
            </w:pPr>
            <w:r>
              <w:rPr>
                <w:rFonts w:ascii="Arial" w:cs="Arial" w:eastAsia="Arial" w:hAnsi="Arial"/>
                <w:sz w:val="12"/>
                <w:szCs w:val="12"/>
                <w:color w:val="0000FF"/>
                <w:w w:val="89"/>
              </w:rPr>
              <w:t>Certain Relationships and Related Transactions, and Director Independence</w:t>
            </w:r>
          </w:p>
        </w:tc>
        <w:tc>
          <w:tcPr>
            <w:tcW w:w="1220" w:type="dxa"/>
            <w:vAlign w:val="bottom"/>
            <w:gridSpan w:val="10"/>
          </w:tcPr>
          <w:p>
            <w:pPr>
              <w:spacing w:after="0"/>
              <w:rPr>
                <w:sz w:val="13"/>
                <w:szCs w:val="13"/>
                <w:color w:val="auto"/>
              </w:rPr>
            </w:pPr>
          </w:p>
        </w:tc>
        <w:tc>
          <w:tcPr>
            <w:tcW w:w="4200" w:type="dxa"/>
            <w:vAlign w:val="bottom"/>
            <w:gridSpan w:val="2"/>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87">
              <w:r>
                <w:rPr>
                  <w:rFonts w:ascii="Arial" w:cs="Arial" w:eastAsia="Arial" w:hAnsi="Arial"/>
                  <w:sz w:val="12"/>
                  <w:szCs w:val="12"/>
                  <w:color w:val="0000FF"/>
                  <w:w w:val="89"/>
                </w:rPr>
                <w:t>86</w:t>
              </w:r>
            </w:hyperlink>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Borders>
              <w:right w:val="single" w:sz="8" w:color="0000FF"/>
            </w:tcBorders>
            <w:gridSpan w:val="10"/>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0" w:type="dxa"/>
            <w:vAlign w:val="bottom"/>
            <w:gridSpan w:val="2"/>
          </w:tcPr>
          <w:p>
            <w:pPr>
              <w:spacing w:after="0"/>
              <w:rPr>
                <w:sz w:val="20"/>
                <w:szCs w:val="20"/>
                <w:color w:val="auto"/>
              </w:rPr>
            </w:pPr>
            <w:r>
              <w:rPr>
                <w:rFonts w:ascii="Arial" w:cs="Arial" w:eastAsia="Arial" w:hAnsi="Arial"/>
                <w:sz w:val="12"/>
                <w:szCs w:val="12"/>
                <w:color w:val="0000FF"/>
                <w:w w:val="78"/>
              </w:rPr>
              <w:t>Item 14.</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40" w:type="dxa"/>
            <w:vAlign w:val="bottom"/>
            <w:gridSpan w:val="14"/>
          </w:tcPr>
          <w:p>
            <w:pPr>
              <w:spacing w:after="0"/>
              <w:rPr>
                <w:sz w:val="20"/>
                <w:szCs w:val="20"/>
                <w:color w:val="auto"/>
              </w:rPr>
            </w:pPr>
            <w:r>
              <w:rPr>
                <w:rFonts w:ascii="Arial" w:cs="Arial" w:eastAsia="Arial" w:hAnsi="Arial"/>
                <w:sz w:val="12"/>
                <w:szCs w:val="12"/>
                <w:color w:val="0000FF"/>
              </w:rPr>
              <w:t>Principal Accounting Fees and Services</w:t>
            </w:r>
          </w:p>
        </w:tc>
        <w:tc>
          <w:tcPr>
            <w:tcW w:w="5420" w:type="dxa"/>
            <w:vAlign w:val="bottom"/>
            <w:gridSpan w:val="12"/>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87">
              <w:r>
                <w:rPr>
                  <w:rFonts w:ascii="Arial" w:cs="Arial" w:eastAsia="Arial" w:hAnsi="Arial"/>
                  <w:sz w:val="12"/>
                  <w:szCs w:val="12"/>
                  <w:color w:val="0000FF"/>
                  <w:w w:val="89"/>
                </w:rPr>
                <w:t>86</w:t>
              </w:r>
            </w:hyperlink>
          </w:p>
        </w:tc>
        <w:tc>
          <w:tcPr>
            <w:tcW w:w="0" w:type="dxa"/>
            <w:vAlign w:val="bottom"/>
          </w:tcPr>
          <w:p>
            <w:pPr>
              <w:spacing w:after="0"/>
              <w:rPr>
                <w:sz w:val="1"/>
                <w:szCs w:val="1"/>
                <w:color w:val="auto"/>
              </w:rPr>
            </w:pPr>
          </w:p>
        </w:tc>
      </w:tr>
      <w:tr>
        <w:trPr>
          <w:trHeight w:val="340"/>
        </w:trPr>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0000FF"/>
            </w:tcBorders>
            <w:gridSpan w:val="6"/>
          </w:tcPr>
          <w:p>
            <w:pPr>
              <w:jc w:val="center"/>
              <w:spacing w:after="0"/>
              <w:rPr>
                <w:sz w:val="20"/>
                <w:szCs w:val="20"/>
                <w:color w:val="auto"/>
              </w:rPr>
            </w:pPr>
            <w:r>
              <w:rPr>
                <w:rFonts w:ascii="Arial" w:cs="Arial" w:eastAsia="Arial" w:hAnsi="Arial"/>
                <w:sz w:val="12"/>
                <w:szCs w:val="12"/>
                <w:b w:val="1"/>
                <w:bCs w:val="1"/>
                <w:color w:val="0000FF"/>
                <w:w w:val="97"/>
              </w:rPr>
              <w:t>PART IV</w:t>
            </w:r>
          </w:p>
        </w:tc>
        <w:tc>
          <w:tcPr>
            <w:tcW w:w="43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80" w:type="dxa"/>
            <w:vAlign w:val="bottom"/>
            <w:gridSpan w:val="2"/>
          </w:tcPr>
          <w:p>
            <w:pPr>
              <w:spacing w:after="0"/>
              <w:rPr>
                <w:rFonts w:ascii="Arial" w:cs="Arial" w:eastAsia="Arial" w:hAnsi="Arial"/>
                <w:sz w:val="12"/>
                <w:szCs w:val="12"/>
                <w:color w:val="0000FF"/>
                <w:w w:val="78"/>
              </w:rPr>
            </w:pPr>
            <w:hyperlink w:anchor="page87">
              <w:r>
                <w:rPr>
                  <w:rFonts w:ascii="Arial" w:cs="Arial" w:eastAsia="Arial" w:hAnsi="Arial"/>
                  <w:sz w:val="12"/>
                  <w:szCs w:val="12"/>
                  <w:color w:val="0000FF"/>
                  <w:w w:val="78"/>
                </w:rPr>
                <w:t>Item 15.</w:t>
              </w:r>
            </w:hyperlink>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gridSpan w:val="10"/>
          </w:tcPr>
          <w:p>
            <w:pPr>
              <w:spacing w:after="0"/>
              <w:rPr>
                <w:rFonts w:ascii="Arial" w:cs="Arial" w:eastAsia="Arial" w:hAnsi="Arial"/>
                <w:sz w:val="12"/>
                <w:szCs w:val="12"/>
                <w:color w:val="0000FF"/>
                <w:w w:val="88"/>
              </w:rPr>
            </w:pPr>
            <w:hyperlink w:anchor="page87">
              <w:r>
                <w:rPr>
                  <w:rFonts w:ascii="Arial" w:cs="Arial" w:eastAsia="Arial" w:hAnsi="Arial"/>
                  <w:sz w:val="12"/>
                  <w:szCs w:val="12"/>
                  <w:color w:val="0000FF"/>
                  <w:w w:val="88"/>
                </w:rPr>
                <w:t>Exhibits, Financial Statement Schedules</w:t>
              </w:r>
            </w:hyperlink>
          </w:p>
        </w:tc>
        <w:tc>
          <w:tcPr>
            <w:tcW w:w="7120" w:type="dxa"/>
            <w:vAlign w:val="bottom"/>
            <w:gridSpan w:val="16"/>
          </w:tcPr>
          <w:p>
            <w:pPr>
              <w:spacing w:after="0"/>
              <w:rPr>
                <w:sz w:val="13"/>
                <w:szCs w:val="13"/>
                <w:color w:val="auto"/>
              </w:rPr>
            </w:pPr>
          </w:p>
        </w:tc>
        <w:tc>
          <w:tcPr>
            <w:tcW w:w="1140" w:type="dxa"/>
            <w:vAlign w:val="bottom"/>
            <w:gridSpan w:val="4"/>
          </w:tcPr>
          <w:p>
            <w:pPr>
              <w:jc w:val="center"/>
              <w:ind w:right="20"/>
              <w:spacing w:after="0"/>
              <w:rPr>
                <w:rFonts w:ascii="Arial" w:cs="Arial" w:eastAsia="Arial" w:hAnsi="Arial"/>
                <w:sz w:val="12"/>
                <w:szCs w:val="12"/>
                <w:color w:val="0000FF"/>
                <w:w w:val="89"/>
              </w:rPr>
            </w:pPr>
            <w:hyperlink w:anchor="page87">
              <w:r>
                <w:rPr>
                  <w:rFonts w:ascii="Arial" w:cs="Arial" w:eastAsia="Arial" w:hAnsi="Arial"/>
                  <w:sz w:val="12"/>
                  <w:szCs w:val="12"/>
                  <w:color w:val="0000FF"/>
                  <w:w w:val="89"/>
                </w:rPr>
                <w:t>86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340"/>
        <w:spacing w:after="0"/>
        <w:rPr>
          <w:sz w:val="20"/>
          <w:szCs w:val="20"/>
          <w:color w:val="auto"/>
        </w:rPr>
      </w:pPr>
      <w:r>
        <w:rPr>
          <w:rFonts w:ascii="Arial" w:cs="Arial" w:eastAsia="Arial" w:hAnsi="Arial"/>
          <w:sz w:val="12"/>
          <w:szCs w:val="12"/>
          <w:color w:val="auto"/>
        </w:rPr>
        <w:t>&amp;nbs 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i&lt; /div&gt;</w:t>
      </w:r>
    </w:p>
    <w:p>
      <w:pPr>
        <w:sectPr>
          <w:pgSz w:w="11900" w:h="16838" w:orient="portrait"/>
          <w:cols w:equalWidth="0" w:num="1">
            <w:col w:w="11460"/>
          </w:cols>
          <w:pgMar w:left="240" w:top="127" w:right="19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285" w:lineRule="exact"/>
        <w:rPr>
          <w:sz w:val="20"/>
          <w:szCs w:val="20"/>
          <w:color w:val="auto"/>
        </w:rPr>
      </w:pPr>
    </w:p>
    <w:p>
      <w:pPr>
        <w:jc w:val="center"/>
        <w:ind w:right="40"/>
        <w:spacing w:after="0"/>
        <w:tabs>
          <w:tab w:leader="none" w:pos="10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i w:val="1"/>
          <w:iCs w:val="1"/>
          <w:color w:val="auto"/>
        </w:rPr>
        <w:t>Business</w:t>
      </w:r>
    </w:p>
    <w:p>
      <w:pPr>
        <w:spacing w:after="0" w:line="18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are a holding company that through our subsidiaries provides title insurance, mortgage services, specialty insurance and information services. We are the nation's largest title insurance company through our title insurance underwriters — Fidelity National Title, Chicago Title, Commonwealth Land Title, and Alamo Title — which collectively issued more title insurance policies in 2010 than any other title company in the United States. We also provide flood insurance, personal lines insurance, and home warranty insurance through our specialty insurance subsidiaries. We own a minority interest in Ceridian Corporation ("Ceridian"), a leading provider of global human resources, payroll, benefits and payment solutions. We also own a minority interest in Remy International, Inc. (“Remy&amp;r dquo;), a leading global vehicular parts designer, manufacturer, remanufacturer, marketer and distributor of aftermarket and original equipment electrical components for automobiles, light trucks, heavy-duty trucks and other vehicles.</w:t>
      </w:r>
    </w:p>
    <w:p>
      <w:pPr>
        <w:spacing w:after="0" w:line="15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2010, we completed a project to reduce the number of our title insurance underwriters in order to eliminate certain legal, operating and oversight costs associated with operating multiple separate and independent underwriters. Our remaining four principal title insurance underwriters are Fidelity National Title, Chicago Title, Commonwealth Land Title, and Alamo Title. Security Union Title and Ticor Title were merged into Chicago Title. Lawyers Title was merged into Fidelity National Title.</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We currently have three reporting segments as follows:</w:t>
      </w:r>
    </w:p>
    <w:p>
      <w:pPr>
        <w:spacing w:after="0" w:line="114" w:lineRule="exact"/>
        <w:rPr>
          <w:sz w:val="20"/>
          <w:szCs w:val="20"/>
          <w:color w:val="auto"/>
        </w:rPr>
      </w:pPr>
    </w:p>
    <w:p>
      <w:pPr>
        <w:ind w:left="420" w:right="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Fidelity National Title Group. </w:t>
      </w:r>
      <w:r>
        <w:rPr>
          <w:rFonts w:ascii="Arial" w:cs="Arial" w:eastAsia="Arial" w:hAnsi="Arial"/>
          <w:sz w:val="12"/>
          <w:szCs w:val="12"/>
          <w:color w:val="auto"/>
        </w:rPr>
        <w:t>This segment consists of the operations of our title insurance underwriters and related businesses. This segment provides core title insurance and escrow and other title-related ser vices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collection and trust activities, trustee’s sales guarantees, recordings and reconveyances.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Specialty Insurance. </w:t>
      </w:r>
      <w:r>
        <w:rPr>
          <w:rFonts w:ascii="Arial" w:cs="Arial" w:eastAsia="Arial" w:hAnsi="Arial"/>
          <w:sz w:val="12"/>
          <w:szCs w:val="12"/>
          <w:color w:val="auto"/>
        </w:rPr>
        <w:t>This segment consists of certain subsidiaries that issue flood, home warranty, homeowners’, automobile and other personal lines insurance policies.</w:t>
      </w:r>
    </w:p>
    <w:p>
      <w:pPr>
        <w:spacing w:after="0" w:line="114" w:lineRule="exact"/>
        <w:rPr>
          <w:rFonts w:ascii="Arial" w:cs="Arial" w:eastAsia="Arial" w:hAnsi="Arial"/>
          <w:sz w:val="12"/>
          <w:szCs w:val="12"/>
          <w:i w:val="1"/>
          <w:iCs w:val="1"/>
          <w:color w:val="auto"/>
        </w:rPr>
      </w:pPr>
    </w:p>
    <w:p>
      <w:pPr>
        <w:ind w:left="420" w:right="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Corporate and Other. </w:t>
      </w:r>
      <w:r>
        <w:rPr>
          <w:rFonts w:ascii="Arial" w:cs="Arial" w:eastAsia="Arial" w:hAnsi="Arial"/>
          <w:sz w:val="12"/>
          <w:szCs w:val="12"/>
          <w:color w:val="auto"/>
        </w:rPr>
        <w:t>This segment consists of the operations of the parent holding company, certain other unallocated corporate overhead expenses, other smaller operations, and our share in the operations of certain investments</w:t>
      </w:r>
      <w:r>
        <w:rPr>
          <w:rFonts w:ascii="Arial" w:cs="Arial" w:eastAsia="Arial" w:hAnsi="Arial"/>
          <w:sz w:val="12"/>
          <w:szCs w:val="12"/>
          <w:i w:val="1"/>
          <w:iCs w:val="1"/>
          <w:color w:val="auto"/>
        </w:rPr>
        <w:t xml:space="preserve"> </w:t>
      </w:r>
      <w:r>
        <w:rPr>
          <w:rFonts w:ascii="Arial" w:cs="Arial" w:eastAsia="Arial" w:hAnsi="Arial"/>
          <w:sz w:val="12"/>
          <w:szCs w:val="12"/>
          <w:color w:val="auto"/>
        </w:rPr>
        <w:t>in minority-owned affiliates, including Ceridian and Remy.</w:t>
      </w:r>
    </w:p>
    <w:p>
      <w:pPr>
        <w:spacing w:after="0" w:line="79" w:lineRule="exact"/>
        <w:rPr>
          <w:sz w:val="20"/>
          <w:szCs w:val="20"/>
          <w:color w:val="auto"/>
        </w:rPr>
      </w:pPr>
    </w:p>
    <w:p>
      <w:pPr>
        <w:ind w:left="5180"/>
        <w:spacing w:after="0"/>
        <w:rPr>
          <w:sz w:val="20"/>
          <w:szCs w:val="20"/>
          <w:color w:val="auto"/>
        </w:rPr>
      </w:pPr>
      <w:r>
        <w:rPr>
          <w:rFonts w:ascii="Arial" w:cs="Arial" w:eastAsia="Arial" w:hAnsi="Arial"/>
          <w:sz w:val="12"/>
          <w:szCs w:val="12"/>
          <w:b w:val="1"/>
          <w:bCs w:val="1"/>
          <w:i w:val="1"/>
          <w:iCs w:val="1"/>
          <w:color w:val="auto"/>
        </w:rPr>
        <w:t>Competitive Strengths</w:t>
      </w:r>
    </w:p>
    <w:p>
      <w:pPr>
        <w:spacing w:after="0" w:line="114" w:lineRule="exact"/>
        <w:rPr>
          <w:sz w:val="20"/>
          <w:szCs w:val="20"/>
          <w:color w:val="auto"/>
        </w:rPr>
      </w:pPr>
    </w:p>
    <w:p>
      <w:pPr>
        <w:ind w:left="4300"/>
        <w:spacing w:after="0"/>
        <w:rPr>
          <w:sz w:val="20"/>
          <w:szCs w:val="20"/>
          <w:color w:val="auto"/>
        </w:rPr>
      </w:pPr>
      <w:r>
        <w:rPr>
          <w:rFonts w:ascii="Arial" w:cs="Arial" w:eastAsia="Arial" w:hAnsi="Arial"/>
          <w:sz w:val="12"/>
          <w:szCs w:val="12"/>
          <w:color w:val="auto"/>
        </w:rPr>
        <w:t>We believe that our competitive strengths include the following:</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Leading title insurance company. </w:t>
      </w:r>
      <w:r>
        <w:rPr>
          <w:rFonts w:ascii="Arial" w:cs="Arial" w:eastAsia="Arial" w:hAnsi="Arial"/>
          <w:sz w:val="12"/>
          <w:szCs w:val="12"/>
          <w:color w:val="auto"/>
        </w:rPr>
        <w:t>We are the largest title insurance company in the United States and a leading provider of title insurance and escrow and other title-related services for real estate transactions. Through the third quarter</w:t>
      </w:r>
      <w:r>
        <w:rPr>
          <w:rFonts w:ascii="Arial" w:cs="Arial" w:eastAsia="Arial" w:hAnsi="Arial"/>
          <w:sz w:val="12"/>
          <w:szCs w:val="12"/>
          <w:i w:val="1"/>
          <w:iCs w:val="1"/>
          <w:color w:val="auto"/>
        </w:rPr>
        <w:t xml:space="preserve"> </w:t>
      </w:r>
      <w:r>
        <w:rPr>
          <w:rFonts w:ascii="Arial" w:cs="Arial" w:eastAsia="Arial" w:hAnsi="Arial"/>
          <w:sz w:val="12"/>
          <w:szCs w:val="12"/>
          <w:color w:val="auto"/>
        </w:rPr>
        <w:t>of 2010, our insurance companies had a 37.2% share of the U.S. title insurance market, according to the American Land Title Association ("ALTA").</w:t>
      </w:r>
    </w:p>
    <w:p>
      <w:pPr>
        <w:spacing w:after="0" w:line="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Established relationships with our customers. </w:t>
      </w:r>
      <w:r>
        <w:rPr>
          <w:rFonts w:ascii="Arial" w:cs="Arial" w:eastAsia="Arial" w:hAnsi="Arial"/>
          <w:sz w:val="12"/>
          <w:szCs w:val="12"/>
          <w:color w:val="auto"/>
        </w:rPr>
        <w:t>We have strong relationships with the customers who use our title services. Our distribution network, which includes over 1,350 direct residential title offices and approximately 5,500</w:t>
      </w:r>
      <w:r>
        <w:rPr>
          <w:rFonts w:ascii="Arial" w:cs="Arial" w:eastAsia="Arial" w:hAnsi="Arial"/>
          <w:sz w:val="12"/>
          <w:szCs w:val="12"/>
          <w:i w:val="1"/>
          <w:iCs w:val="1"/>
          <w:color w:val="auto"/>
        </w:rPr>
        <w:t xml:space="preserve"> </w:t>
      </w:r>
      <w:r>
        <w:rPr>
          <w:rFonts w:ascii="Arial" w:cs="Arial" w:eastAsia="Arial" w:hAnsi="Arial"/>
          <w:sz w:val="12"/>
          <w:szCs w:val="12"/>
          <w:color w:val="auto"/>
        </w:rPr>
        <w:t>agents, is among the largest in the United States. We also benefit from strong brand recognition in our multiple title brands that allows us to access a broader client base than if we operated under a single consolidated brand and provide s our customers with a choice among brands.</w:t>
      </w:r>
    </w:p>
    <w:p>
      <w:pPr>
        <w:spacing w:after="0" w:line="8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i w:val="1"/>
          <w:iCs w:val="1"/>
          <w:color w:val="auto"/>
        </w:rPr>
        <w:t xml:space="preserve">Strong value proposition for our customers. </w:t>
      </w:r>
      <w:r>
        <w:rPr>
          <w:rFonts w:ascii="Arial" w:cs="Arial" w:eastAsia="Arial" w:hAnsi="Arial"/>
          <w:sz w:val="12"/>
          <w:szCs w:val="12"/>
          <w:color w:val="auto"/>
        </w:rPr>
        <w:t>We provide our customers with title insurance and escrow and other title-related services that support their ability to effectively close real estate transactions. We help make the real estate</w:t>
      </w:r>
      <w:r>
        <w:rPr>
          <w:rFonts w:ascii="Arial" w:cs="Arial" w:eastAsia="Arial" w:hAnsi="Arial"/>
          <w:sz w:val="12"/>
          <w:szCs w:val="12"/>
          <w:i w:val="1"/>
          <w:iCs w:val="1"/>
          <w:color w:val="auto"/>
        </w:rPr>
        <w:t xml:space="preserve"> </w:t>
      </w:r>
      <w:r>
        <w:rPr>
          <w:rFonts w:ascii="Arial" w:cs="Arial" w:eastAsia="Arial" w:hAnsi="Arial"/>
          <w:sz w:val="12"/>
          <w:szCs w:val="12"/>
          <w:color w:val="auto"/>
        </w:rPr>
        <w:t>closing more efficient for our customers by offering a single point of access to a broad platform of title-related products and resources necessary to close real estate transactions.</w:t>
      </w:r>
    </w:p>
    <w:p>
      <w:pPr>
        <w:spacing w:after="0" w:line="79" w:lineRule="exact"/>
        <w:rPr>
          <w:sz w:val="20"/>
          <w:szCs w:val="20"/>
          <w:color w:val="auto"/>
        </w:rPr>
      </w:pPr>
    </w:p>
    <w:p>
      <w:pPr>
        <w:jc w:val="both"/>
        <w:ind w:right="20" w:firstLine="237"/>
        <w:spacing w:after="0" w:line="340" w:lineRule="auto"/>
        <w:rPr>
          <w:sz w:val="20"/>
          <w:szCs w:val="20"/>
          <w:color w:val="auto"/>
        </w:rPr>
      </w:pPr>
      <w:r>
        <w:rPr>
          <w:rFonts w:ascii="Arial" w:cs="Arial" w:eastAsia="Arial" w:hAnsi="Arial"/>
          <w:sz w:val="11"/>
          <w:szCs w:val="11"/>
          <w:color w:val="auto"/>
        </w:rPr>
        <w:t>Proven management team. The managers of our operating businesses have successfully built our title business over an extended period of time, resulting 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47" w:lineRule="exact"/>
        <w:rPr>
          <w:sz w:val="20"/>
          <w:szCs w:val="20"/>
          <w:color w:val="auto"/>
        </w:rPr>
      </w:pPr>
    </w:p>
    <w:p>
      <w:pPr>
        <w:jc w:val="both"/>
        <w:ind w:right="20" w:firstLine="246"/>
        <w:spacing w:after="0" w:line="292" w:lineRule="auto"/>
        <w:rPr>
          <w:sz w:val="20"/>
          <w:szCs w:val="20"/>
          <w:color w:val="auto"/>
        </w:rPr>
      </w:pPr>
      <w:r>
        <w:rPr>
          <w:rFonts w:ascii="Arial" w:cs="Arial" w:eastAsia="Arial" w:hAnsi="Arial"/>
          <w:sz w:val="12"/>
          <w:szCs w:val="12"/>
          <w:i w:val="1"/>
          <w:iCs w:val="1"/>
          <w:color w:val="auto"/>
        </w:rPr>
        <w:t xml:space="preserve">Competitive cost structure. </w:t>
      </w:r>
      <w:r>
        <w:rPr>
          <w:rFonts w:ascii="Arial" w:cs="Arial" w:eastAsia="Arial" w:hAnsi="Arial"/>
          <w:sz w:val="12"/>
          <w:szCs w:val="12"/>
          <w:color w:val="auto"/>
        </w:rPr>
        <w:t>We have been able to maintain competitive operating margins in part by monitoring our businesses i n a disciplined manner through continual evaluation and management of our cost structure. When</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our industry competitors, we also believe that our structure has fewer layers of management which allows us to operate with lower overhead costs.</w:t>
      </w:r>
    </w:p>
    <w:p>
      <w:pPr>
        <w:spacing w:after="0" w:line="70" w:lineRule="exact"/>
        <w:rPr>
          <w:sz w:val="20"/>
          <w:szCs w:val="20"/>
          <w:color w:val="auto"/>
        </w:rPr>
      </w:pPr>
    </w:p>
    <w:p>
      <w:pPr>
        <w:jc w:val="both"/>
        <w:ind w:right="20" w:firstLine="237"/>
        <w:spacing w:after="0" w:line="292" w:lineRule="auto"/>
        <w:rPr>
          <w:sz w:val="20"/>
          <w:szCs w:val="20"/>
          <w:color w:val="auto"/>
        </w:rPr>
      </w:pPr>
      <w:r>
        <w:rPr>
          <w:rFonts w:ascii="Arial" w:cs="Arial" w:eastAsia="Arial" w:hAnsi="Arial"/>
          <w:sz w:val="12"/>
          <w:szCs w:val="12"/>
          <w:i w:val="1"/>
          <w:iCs w:val="1"/>
          <w:color w:val="auto"/>
        </w:rPr>
        <w:t xml:space="preserve">Commercial title insurance. </w:t>
      </w:r>
      <w:r>
        <w:rPr>
          <w:rFonts w:ascii="Arial" w:cs="Arial" w:eastAsia="Arial" w:hAnsi="Arial"/>
          <w:sz w:val="12"/>
          <w:szCs w:val="12"/>
          <w:color w:val="auto"/>
        </w:rPr>
        <w:t>While residential title insurance comprises the majority of our business, we believe that we are the largest provider of commercial real estate title insurance in the United States. Our network of agents,</w:t>
      </w:r>
      <w:r>
        <w:rPr>
          <w:rFonts w:ascii="Arial" w:cs="Arial" w:eastAsia="Arial" w:hAnsi="Arial"/>
          <w:sz w:val="12"/>
          <w:szCs w:val="12"/>
          <w:i w:val="1"/>
          <w:iCs w:val="1"/>
          <w:color w:val="auto"/>
        </w:rPr>
        <w:t xml:space="preserve"> </w:t>
      </w:r>
      <w:r>
        <w:rPr>
          <w:rFonts w:ascii="Arial" w:cs="Arial" w:eastAsia="Arial" w:hAnsi="Arial"/>
          <w:sz w:val="12"/>
          <w:szCs w:val="12"/>
          <w:color w:val="auto"/>
        </w:rPr>
        <w:t>attorneys, underwriters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80"/>
          </w:cols>
          <w:pgMar w:left="220" w:top="149" w:right="199" w:bottom="1440" w:gutter="0" w:footer="0" w:header="0"/>
        </w:sectPr>
      </w:pPr>
    </w:p>
    <w:bookmarkStart w:id="3" w:name="page4"/>
    <w:bookmarkEnd w:id="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Corporate principles. </w:t>
      </w:r>
      <w:r>
        <w:rPr>
          <w:rFonts w:ascii="Arial" w:cs="Arial" w:eastAsia="Arial" w:hAnsi="Arial"/>
          <w:sz w:val="12"/>
          <w:szCs w:val="12"/>
          <w:color w:val="auto"/>
        </w:rPr>
        <w:t>A cornerstone of our management philosophy and operating success is the six fundamental precepts upon which we were founded, which are:</w:t>
      </w:r>
    </w:p>
    <w:p>
      <w:pPr>
        <w:spacing w:after="0" w:line="123"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Autonomy and entrepreneurship;</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Bias for action;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Customer-oriented and motivated;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Minimize bureaucracy;</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Employee ownership; and</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Highest standard of conduct.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These six precepts are emphasized to our employees from the first day of employment and are integral to many of our strategies described below.</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believe that our competitive strengths position us well to take advantage of any improvements in the real estate market in future years.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2"/>
          <w:szCs w:val="12"/>
          <w:b w:val="1"/>
          <w:bCs w:val="1"/>
          <w:i w:val="1"/>
          <w:iCs w:val="1"/>
          <w:color w:val="auto"/>
        </w:rPr>
        <w:t>Strategy</w:t>
      </w:r>
    </w:p>
    <w:p>
      <w:pPr>
        <w:spacing w:after="0" w:line="114" w:lineRule="exact"/>
        <w:rPr>
          <w:sz w:val="20"/>
          <w:szCs w:val="20"/>
          <w:color w:val="auto"/>
        </w:rPr>
      </w:pPr>
    </w:p>
    <w:p>
      <w:pPr>
        <w:ind w:left="5040"/>
        <w:spacing w:after="0"/>
        <w:rPr>
          <w:sz w:val="20"/>
          <w:szCs w:val="20"/>
          <w:color w:val="auto"/>
        </w:rPr>
      </w:pPr>
      <w:r>
        <w:rPr>
          <w:rFonts w:ascii="Arial" w:cs="Arial" w:eastAsia="Arial" w:hAnsi="Arial"/>
          <w:sz w:val="12"/>
          <w:szCs w:val="12"/>
          <w:i w:val="1"/>
          <w:iCs w:val="1"/>
          <w:color w:val="auto"/>
        </w:rPr>
        <w:t>Fidelity National Title Group</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Our strategy in the title insurance business is to maximize operating profits by increasing our market share and managing operating expenses throughout the real estate business cycle. To accomplish our goals , we intend to:</w:t>
      </w:r>
    </w:p>
    <w:p>
      <w:pPr>
        <w:spacing w:after="0" w:line="126" w:lineRule="exact"/>
        <w:rPr>
          <w:sz w:val="20"/>
          <w:szCs w:val="20"/>
          <w:color w:val="auto"/>
        </w:rPr>
      </w:pPr>
    </w:p>
    <w:p>
      <w:pPr>
        <w:jc w:val="both"/>
        <w:ind w:left="420" w:hanging="212"/>
        <w:spacing w:after="0" w:line="298" w:lineRule="auto"/>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Continue to operate multiple title brands independently</w:t>
      </w:r>
      <w:r>
        <w:rPr>
          <w:rFonts w:ascii="Arial" w:cs="Arial" w:eastAsia="Arial" w:hAnsi="Arial"/>
          <w:sz w:val="11"/>
          <w:szCs w:val="11"/>
          <w:color w:val="auto"/>
        </w:rPr>
        <w:t>. We believe that in order to maintain and strengthen our title insurance customer base, we must operate our strongest brands in a given marketplace independently of each</w:t>
      </w:r>
      <w:r>
        <w:rPr>
          <w:rFonts w:ascii="Arial" w:cs="Arial" w:eastAsia="Arial" w:hAnsi="Arial"/>
          <w:sz w:val="11"/>
          <w:szCs w:val="11"/>
          <w:i w:val="1"/>
          <w:iCs w:val="1"/>
          <w:color w:val="auto"/>
        </w:rPr>
        <w:t xml:space="preserve"> </w:t>
      </w:r>
      <w:r>
        <w:rPr>
          <w:rFonts w:ascii="Arial" w:cs="Arial" w:eastAsia="Arial" w:hAnsi="Arial"/>
          <w:sz w:val="11"/>
          <w:szCs w:val="11"/>
          <w:color w:val="auto"/>
        </w:rPr>
        <w:t>other. Our national and regional brands include Fidelity National Title, Chicago Title, Commonwealth Land Title, Lawyers Title, Ticor Title, and Alamo Title. In most of our largest markets, w e operate multiple brands. This approach allows us to continue to attract customers who identify with one brand over another and allows us to utilize a broader base of local agents and local operations than we would have with a single consolidated brand.</w:t>
      </w:r>
    </w:p>
    <w:p>
      <w:pPr>
        <w:spacing w:after="0" w:line="69" w:lineRule="exact"/>
        <w:rPr>
          <w:rFonts w:ascii="Arial" w:cs="Arial" w:eastAsia="Arial" w:hAnsi="Arial"/>
          <w:sz w:val="11"/>
          <w:szCs w:val="11"/>
          <w:color w:val="auto"/>
        </w:rPr>
      </w:pPr>
    </w:p>
    <w:p>
      <w:pPr>
        <w:jc w:val="both"/>
        <w:ind w:left="420" w:hanging="212"/>
        <w:spacing w:after="0" w:line="263"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Consistently deliver superior customer service. </w:t>
      </w:r>
      <w:r>
        <w:rPr>
          <w:rFonts w:ascii="Arial" w:cs="Arial" w:eastAsia="Arial" w:hAnsi="Arial"/>
          <w:sz w:val="12"/>
          <w:szCs w:val="12"/>
          <w:color w:val="auto"/>
        </w:rPr>
        <w:t>We believe customer service and consistent product delivery are the most important factors in attracting and ret aining customers. Our ability to provide superior customer service</w:t>
      </w:r>
      <w:r>
        <w:rPr>
          <w:rFonts w:ascii="Arial" w:cs="Arial" w:eastAsia="Arial" w:hAnsi="Arial"/>
          <w:sz w:val="12"/>
          <w:szCs w:val="12"/>
          <w:i w:val="1"/>
          <w:iCs w:val="1"/>
          <w:color w:val="auto"/>
        </w:rPr>
        <w:t xml:space="preserve"> </w:t>
      </w:r>
      <w:r>
        <w:rPr>
          <w:rFonts w:ascii="Arial" w:cs="Arial" w:eastAsia="Arial" w:hAnsi="Arial"/>
          <w:sz w:val="12"/>
          <w:szCs w:val="12"/>
          <w:color w:val="auto"/>
        </w:rPr>
        <w:t>and provide consistent product delivery requires continued focus on providing high quality service and products at competitive prices. Our goal is to continue to improve the experience of our customers, in all aspects of our business.</w:t>
      </w:r>
    </w:p>
    <w:p>
      <w:pPr>
        <w:spacing w:after="0" w:line="86" w:lineRule="exact"/>
        <w:rPr>
          <w:rFonts w:ascii="Arial" w:cs="Arial" w:eastAsia="Arial" w:hAnsi="Arial"/>
          <w:sz w:val="12"/>
          <w:szCs w:val="12"/>
          <w:color w:val="auto"/>
        </w:rPr>
      </w:pPr>
    </w:p>
    <w:p>
      <w:pPr>
        <w:jc w:val="both"/>
        <w:ind w:left="420" w:hanging="212"/>
        <w:spacing w:after="0" w:line="286" w:lineRule="auto"/>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Manage our operations successfully through business cycles</w:t>
      </w:r>
      <w:r>
        <w:rPr>
          <w:rFonts w:ascii="Arial" w:cs="Arial" w:eastAsia="Arial" w:hAnsi="Arial"/>
          <w:sz w:val="11"/>
          <w:szCs w:val="11"/>
          <w:color w:val="auto"/>
        </w:rPr>
        <w:t>. We operate in a cyclical business and our ability to diversify our revenue base within our core title insurance business and manage the duration of our investments may</w:t>
      </w:r>
      <w:r>
        <w:rPr>
          <w:rFonts w:ascii="Arial" w:cs="Arial" w:eastAsia="Arial" w:hAnsi="Arial"/>
          <w:sz w:val="11"/>
          <w:szCs w:val="11"/>
          <w:i w:val="1"/>
          <w:iCs w:val="1"/>
          <w:color w:val="auto"/>
        </w:rPr>
        <w:t xml:space="preserve"> </w:t>
      </w:r>
      <w:r>
        <w:rPr>
          <w:rFonts w:ascii="Arial" w:cs="Arial" w:eastAsia="Arial" w:hAnsi="Arial"/>
          <w:sz w:val="11"/>
          <w:szCs w:val="11"/>
          <w:color w:val="auto"/>
        </w:rPr>
        <w:t>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and, in a rising interest rate environment, to increase our investment revenue, which may offset some of the decline in premiums and service revenues we would expect in such an environment. A more detailed discussion of our investment strategies is included in “Investment Policies and Investment Portfolio.”</w:t>
      </w:r>
    </w:p>
    <w:p>
      <w:pPr>
        <w:spacing w:after="0" w:line="75" w:lineRule="exact"/>
        <w:rPr>
          <w:rFonts w:ascii="Arial" w:cs="Arial" w:eastAsia="Arial" w:hAnsi="Arial"/>
          <w:sz w:val="11"/>
          <w:szCs w:val="11"/>
          <w:color w:val="auto"/>
        </w:rPr>
      </w:pPr>
    </w:p>
    <w:p>
      <w:pPr>
        <w:jc w:val="both"/>
        <w:ind w:left="420" w:hanging="212"/>
        <w:spacing w:after="0" w:line="259"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Continue to improve our products and technology. </w:t>
      </w:r>
      <w:r>
        <w:rPr>
          <w:rFonts w:ascii="Arial" w:cs="Arial" w:eastAsia="Arial" w:hAnsi="Arial"/>
          <w:sz w:val="12"/>
          <w:szCs w:val="12"/>
          <w:color w:val="auto"/>
        </w:rPr>
        <w:t>As a national provider of real estate transaction products and services, we participate in an industry that is subject to significant change, frequent new product and service</w:t>
      </w:r>
      <w:r>
        <w:rPr>
          <w:rFonts w:ascii="Arial" w:cs="Arial" w:eastAsia="Arial" w:hAnsi="Arial"/>
          <w:sz w:val="12"/>
          <w:szCs w:val="12"/>
          <w:i w:val="1"/>
          <w:iCs w:val="1"/>
          <w:color w:val="auto"/>
        </w:rPr>
        <w:t xml:space="preserve"> </w:t>
      </w:r>
      <w:r>
        <w:rPr>
          <w:rFonts w:ascii="Arial" w:cs="Arial" w:eastAsia="Arial" w:hAnsi="Arial"/>
          <w:sz w:val="12"/>
          <w:szCs w:val="12"/>
          <w:color w:val="auto"/>
        </w:rPr>
        <w:t>introductions and evolving industry standards. We believe that our future success will depend in part on our ability to anticipate industry changes and offer products and services that meet evolving ind 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80"/>
          </w:cols>
          <w:pgMar w:left="220" w:top="149" w:right="19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jc w:val="both"/>
        <w:ind w:left="420" w:hanging="212"/>
        <w:spacing w:after="0" w:line="263"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Maintain values supporting our strategy. </w:t>
      </w:r>
      <w:r>
        <w:rPr>
          <w:rFonts w:ascii="Arial" w:cs="Arial" w:eastAsia="Arial" w:hAnsi="Arial"/>
          <w:sz w:val="12"/>
          <w:szCs w:val="12"/>
          <w:color w:val="auto"/>
        </w:rPr>
        <w:t>We believe that our continued focus on and support of our long-established corporate culture will reinforce and support our business strategy. Our goal is to foster and support a corporate</w:t>
      </w:r>
      <w:r>
        <w:rPr>
          <w:rFonts w:ascii="Arial" w:cs="Arial" w:eastAsia="Arial" w:hAnsi="Arial"/>
          <w:sz w:val="12"/>
          <w:szCs w:val="12"/>
          <w:i w:val="1"/>
          <w:iCs w:val="1"/>
          <w:color w:val="auto"/>
        </w:rPr>
        <w:t xml:space="preserve"> </w:t>
      </w:r>
      <w:r>
        <w:rPr>
          <w:rFonts w:ascii="Arial" w:cs="Arial" w:eastAsia="Arial" w:hAnsi="Arial"/>
          <w:sz w:val="12"/>
          <w:szCs w:val="12"/>
          <w:color w:val="auto"/>
        </w:rPr>
        <w:t>culture where our employees and agents seek to operate independently and profitably at the local level while forming close customer relationships by meeting customer needs and improving customer service. Utilizing a relatively flat managerial structure and providing our employees with a sense of individual own ership supports this goal.</w:t>
      </w:r>
    </w:p>
    <w:p>
      <w:pPr>
        <w:spacing w:after="0" w:line="86"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Effectively manage costs based on economic factors. </w:t>
      </w:r>
      <w:r>
        <w:rPr>
          <w:rFonts w:ascii="Arial" w:cs="Arial" w:eastAsia="Arial" w:hAnsi="Arial"/>
          <w:sz w:val="12"/>
          <w:szCs w:val="12"/>
          <w:color w:val="auto"/>
        </w:rPr>
        <w:t>We believe that our focus on our operating margins is essential to our continued success in the title insurance business. Regardless of the business cycle in which we may be</w:t>
      </w:r>
      <w:r>
        <w:rPr>
          <w:rFonts w:ascii="Arial" w:cs="Arial" w:eastAsia="Arial" w:hAnsi="Arial"/>
          <w:sz w:val="12"/>
          <w:szCs w:val="12"/>
          <w:i w:val="1"/>
          <w:iCs w:val="1"/>
          <w:color w:val="auto"/>
        </w:rPr>
        <w:t xml:space="preserve"> </w:t>
      </w:r>
      <w:r>
        <w:rPr>
          <w:rFonts w:ascii="Arial" w:cs="Arial" w:eastAsia="Arial" w:hAnsi="Arial"/>
          <w:sz w:val="12"/>
          <w:szCs w:val="12"/>
          <w:color w:val="auto"/>
        </w:rPr>
        <w:t>operating, we seek to continue to evaluate and manage our cost structure and make appropriate adjustments where economic conditions dictate. This continual focus on our cost structure helps us to better maintain our operating margins.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Specialty Insurance</w:t>
      </w:r>
    </w:p>
    <w:p>
      <w:pPr>
        <w:spacing w:after="0" w:line="11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Our strategy in the specialty insurance business is to provide an efficient and effective delivery mechanism for property and casualty insurance policies placed directly and through independent agents. We are positioned to be a low cost provider, while continuing to strictly adhere to pricing and underwriting disciplines to maintain our underwriting profitability.</w:t>
      </w:r>
    </w:p>
    <w:p>
      <w:pPr>
        <w:spacing w:after="0" w:line="79" w:lineRule="exact"/>
        <w:rPr>
          <w:sz w:val="20"/>
          <w:szCs w:val="20"/>
          <w:color w:val="auto"/>
        </w:rPr>
      </w:pPr>
    </w:p>
    <w:p>
      <w:pPr>
        <w:ind w:left="420" w:right="20" w:hanging="212"/>
        <w:spacing w:after="0" w:line="276"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offer coverage under the U.S. National Flood Insurance Program (“NFIP”) through our three underwriters, Fidelity National Insurance Company, Fidelity National Property and Casualty Insurance Company and Fidelity National Indemnity Insurance Company, which provide flood insurance in all 50 states. We are the largest provider of NFIP flood insurance in the U.S. through our independent agent network.</w:t>
      </w:r>
    </w:p>
    <w:p>
      <w:pPr>
        <w:spacing w:after="0" w:line="78"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provide an efficient methodology for obtaining insurance on newly acquired homes, whether new construction or upon resale. We have an easy to use fully integrated website, which our agents use as a completely paperless and fully automated quoting and policy delivery system. This system is in use for all of our property and casualty products.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underwriting practice is conservative. Catastrophe exposure is closely managed on a real time basis. We also purchase reinsurance to assist in maintaining our profitability and protecting our surplus.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Acquisitions, Dispositions, Minority Owned Operating Subsidiaries and Financings</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1"/>
          <w:szCs w:val="11"/>
          <w:color w:val="auto"/>
        </w:rPr>
        <w:t>Acquisitions have been an important part of our growth strategy. On an ongoing basis, with assistance from our advisors, we actively evaluate possible transactions, such as acquisitions and dispositions of business units and operating assets and business combination transactions, as well as possible means of financing the growth and operations of our business units or raising funds, through securities offerings or otherwise, for debt repayment or other purposes. In the current economic environment, we may seek to sell certain investments or other assets to increase our liquidity. Further, our management has stated that we may make acquisitions in lines of business that are not directly tied to or synergistic with our core operating segments. There can be no assurance, however, that any suitable opportunities will arise or that any particular transaction will be completed. We have made a number of acquisitions over the past three years to strengthen and expand our service offerings and customer base in our various businesses, to expand into other businesses or where we otherwise saw value.</w:t>
      </w:r>
    </w:p>
    <w:p>
      <w:pPr>
        <w:spacing w:after="0" w:line="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Strategic acquisitions have been an important part of our growth strategy. On December 22, 2008, we completed the acquisition of LandAmerica Financial Group, Inc.’s (“LFG”) two principal title insurance underwriters, Commonwealth Land Title Insurance Company (“Commonwealth”) and Lawyers Title Insurance Corporation (“Lawyers”), as well as United Capital Title Insurance Company (“United”) (collectively, the “LFG Underwriters”). The total purchase price was $258.9 million, net of cash acquired of $5.9 million, and was comprised of $153.9 million paid by two of our title insurance underwriters, Fidelity National Title Insurance Company and Chicago Title Insurance Company, a $50.0 million subordinat ed note, which was paid in full during 2010 (see note I of Notes to Consolidated Financial Statements), $50.0 million in FNF common stock (3,176,620 shares valued at $15.74 per share at the time of closing), and $5.0 million in transaction costs.</w:t>
      </w:r>
    </w:p>
    <w:p>
      <w:pPr>
        <w:spacing w:after="0" w:line="156"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On May 28, 2010, we completed the sale of our 32% interest in Sedgwick, our minority-owned affiliate that provides claims management services to large corporate and public sector entities, to a group of private equity funds. We received approximately $225.6 million in proceeds, of which $32.0 million was held in an indem nity escrow for our ownership interest, resulting in a pre-tax gain of approximately $98.4 million.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Title Insurance</w:t>
      </w:r>
    </w:p>
    <w:p>
      <w:pPr>
        <w:spacing w:after="0" w:line="11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Market for title insurance. </w:t>
      </w:r>
      <w:r>
        <w:rPr>
          <w:rFonts w:ascii="Arial" w:cs="Arial" w:eastAsia="Arial" w:hAnsi="Arial"/>
          <w:sz w:val="12"/>
          <w:szCs w:val="12"/>
          <w:color w:val="auto"/>
        </w:rPr>
        <w:t>While we have seen declines since 2007 in the title insurance market in the United States, the market remains large and grew significantly from 1995 until 2005. According to Demotech Performance of Title</w:t>
      </w:r>
      <w:r>
        <w:rPr>
          <w:rFonts w:ascii="Arial" w:cs="Arial" w:eastAsia="Arial" w:hAnsi="Arial"/>
          <w:sz w:val="12"/>
          <w:szCs w:val="12"/>
          <w:i w:val="1"/>
          <w:iCs w:val="1"/>
          <w:color w:val="auto"/>
        </w:rPr>
        <w:t xml:space="preserve"> </w:t>
      </w:r>
      <w:r>
        <w:rPr>
          <w:rFonts w:ascii="Arial" w:cs="Arial" w:eastAsia="Arial" w:hAnsi="Arial"/>
          <w:sz w:val="12"/>
          <w:szCs w:val="12"/>
          <w:color w:val="auto"/>
        </w:rPr>
        <w:t>Insurance Companies 2010 Edition, an annual compilation of financial information from the title insurance industry that is Published by Demotech Inc., an independent firm ("Demotech"), total operating income for the entire U. S. title insurance industry grew from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80"/>
          </w:cols>
          <w:pgMar w:left="220" w:top="149" w:right="19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$4.8 billion in 1995 to $17.8 billion in 2005 and then decreased to $15.2 billion in 2007, $11.3 billion in 2008, and to $10.7 in 2009. Growth in the industry is closely tied to various macroeconomic factors, including, but not limited to, growth in the gross domestic product, inflation, unemployment, the availability of credit, consum er confidence, interest rates and sales of and prices for new and existing homes, as well as the volume of refinancing of previously issued mortgages.</w:t>
      </w:r>
    </w:p>
    <w:p>
      <w:pPr>
        <w:spacing w:after="0" w:line="87"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residential real estate closings, such as the state of the economy, the availability of mortgage funding, and changes in interest rates, which affect demand for new mortgage loans and refinancing t ransactions. Both the volume and the average price of residential real estate transactions have experienced significant declines in many parts of the country, and it is uncertain how long these trends will continue. Beginning in 2008 and continuing through 2010, the sharply rising mortgage delinquency and default rates caused negative operating results at a number of banks and financial institutions. Multiple banks have failed during this time and others may fail in the future, reducing the capacity of the mortgage industry to make loans. Lenders have tightened their underwriting standards which has made it more difficult for buyers to qualify for new loans. However, during this same period, interest rates were at historically low levels, which spurred an increase in refinance activity. Our revenues in future periods will continue to be subject to these and other factors which are beyond our control and, as a result, are likely to fluctuate.</w:t>
      </w:r>
    </w:p>
    <w:p>
      <w:pPr>
        <w:spacing w:after="0" w:line="80" w:lineRule="exact"/>
        <w:rPr>
          <w:sz w:val="20"/>
          <w:szCs w:val="20"/>
          <w:color w:val="auto"/>
        </w:rPr>
      </w:pPr>
    </w:p>
    <w:p>
      <w:pPr>
        <w:ind w:left="120" w:firstLine="114"/>
        <w:spacing w:after="0" w:line="319" w:lineRule="auto"/>
        <w:rPr>
          <w:sz w:val="20"/>
          <w:szCs w:val="20"/>
          <w:color w:val="auto"/>
        </w:rPr>
      </w:pPr>
      <w:r>
        <w:rPr>
          <w:rFonts w:ascii="Arial" w:cs="Arial" w:eastAsia="Arial" w:hAnsi="Arial"/>
          <w:sz w:val="10"/>
          <w:szCs w:val="10"/>
          <w:color w:val="auto"/>
        </w:rPr>
        <w:t>The U.S. title insurance industry is concentrated among a handful of industry participants. According to Demotech the top four title insurance companies accounted for 92.6% of net premiums written in 2009. Over 30 independent title insurance companies accounted for the remaining 7.4% of net premiums written in 2009. Over the years, the title insurance industry has been consolidating, beginning with the merger of Lawyers and Commonwealt h in 1998 to create</w:t>
      </w:r>
    </w:p>
    <w:p>
      <w:pPr>
        <w:jc w:val="center"/>
        <w:ind w:right="20"/>
        <w:spacing w:after="0" w:line="261" w:lineRule="auto"/>
        <w:rPr>
          <w:sz w:val="20"/>
          <w:szCs w:val="20"/>
          <w:color w:val="auto"/>
        </w:rPr>
      </w:pPr>
      <w:r>
        <w:rPr>
          <w:rFonts w:ascii="Arial" w:cs="Arial" w:eastAsia="Arial" w:hAnsi="Arial"/>
          <w:sz w:val="12"/>
          <w:szCs w:val="12"/>
          <w:color w:val="auto"/>
        </w:rPr>
        <w:t>LFG, followed by our acquisition of Chicago Title in March 2000. Then, in December 2008, we acquired LFG’s two principal title insurance underwriters, Commonwealth and Lawyers. Consolidation has created opportunities for increased financial and operating efficiencies for the industry’s largest participants and should continue to drive profitability and market share in the industry.</w:t>
      </w:r>
    </w:p>
    <w:p>
      <w:pPr>
        <w:spacing w:after="0" w:line="87"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i w:val="1"/>
          <w:iCs w:val="1"/>
          <w:color w:val="auto"/>
        </w:rPr>
        <w:t xml:space="preserve">Title Insurance Policies. </w:t>
      </w:r>
      <w:r>
        <w:rPr>
          <w:rFonts w:ascii="Arial" w:cs="Arial" w:eastAsia="Arial" w:hAnsi="Arial"/>
          <w:sz w:val="12"/>
          <w:szCs w:val="12"/>
          <w:color w:val="auto"/>
        </w:rPr>
        <w:t>Generally, real estate buyers and mortgage lenders purchase title insurance to insure good and marketable title to real estate and priority of lien. A brief generalized description of the process of issuing a title</w:t>
      </w:r>
      <w:r>
        <w:rPr>
          <w:rFonts w:ascii="Arial" w:cs="Arial" w:eastAsia="Arial" w:hAnsi="Arial"/>
          <w:sz w:val="12"/>
          <w:szCs w:val="12"/>
          <w:i w:val="1"/>
          <w:iCs w:val="1"/>
          <w:color w:val="auto"/>
        </w:rPr>
        <w:t xml:space="preserve"> </w:t>
      </w:r>
      <w:r>
        <w:rPr>
          <w:rFonts w:ascii="Arial" w:cs="Arial" w:eastAsia="Arial" w:hAnsi="Arial"/>
          <w:sz w:val="12"/>
          <w:szCs w:val="12"/>
          <w:color w:val="auto"/>
        </w:rPr>
        <w:t>insurance policy is as follows:</w:t>
      </w:r>
    </w:p>
    <w:p>
      <w:pPr>
        <w:spacing w:after="0" w:line="79"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customer, typically a real estate salesperson or broker, escrow agent, attorney or lender, places an order for a title policy.</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Company personnel note the specifics of the title policy order and place a request with the title company or its agents for a preliminary report or commitment.</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After the relevant historical data on the property is compiled, the title officer prepares a preliminary report that documents the current status of title to the property, any exclusions, exceptions and/or limitations that the title compa ny might include in the policy, and specific issues that need to be addressed and resolved by the parties to the transaction before the title policy will be issued.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preliminary report is circulated to all the parties for satisfaction of any specific issues.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After the specific issues identified in the preliminary report are satisfied, an escrow agent closes the transaction in accordance with the instructions of the parties and the title company’s conditions.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Once the transaction is closed and all monies have been released, the title company issues a title insurance policy.</w:t>
      </w:r>
    </w:p>
    <w:p>
      <w:pPr>
        <w:spacing w:after="0" w:line="1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a real estate transaction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 s policy is issued but typically an owner’s title policy is issued.</w:t>
      </w:r>
    </w:p>
    <w:p>
      <w:pPr>
        <w:spacing w:after="0" w:line="89" w:lineRule="exact"/>
        <w:rPr>
          <w:sz w:val="20"/>
          <w:szCs w:val="20"/>
          <w:color w:val="auto"/>
        </w:rPr>
      </w:pPr>
    </w:p>
    <w:p>
      <w:pPr>
        <w:jc w:val="both"/>
        <w:ind w:firstLine="237"/>
        <w:spacing w:after="0" w:line="271" w:lineRule="auto"/>
        <w:rPr>
          <w:sz w:val="20"/>
          <w:szCs w:val="20"/>
          <w:color w:val="auto"/>
        </w:rPr>
      </w:pPr>
      <w:r>
        <w:rPr>
          <w:rFonts w:ascii="Arial" w:cs="Arial" w:eastAsia="Arial" w:hAnsi="Arial"/>
          <w:sz w:val="12"/>
          <w:szCs w:val="12"/>
          <w:color w:val="auto"/>
        </w:rPr>
        <w:t>Title insurance premiums paid in connection with a title insurance policy are based on (and typically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The lender’s policy generally terminates upon the refinancing or resale of the property.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80"/>
          </w:cols>
          <w:pgMar w:left="220" w:top="149" w:right="19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 ed as a result of payment of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8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Title insurance companies typically issue title insurance policies directly through branch offices or through title agencies which are subsidiaries of the title insurance company,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 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1"/>
          <w:szCs w:val="11"/>
          <w:color w:val="auto"/>
        </w:rPr>
        <w:t>Prior to i ssuing policies, title insurers and their agents attempt to reduce the risk of future claim losses by accurately performing title searches and examinations. A title insurance company’s predominant expense relates to such</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 related errors.</w:t>
      </w:r>
    </w:p>
    <w:p>
      <w:pPr>
        <w:spacing w:after="0" w:line="8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6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Direct and Agency Operations. </w:t>
      </w:r>
      <w:r>
        <w:rPr>
          <w:rFonts w:ascii="Arial" w:cs="Arial" w:eastAsia="Arial" w:hAnsi="Arial"/>
          <w:sz w:val="12"/>
          <w:szCs w:val="12"/>
          <w:color w:val="auto"/>
        </w:rPr>
        <w:t>We provide title insurance services through our direct operations and through independent title insurance agents who issue t itle policies on behalf of our title insurance companies. Our title insurance</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determine the terms and conditions upon which they will insure title to the real property according to their underwriting standards, policies and procedures.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1"/>
          <w:szCs w:val="11"/>
          <w:i w:val="1"/>
          <w:iCs w:val="1"/>
          <w:color w:val="auto"/>
        </w:rPr>
        <w:t xml:space="preserve">Direct Operations. </w:t>
      </w:r>
      <w:r>
        <w:rPr>
          <w:rFonts w:ascii="Arial" w:cs="Arial" w:eastAsia="Arial" w:hAnsi="Arial"/>
          <w:sz w:val="11"/>
          <w:szCs w:val="11"/>
          <w:color w:val="auto"/>
        </w:rPr>
        <w:t>In our direct operations, the title insurer issues the title insurance policy and retains the entire premium paid in connection with the transaction. Our direct operations provide the following benefits:</w:t>
      </w:r>
    </w:p>
    <w:p>
      <w:pPr>
        <w:spacing w:after="0" w:line="126"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higher margins because we retain the entire premium from each transaction instead of paying a commission to an independent agent;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continuity of service levels to a broad range of customers;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additional sources of income through escrow and closing services.</w:t>
      </w:r>
    </w:p>
    <w:p>
      <w:pPr>
        <w:spacing w:after="0" w:line="11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have over 1,350 offices throughout the U.S. primarily providing residential real estate title ins urance. During 2009 and 2008, as title insurance activity slowed, we closed and consolidated a number of our offices. We continuously monitor the number of direct offices to make sure that it remains in line with our strategy and the current economic environment. Our commercial real estate title insurance business is operated almost exclusively through our direct operations. We maintain direct operations for our commercial title insurance business in all the major real estate markets including New York, Los Angeles, Chicago, Atlanta, Dallas, Philadelphia, Phoenix, Seattle and Houston.</w:t>
      </w:r>
    </w:p>
    <w:p>
      <w:pPr>
        <w:spacing w:after="0" w:line="69" w:lineRule="exact"/>
        <w:rPr>
          <w:sz w:val="20"/>
          <w:szCs w:val="20"/>
          <w:color w:val="auto"/>
        </w:rPr>
      </w:pPr>
    </w:p>
    <w:p>
      <w:pPr>
        <w:jc w:val="both"/>
        <w:ind w:firstLine="246"/>
        <w:spacing w:after="0" w:line="259" w:lineRule="auto"/>
        <w:rPr>
          <w:sz w:val="20"/>
          <w:szCs w:val="20"/>
          <w:color w:val="auto"/>
        </w:rPr>
      </w:pPr>
      <w:r>
        <w:rPr>
          <w:rFonts w:ascii="Arial" w:cs="Arial" w:eastAsia="Arial" w:hAnsi="Arial"/>
          <w:sz w:val="12"/>
          <w:szCs w:val="12"/>
          <w:i w:val="1"/>
          <w:iCs w:val="1"/>
          <w:color w:val="auto"/>
        </w:rPr>
        <w:t xml:space="preserve">Agency Operations. </w:t>
      </w:r>
      <w:r>
        <w:rPr>
          <w:rFonts w:ascii="Arial" w:cs="Arial" w:eastAsia="Arial" w:hAnsi="Arial"/>
          <w:sz w:val="12"/>
          <w:szCs w:val="12"/>
          <w:color w:val="auto"/>
        </w:rPr>
        <w:t>In our agency operations, the search and examination function is performed by an independent agent or the agent may purchase the search and examination from us. In either case, the agent is responsible to ensure</w:t>
      </w:r>
      <w:r>
        <w:rPr>
          <w:rFonts w:ascii="Arial" w:cs="Arial" w:eastAsia="Arial" w:hAnsi="Arial"/>
          <w:sz w:val="12"/>
          <w:szCs w:val="12"/>
          <w:i w:val="1"/>
          <w:iCs w:val="1"/>
          <w:color w:val="auto"/>
        </w:rPr>
        <w:t xml:space="preserve"> </w:t>
      </w:r>
      <w:r>
        <w:rPr>
          <w:rFonts w:ascii="Arial" w:cs="Arial" w:eastAsia="Arial" w:hAnsi="Arial"/>
          <w:sz w:val="12"/>
          <w:szCs w:val="12"/>
          <w:color w:val="auto"/>
        </w:rPr>
        <w:t>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80"/>
          </w:cols>
          <w:pgMar w:left="220" w:top="149" w:right="19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 cial and loss experience records. We also conduct periodic audits of our agents and periodically decrease the number of agents with which we transact business in an effort to reduce future expenses and manage risks. As of December 31, 2010, we transact business with approximately 5,500 agents.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Fees and Premiums. </w:t>
      </w:r>
      <w:r>
        <w:rPr>
          <w:rFonts w:ascii="Arial" w:cs="Arial" w:eastAsia="Arial" w:hAnsi="Arial"/>
          <w:sz w:val="12"/>
          <w:szCs w:val="12"/>
          <w:color w:val="auto"/>
        </w:rPr>
        <w:t>One method of analyzing our business is to examine the level of premiums generated by direct and agency operations.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the percentages of our title insurance premiums generated by direct and agency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8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0"/>
                <w:szCs w:val="10"/>
                <w:b w:val="1"/>
                <w:bCs w:val="1"/>
                <w:color w:val="auto"/>
                <w:w w:val="86"/>
              </w:rPr>
              <w:t>Year Ended December 31,</w:t>
            </w: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51"/>
        </w:trPr>
        <w:tc>
          <w:tcPr>
            <w:tcW w:w="482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1"/>
                <w:szCs w:val="11"/>
                <w:b w:val="1"/>
                <w:bCs w:val="1"/>
                <w:color w:val="auto"/>
                <w:w w:val="97"/>
              </w:rPr>
              <w:t>2010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gridSpan w:val="3"/>
          </w:tcPr>
          <w:p>
            <w:pPr>
              <w:jc w:val="right"/>
              <w:ind w:right="842"/>
              <w:spacing w:after="0"/>
              <w:rPr>
                <w:sz w:val="20"/>
                <w:szCs w:val="20"/>
                <w:color w:val="auto"/>
              </w:rPr>
            </w:pPr>
            <w:r>
              <w:rPr>
                <w:rFonts w:ascii="Arial" w:cs="Arial" w:eastAsia="Arial" w:hAnsi="Arial"/>
                <w:sz w:val="11"/>
                <w:szCs w:val="11"/>
                <w:b w:val="1"/>
                <w:bCs w:val="1"/>
                <w:color w:val="auto"/>
                <w:w w:val="89"/>
              </w:rPr>
              <w:t>2009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3"/>
          </w:tcPr>
          <w:p>
            <w:pPr>
              <w:jc w:val="right"/>
              <w:ind w:right="940"/>
              <w:spacing w:after="0"/>
              <w:rPr>
                <w:sz w:val="20"/>
                <w:szCs w:val="20"/>
                <w:color w:val="auto"/>
              </w:rPr>
            </w:pPr>
            <w:r>
              <w:rPr>
                <w:rFonts w:ascii="Arial" w:cs="Arial" w:eastAsia="Arial" w:hAnsi="Arial"/>
                <w:sz w:val="11"/>
                <w:szCs w:val="11"/>
                <w:b w:val="1"/>
                <w:bCs w:val="1"/>
                <w:color w:val="auto"/>
                <w:w w:val="89"/>
              </w:rPr>
              <w:t>2008</w:t>
            </w:r>
          </w:p>
        </w:tc>
      </w:tr>
      <w:tr>
        <w:trPr>
          <w:trHeight w:val="22"/>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r>
      <w:tr>
        <w:trPr>
          <w:trHeight w:val="147"/>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40" w:type="dxa"/>
            <w:vAlign w:val="bottom"/>
          </w:tcPr>
          <w:p>
            <w:pPr>
              <w:jc w:val="right"/>
              <w:ind w:right="401"/>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165"/>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320"/>
              <w:spacing w:after="0"/>
              <w:rPr>
                <w:sz w:val="20"/>
                <w:szCs w:val="20"/>
                <w:color w:val="auto"/>
              </w:rPr>
            </w:pPr>
            <w:r>
              <w:rPr>
                <w:rFonts w:ascii="Arial" w:cs="Arial" w:eastAsia="Arial" w:hAnsi="Arial"/>
                <w:sz w:val="11"/>
                <w:szCs w:val="11"/>
                <w:b w:val="1"/>
                <w:bCs w:val="1"/>
                <w:color w:val="auto"/>
              </w:rPr>
              <w:t>% (a)</w:t>
            </w:r>
          </w:p>
        </w:tc>
        <w:tc>
          <w:tcPr>
            <w:tcW w:w="200" w:type="dxa"/>
            <w:vAlign w:val="bottom"/>
          </w:tcPr>
          <w:p>
            <w:pPr>
              <w:spacing w:after="0"/>
              <w:rPr>
                <w:sz w:val="12"/>
                <w:szCs w:val="12"/>
                <w:color w:val="auto"/>
              </w:rPr>
            </w:pPr>
          </w:p>
        </w:tc>
        <w:tc>
          <w:tcPr>
            <w:tcW w:w="780" w:type="dxa"/>
            <w:vAlign w:val="bottom"/>
          </w:tcPr>
          <w:p>
            <w:pPr>
              <w:jc w:val="right"/>
              <w:ind w:right="201"/>
              <w:spacing w:after="0"/>
              <w:rPr>
                <w:sz w:val="20"/>
                <w:szCs w:val="20"/>
                <w:color w:val="auto"/>
              </w:rPr>
            </w:pPr>
            <w:r>
              <w:rPr>
                <w:rFonts w:ascii="Arial" w:cs="Arial" w:eastAsia="Arial" w:hAnsi="Arial"/>
                <w:sz w:val="11"/>
                <w:szCs w:val="11"/>
                <w:b w:val="1"/>
                <w:bCs w:val="1"/>
                <w:color w:val="auto"/>
              </w:rPr>
              <w:t>Amount</w:t>
            </w:r>
          </w:p>
        </w:tc>
        <w:tc>
          <w:tcPr>
            <w:tcW w:w="124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w:t>
            </w:r>
          </w:p>
        </w:tc>
      </w:tr>
      <w:tr>
        <w:trPr>
          <w:trHeight w:val="22"/>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0"/>
        </w:trPr>
        <w:tc>
          <w:tcPr>
            <w:tcW w:w="4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0"/>
                <w:szCs w:val="10"/>
                <w:b w:val="1"/>
                <w:bCs w:val="1"/>
                <w:color w:val="auto"/>
                <w:w w:val="88"/>
              </w:rPr>
              <w:t>(Dollars in millions)</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84"/>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1,404.5</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1,475.3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37.6%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1,140.3</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42.3%</w:t>
            </w:r>
          </w:p>
        </w:tc>
      </w:tr>
      <w:tr>
        <w:trPr>
          <w:trHeight w:val="171"/>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Agency</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2,236.7</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2,452.3</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62.4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1,554.7</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57.7</w:t>
            </w:r>
          </w:p>
        </w:tc>
      </w:tr>
      <w:tr>
        <w:trPr>
          <w:trHeight w:val="18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title insurance premiums</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3,641.2</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3,927.6</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2,695.0</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r>
    </w:tbl>
    <w:p>
      <w:pPr>
        <w:spacing w:after="0" w:line="95" w:lineRule="exact"/>
        <w:rPr>
          <w:sz w:val="20"/>
          <w:szCs w:val="20"/>
          <w:color w:val="auto"/>
        </w:rPr>
      </w:pPr>
    </w:p>
    <w:p>
      <w:pPr>
        <w:ind w:left="4960"/>
        <w:spacing w:after="0"/>
        <w:rPr>
          <w:sz w:val="20"/>
          <w:szCs w:val="20"/>
          <w:color w:val="auto"/>
        </w:rPr>
      </w:pPr>
      <w:r>
        <w:rPr>
          <w:rFonts w:ascii="Arial" w:cs="Arial" w:eastAsia="Arial" w:hAnsi="Arial"/>
          <w:sz w:val="12"/>
          <w:szCs w:val="12"/>
          <w:b w:val="1"/>
          <w:bCs w:val="1"/>
          <w:color w:val="auto"/>
        </w:rPr>
        <w:t>__________________________</w:t>
      </w:r>
    </w:p>
    <w:p>
      <w:pPr>
        <w:spacing w:after="0" w:line="118" w:lineRule="exact"/>
        <w:rPr>
          <w:sz w:val="20"/>
          <w:szCs w:val="20"/>
          <w:color w:val="auto"/>
        </w:rPr>
      </w:pPr>
    </w:p>
    <w:p>
      <w:pPr>
        <w:ind w:left="500" w:hanging="292"/>
        <w:spacing w:after="0"/>
        <w:tabs>
          <w:tab w:leader="none" w:pos="50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mix of agency premiums as a percentage of total title insurance premiums increased in 2009 due to the acquisition of the LFG Underwriters in December 2008, which historically had a higher agency business.</w:t>
      </w:r>
    </w:p>
    <w:p>
      <w:pPr>
        <w:spacing w:after="0" w:line="126" w:lineRule="exact"/>
        <w:rPr>
          <w:sz w:val="20"/>
          <w:szCs w:val="20"/>
          <w:color w:val="auto"/>
        </w:rPr>
      </w:pPr>
    </w:p>
    <w:p>
      <w:pPr>
        <w:jc w:val="both"/>
        <w:ind w:right="20" w:firstLine="30"/>
        <w:spacing w:after="0" w:line="263" w:lineRule="auto"/>
        <w:rPr>
          <w:sz w:val="20"/>
          <w:szCs w:val="20"/>
          <w:color w:val="auto"/>
        </w:rPr>
      </w:pPr>
      <w:r>
        <w:rPr>
          <w:rFonts w:ascii="Arial" w:cs="Arial" w:eastAsia="Arial" w:hAnsi="Arial"/>
          <w:sz w:val="12"/>
          <w:szCs w:val="12"/>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8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Geographic Operation s. </w:t>
      </w:r>
      <w:r>
        <w:rPr>
          <w:rFonts w:ascii="Arial" w:cs="Arial" w:eastAsia="Arial" w:hAnsi="Arial"/>
          <w:sz w:val="12"/>
          <w:szCs w:val="12"/>
          <w:color w:val="auto"/>
        </w:rPr>
        <w:t>Our direct operations are divided into approximately 155 profit centers. Each profit center processes title insurance transactions within its geographical area, which is usually identified by a county, a group of</w:t>
      </w:r>
      <w:r>
        <w:rPr>
          <w:rFonts w:ascii="Arial" w:cs="Arial" w:eastAsia="Arial" w:hAnsi="Arial"/>
          <w:sz w:val="12"/>
          <w:szCs w:val="12"/>
          <w:i w:val="1"/>
          <w:iCs w:val="1"/>
          <w:color w:val="auto"/>
        </w:rPr>
        <w:t xml:space="preserve"> </w:t>
      </w:r>
      <w:r>
        <w:rPr>
          <w:rFonts w:ascii="Arial" w:cs="Arial" w:eastAsia="Arial" w:hAnsi="Arial"/>
          <w:sz w:val="12"/>
          <w:szCs w:val="12"/>
          <w:color w:val="auto"/>
        </w:rPr>
        <w:t>counties forming a region, or a state, depending on the management structure in that part of the country. We also transact title insurance business through a network of approximately 5,500 agents, primarily in those areas in which agents are the more prevalent title insurance provider.</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the approximate dollar and percentage volumes of our title insurance premium revenue by state.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4"/>
          </w:tcPr>
          <w:p>
            <w:pPr>
              <w:jc w:val="center"/>
              <w:ind w:left="143"/>
              <w:spacing w:after="0"/>
              <w:rPr>
                <w:sz w:val="20"/>
                <w:szCs w:val="20"/>
                <w:color w:val="auto"/>
              </w:rPr>
            </w:pPr>
            <w:r>
              <w:rPr>
                <w:rFonts w:ascii="Arial" w:cs="Arial" w:eastAsia="Arial" w:hAnsi="Arial"/>
                <w:sz w:val="11"/>
                <w:szCs w:val="11"/>
                <w:b w:val="1"/>
                <w:bCs w:val="1"/>
                <w:color w:val="auto"/>
                <w:w w:val="88"/>
              </w:rPr>
              <w:t>Year Ended 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4"/>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47"/>
        </w:trPr>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4"/>
          </w:tcPr>
          <w:p>
            <w:pPr>
              <w:jc w:val="right"/>
              <w:ind w:right="240"/>
              <w:spacing w:after="0"/>
              <w:rPr>
                <w:sz w:val="20"/>
                <w:szCs w:val="20"/>
                <w:color w:val="auto"/>
              </w:rPr>
            </w:pPr>
            <w:r>
              <w:rPr>
                <w:rFonts w:ascii="Arial" w:cs="Arial" w:eastAsia="Arial" w:hAnsi="Arial"/>
                <w:sz w:val="11"/>
                <w:szCs w:val="11"/>
                <w:b w:val="1"/>
                <w:bCs w:val="1"/>
                <w:color w:val="auto"/>
              </w:rPr>
              <w:t>2010</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gridSpan w:val="3"/>
          </w:tcPr>
          <w:p>
            <w:pPr>
              <w:jc w:val="right"/>
              <w:ind w:right="880"/>
              <w:spacing w:after="0"/>
              <w:rPr>
                <w:sz w:val="20"/>
                <w:szCs w:val="20"/>
                <w:color w:val="auto"/>
              </w:rPr>
            </w:pPr>
            <w:r>
              <w:rPr>
                <w:rFonts w:ascii="Arial" w:cs="Arial" w:eastAsia="Arial" w:hAnsi="Arial"/>
                <w:sz w:val="11"/>
                <w:szCs w:val="11"/>
                <w:b w:val="1"/>
                <w:bCs w:val="1"/>
                <w:color w:val="auto"/>
                <w:w w:val="97"/>
              </w:rPr>
              <w:t>2008</w:t>
            </w:r>
          </w:p>
        </w:tc>
        <w:tc>
          <w:tcPr>
            <w:tcW w:w="140" w:type="dxa"/>
            <w:vAlign w:val="bottom"/>
          </w:tcPr>
          <w:p>
            <w:pPr>
              <w:spacing w:after="0"/>
              <w:rPr>
                <w:sz w:val="12"/>
                <w:szCs w:val="12"/>
                <w:color w:val="auto"/>
              </w:rPr>
            </w:pPr>
          </w:p>
        </w:tc>
      </w:tr>
      <w:tr>
        <w:trPr>
          <w:trHeight w:val="22"/>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4"/>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47"/>
        </w:trPr>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4"/>
          </w:tcPr>
          <w:p>
            <w:pPr>
              <w:jc w:val="right"/>
              <w:ind w:right="820"/>
              <w:spacing w:after="0"/>
              <w:rPr>
                <w:sz w:val="20"/>
                <w:szCs w:val="20"/>
                <w:color w:val="auto"/>
              </w:rPr>
            </w:pPr>
            <w:r>
              <w:rPr>
                <w:rFonts w:ascii="Arial" w:cs="Arial" w:eastAsia="Arial" w:hAnsi="Arial"/>
                <w:sz w:val="11"/>
                <w:szCs w:val="11"/>
                <w:b w:val="1"/>
                <w:bCs w:val="1"/>
                <w:color w:val="auto"/>
              </w:rPr>
              <w:t>Amount</w:t>
            </w:r>
          </w:p>
        </w:tc>
        <w:tc>
          <w:tcPr>
            <w:tcW w:w="860" w:type="dxa"/>
            <w:vAlign w:val="bottom"/>
          </w:tcPr>
          <w:p>
            <w:pPr>
              <w:jc w:val="right"/>
              <w:ind w:right="461"/>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right"/>
              <w:ind w:right="92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jc w:val="right"/>
              <w:ind w:right="26"/>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41"/>
              <w:spacing w:after="0"/>
              <w:rPr>
                <w:sz w:val="20"/>
                <w:szCs w:val="20"/>
                <w:color w:val="auto"/>
              </w:rPr>
            </w:pPr>
            <w:r>
              <w:rPr>
                <w:rFonts w:ascii="Arial" w:cs="Arial" w:eastAsia="Arial" w:hAnsi="Arial"/>
                <w:sz w:val="11"/>
                <w:szCs w:val="11"/>
                <w:b w:val="1"/>
                <w:bCs w:val="1"/>
                <w:color w:val="auto"/>
              </w:rPr>
              <w:t>Amount</w:t>
            </w:r>
          </w:p>
        </w:tc>
        <w:tc>
          <w:tcPr>
            <w:tcW w:w="120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2"/>
                <w:szCs w:val="12"/>
                <w:color w:val="auto"/>
              </w:rPr>
            </w:pPr>
          </w:p>
        </w:tc>
      </w:tr>
      <w:tr>
        <w:trPr>
          <w:trHeight w:val="22"/>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20"/>
        </w:trPr>
        <w:tc>
          <w:tcPr>
            <w:tcW w:w="4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3"/>
          </w:tcPr>
          <w:p>
            <w:pPr>
              <w:jc w:val="center"/>
              <w:ind w:left="383"/>
              <w:spacing w:after="0"/>
              <w:rPr>
                <w:sz w:val="20"/>
                <w:szCs w:val="20"/>
                <w:color w:val="auto"/>
              </w:rPr>
            </w:pPr>
            <w:r>
              <w:rPr>
                <w:rFonts w:ascii="Arial" w:cs="Arial" w:eastAsia="Arial" w:hAnsi="Arial"/>
                <w:sz w:val="10"/>
                <w:szCs w:val="10"/>
                <w:b w:val="1"/>
                <w:bCs w:val="1"/>
                <w:color w:val="auto"/>
                <w:w w:val="88"/>
              </w:rPr>
              <w:t>(Dollars in millions)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4"/>
        </w:trPr>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California</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570.0</w:t>
            </w:r>
          </w:p>
        </w:tc>
        <w:tc>
          <w:tcPr>
            <w:tcW w:w="1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691.3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473.8</w:t>
            </w: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17.6%</w:t>
            </w:r>
          </w:p>
        </w:tc>
      </w:tr>
      <w:tr>
        <w:trPr>
          <w:trHeight w:val="180"/>
        </w:trPr>
        <w:tc>
          <w:tcPr>
            <w:tcW w:w="4020" w:type="dxa"/>
            <w:vAlign w:val="bottom"/>
          </w:tcPr>
          <w:p>
            <w:pPr>
              <w:ind w:left="20"/>
              <w:spacing w:after="0"/>
              <w:rPr>
                <w:sz w:val="20"/>
                <w:szCs w:val="20"/>
                <w:color w:val="auto"/>
              </w:rPr>
            </w:pPr>
            <w:r>
              <w:rPr>
                <w:rFonts w:ascii="Arial" w:cs="Arial" w:eastAsia="Arial" w:hAnsi="Arial"/>
                <w:sz w:val="12"/>
                <w:szCs w:val="12"/>
                <w:color w:val="auto"/>
              </w:rPr>
              <w:t>Texas</w:t>
            </w:r>
          </w:p>
        </w:tc>
        <w:tc>
          <w:tcPr>
            <w:tcW w:w="2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412.1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Arial" w:cs="Arial" w:eastAsia="Arial" w:hAnsi="Arial"/>
                <w:sz w:val="12"/>
                <w:szCs w:val="12"/>
                <w:color w:val="auto"/>
              </w:rPr>
              <w:t>406.1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337.9</w:t>
            </w:r>
          </w:p>
        </w:tc>
        <w:tc>
          <w:tcPr>
            <w:tcW w:w="1340" w:type="dxa"/>
            <w:vAlign w:val="bottom"/>
            <w:gridSpan w:val="4"/>
          </w:tcPr>
          <w:p>
            <w:pPr>
              <w:jc w:val="right"/>
              <w:ind w:right="120"/>
              <w:spacing w:after="0"/>
              <w:rPr>
                <w:sz w:val="20"/>
                <w:szCs w:val="20"/>
                <w:color w:val="auto"/>
              </w:rPr>
            </w:pPr>
            <w:r>
              <w:rPr>
                <w:rFonts w:ascii="Arial" w:cs="Arial" w:eastAsia="Arial" w:hAnsi="Arial"/>
                <w:sz w:val="12"/>
                <w:szCs w:val="12"/>
                <w:color w:val="auto"/>
              </w:rPr>
              <w:t>12.5</w:t>
            </w:r>
          </w:p>
        </w:tc>
      </w:tr>
      <w:tr>
        <w:trPr>
          <w:trHeight w:val="180"/>
        </w:trPr>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New York</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284.4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272.5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40" w:type="dxa"/>
            <w:vAlign w:val="bottom"/>
            <w:shd w:val="clear" w:color="auto" w:fill="CCEEFF"/>
          </w:tcPr>
          <w:p>
            <w:pPr>
              <w:spacing w:after="0"/>
              <w:rPr>
                <w:sz w:val="15"/>
                <w:szCs w:val="15"/>
                <w:color w:val="auto"/>
              </w:rPr>
            </w:pPr>
          </w:p>
        </w:tc>
      </w:tr>
      <w:tr>
        <w:trPr>
          <w:trHeight w:val="171"/>
        </w:trPr>
        <w:tc>
          <w:tcPr>
            <w:tcW w:w="4020" w:type="dxa"/>
            <w:vAlign w:val="bottom"/>
          </w:tcPr>
          <w:p>
            <w:pPr>
              <w:ind w:left="20"/>
              <w:spacing w:after="0"/>
              <w:rPr>
                <w:sz w:val="20"/>
                <w:szCs w:val="20"/>
                <w:color w:val="auto"/>
              </w:rPr>
            </w:pPr>
            <w:r>
              <w:rPr>
                <w:rFonts w:ascii="Arial" w:cs="Arial" w:eastAsia="Arial" w:hAnsi="Arial"/>
                <w:sz w:val="12"/>
                <w:szCs w:val="12"/>
                <w:color w:val="auto"/>
              </w:rPr>
              <w:t>Florida</w:t>
            </w:r>
          </w:p>
        </w:tc>
        <w:tc>
          <w:tcPr>
            <w:tcW w:w="2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226.5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2"/>
                <w:szCs w:val="12"/>
                <w:color w:val="auto"/>
              </w:rPr>
              <w:t>224.7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208.4</w:t>
            </w:r>
          </w:p>
        </w:tc>
        <w:tc>
          <w:tcPr>
            <w:tcW w:w="1200" w:type="dxa"/>
            <w:vAlign w:val="bottom"/>
            <w:gridSpan w:val="3"/>
          </w:tcPr>
          <w:p>
            <w:pPr>
              <w:jc w:val="right"/>
              <w:spacing w:after="0"/>
              <w:rPr>
                <w:sz w:val="20"/>
                <w:szCs w:val="20"/>
                <w:color w:val="auto"/>
              </w:rPr>
            </w:pPr>
            <w:r>
              <w:rPr>
                <w:rFonts w:ascii="Arial" w:cs="Arial" w:eastAsia="Arial" w:hAnsi="Arial"/>
                <w:sz w:val="12"/>
                <w:szCs w:val="12"/>
                <w:color w:val="auto"/>
              </w:rPr>
              <w:t>7.7</w:t>
            </w:r>
          </w:p>
        </w:tc>
        <w:tc>
          <w:tcPr>
            <w:tcW w:w="140" w:type="dxa"/>
            <w:vAlign w:val="bottom"/>
          </w:tcPr>
          <w:p>
            <w:pPr>
              <w:spacing w:after="0"/>
              <w:rPr>
                <w:sz w:val="14"/>
                <w:szCs w:val="14"/>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Illinois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156.9</w:t>
            </w:r>
          </w:p>
        </w:tc>
        <w:tc>
          <w:tcPr>
            <w:tcW w:w="1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114.0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40" w:type="dxa"/>
            <w:vAlign w:val="bottom"/>
            <w:shd w:val="clear" w:color="auto" w:fill="CCEEFF"/>
          </w:tcPr>
          <w:p>
            <w:pPr>
              <w:spacing w:after="0"/>
              <w:rPr>
                <w:sz w:val="16"/>
                <w:szCs w:val="16"/>
                <w:color w:val="auto"/>
              </w:rPr>
            </w:pPr>
          </w:p>
        </w:tc>
      </w:tr>
      <w:tr>
        <w:trPr>
          <w:trHeight w:val="171"/>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All others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1,991.3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54.7</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2,219.0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56.6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1,357.2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50.4</w:t>
            </w:r>
          </w:p>
        </w:tc>
      </w:tr>
      <w:tr>
        <w:trPr>
          <w:trHeight w:val="178"/>
        </w:trPr>
        <w:tc>
          <w:tcPr>
            <w:tcW w:w="40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3,641.2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3,927.6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100.0%</w:t>
            </w:r>
          </w:p>
        </w:tc>
      </w:tr>
      <w:tr>
        <w:trPr>
          <w:trHeight w:val="27"/>
        </w:trPr>
        <w:tc>
          <w:tcPr>
            <w:tcW w:w="4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9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Escrow, Title-Related and Other Fees. </w:t>
      </w:r>
      <w:r>
        <w:rPr>
          <w:rFonts w:ascii="Arial" w:cs="Arial" w:eastAsia="Arial" w:hAnsi="Arial"/>
          <w:sz w:val="12"/>
          <w:szCs w:val="12"/>
          <w:color w:val="auto"/>
        </w:rPr>
        <w:t>In addition to fees for underwriting title insurance policies, we derive a significant amount of our revenues from escrow, title-related and other services, including closing services. The escrow</w:t>
      </w:r>
      <w:r>
        <w:rPr>
          <w:rFonts w:ascii="Arial" w:cs="Arial" w:eastAsia="Arial" w:hAnsi="Arial"/>
          <w:sz w:val="12"/>
          <w:szCs w:val="12"/>
          <w:i w:val="1"/>
          <w:iCs w:val="1"/>
          <w:color w:val="auto"/>
        </w:rPr>
        <w:t xml:space="preserve"> </w:t>
      </w:r>
      <w:r>
        <w:rPr>
          <w:rFonts w:ascii="Arial" w:cs="Arial" w:eastAsia="Arial" w:hAnsi="Arial"/>
          <w:sz w:val="12"/>
          <w:szCs w:val="12"/>
          <w:color w:val="auto"/>
        </w:rPr>
        <w:t>and other services provided by us include all of those typically required in connection with residential and commercial real estate purchases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80"/>
          </w:cols>
          <w:pgMar w:left="220" w:top="149" w:right="19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refinance activities, as well as default and appraisal services. Escrow, title-related and other fees represented approximately 23.1%, 23.2%, and 25.2% of our revenues in 2010, 2009, and 2008,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Specialty Insurance</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issue various insurance policies and contracts, which include the following:</w:t>
      </w:r>
    </w:p>
    <w:p>
      <w:pPr>
        <w:spacing w:after="0" w:line="114"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i w:val="1"/>
          <w:iCs w:val="1"/>
          <w:color w:val="auto"/>
        </w:rPr>
        <w:t xml:space="preserve">Flood insurance. </w:t>
      </w:r>
      <w:r>
        <w:rPr>
          <w:rFonts w:ascii="Arial" w:cs="Arial" w:eastAsia="Arial" w:hAnsi="Arial"/>
          <w:sz w:val="12"/>
          <w:szCs w:val="12"/>
          <w:color w:val="auto"/>
        </w:rPr>
        <w:t>We issue new and renewal flood insurance policies in conjunction with the NFIP. The NFIP bears all insurance risk related to these policies.</w:t>
      </w:r>
    </w:p>
    <w:p>
      <w:pPr>
        <w:spacing w:after="0" w:line="141" w:lineRule="exact"/>
        <w:rPr>
          <w:rFonts w:ascii="Arial" w:cs="Arial" w:eastAsia="Arial" w:hAnsi="Arial"/>
          <w:sz w:val="12"/>
          <w:szCs w:val="12"/>
          <w:color w:val="auto"/>
        </w:rPr>
      </w:pPr>
    </w:p>
    <w:p>
      <w:pPr>
        <w:ind w:left="460" w:hanging="252"/>
        <w:spacing w:after="0"/>
        <w:tabs>
          <w:tab w:leader="none" w:pos="460" w:val="left"/>
        </w:tabs>
        <w:numPr>
          <w:ilvl w:val="0"/>
          <w:numId w:val="11"/>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Home warranty. </w:t>
      </w:r>
      <w:r>
        <w:rPr>
          <w:rFonts w:ascii="Arial" w:cs="Arial" w:eastAsia="Arial" w:hAnsi="Arial"/>
          <w:sz w:val="12"/>
          <w:szCs w:val="12"/>
          <w:color w:val="auto"/>
        </w:rPr>
        <w:t>We issue one-year, renewable contracts that protect homeowners against defects in household systems and appliances.</w:t>
      </w:r>
    </w:p>
    <w:p>
      <w:pPr>
        <w:spacing w:after="0" w:line="123" w:lineRule="exact"/>
        <w:rPr>
          <w:rFonts w:ascii="Arial" w:cs="Arial" w:eastAsia="Arial" w:hAnsi="Arial"/>
          <w:sz w:val="12"/>
          <w:szCs w:val="12"/>
          <w:i w:val="1"/>
          <w:iCs w:val="1"/>
          <w:color w:val="auto"/>
        </w:rPr>
      </w:pPr>
    </w:p>
    <w:p>
      <w:pPr>
        <w:ind w:left="420" w:hanging="212"/>
        <w:spacing w:after="0" w:line="323" w:lineRule="auto"/>
        <w:tabs>
          <w:tab w:leader="none" w:pos="420" w:val="left"/>
        </w:tabs>
        <w:numPr>
          <w:ilvl w:val="0"/>
          <w:numId w:val="11"/>
        </w:numPr>
        <w:rPr>
          <w:rFonts w:ascii="Arial" w:cs="Arial" w:eastAsia="Arial" w:hAnsi="Arial"/>
          <w:sz w:val="11"/>
          <w:szCs w:val="11"/>
          <w:color w:val="auto"/>
        </w:rPr>
      </w:pPr>
      <w:r>
        <w:rPr>
          <w:rFonts w:ascii="Arial" w:cs="Arial" w:eastAsia="Arial" w:hAnsi="Arial"/>
          <w:sz w:val="11"/>
          <w:szCs w:val="11"/>
          <w:i w:val="1"/>
          <w:iCs w:val="1"/>
          <w:color w:val="auto"/>
        </w:rPr>
        <w:t xml:space="preserve">Personal lines insurance. </w:t>
      </w:r>
      <w:r>
        <w:rPr>
          <w:rFonts w:ascii="Arial" w:cs="Arial" w:eastAsia="Arial" w:hAnsi="Arial"/>
          <w:sz w:val="11"/>
          <w:szCs w:val="11"/>
          <w:color w:val="auto"/>
        </w:rPr>
        <w:t>We offer and underwrite homeowners’ insurance in all 50 states. Automobile insurance is currently underwritten in 31 states. We may expand into a limited number of additional states in 2011 where</w:t>
      </w:r>
      <w:r>
        <w:rPr>
          <w:rFonts w:ascii="Arial" w:cs="Arial" w:eastAsia="Arial" w:hAnsi="Arial"/>
          <w:sz w:val="11"/>
          <w:szCs w:val="11"/>
          <w:i w:val="1"/>
          <w:iCs w:val="1"/>
          <w:color w:val="auto"/>
        </w:rPr>
        <w:t xml:space="preserve"> </w:t>
      </w:r>
      <w:r>
        <w:rPr>
          <w:rFonts w:ascii="Arial" w:cs="Arial" w:eastAsia="Arial" w:hAnsi="Arial"/>
          <w:sz w:val="11"/>
          <w:szCs w:val="11"/>
          <w:color w:val="auto"/>
        </w:rPr>
        <w:t>favorable underwriting potential exists. In addition, we underwrite personal umbrella, inland marine (boat and recreational watercraft), and other personal lines niche products in selected markets.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Our sales and marketing efforts are primarily organized around our lines of business.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2"/>
          <w:szCs w:val="12"/>
          <w:i w:val="1"/>
          <w:iCs w:val="1"/>
          <w:color w:val="auto"/>
        </w:rPr>
        <w:t>Fidelity National Title Group</w:t>
      </w:r>
    </w:p>
    <w:p>
      <w:pPr>
        <w:spacing w:after="0" w:line="114"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We market and distribute our title and escrow products and services to customers in the residential and commercial market sectors 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 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have become an increasingly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2"/>
          <w:szCs w:val="12"/>
          <w:i w:val="1"/>
          <w:iCs w:val="1"/>
          <w:color w:val="auto"/>
        </w:rPr>
        <w:t>Specialty Insurance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1"/>
          <w:szCs w:val="11"/>
          <w:color w:val="auto"/>
        </w:rPr>
        <w:t>Specialty insurance is marketed through three distinct channels. We market our program through our in-house agency via direct mail to customers of our affiliated operations. This direct channel constituted approximately 10% of our</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non-flood premium writings in 2010, 13% in 2009 and 15% in 2008. The second distribution channel is through independent agents and brokers nationwide. Approximately 89%, 86%, and 83% of our non-flood premium and the vast majority of our flood business was placed through this channel in 2010, 2009, and 2008, respectively. We currently have in excess of 20,000 independent agencies nationwide actively producing business on our behalf. The third distribution channel is through independent agents in California who represent only FNF (“captive independent agents”). This channel, comprised of 10 captive independent agents at the end of 2010, accounted for 1%, 1%, and 2% of the non-flood premium volume in 2010, 2009, and 2008,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Claims</w:t>
      </w:r>
    </w:p>
    <w:p>
      <w:pPr>
        <w:spacing w:after="0" w:line="118"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2"/>
          <w:szCs w:val="12"/>
          <w:color w:val="auto"/>
        </w:rPr>
        <w:t>An important part of our operations is the handling of title and escrow claims. We employ a staff of approximately 450 employees in our claims department, over 200 of which are attorneys. We also use the services of outside attorneys. Our claims proces sing centers are located in Omaha, Nebraska and Jacksonville, Florida. We also have a clearance center located in Texas, which is responsible for handling minor claims issues. In-house claims counsels who handle larger claims are also located in other parts of the country.</w:t>
      </w:r>
    </w:p>
    <w:p>
      <w:pPr>
        <w:spacing w:after="0" w:line="87" w:lineRule="exact"/>
        <w:rPr>
          <w:sz w:val="20"/>
          <w:szCs w:val="20"/>
          <w:color w:val="auto"/>
        </w:rPr>
      </w:pPr>
    </w:p>
    <w:p>
      <w:pPr>
        <w:jc w:val="both"/>
        <w:ind w:firstLine="246"/>
        <w:spacing w:after="0" w:line="290" w:lineRule="auto"/>
        <w:rPr>
          <w:sz w:val="20"/>
          <w:szCs w:val="20"/>
          <w:color w:val="auto"/>
        </w:rPr>
      </w:pPr>
      <w:r>
        <w:rPr>
          <w:rFonts w:ascii="Arial" w:cs="Arial" w:eastAsia="Arial" w:hAnsi="Arial"/>
          <w:sz w:val="11"/>
          <w:szCs w:val="11"/>
          <w:color w:val="auto"/>
        </w:rPr>
        <w:t>Claims result from a wide range of causes. These causes generally include, but are not limited to, forgeries, incorrect legal descriptions, signature and notary errors, unrecorded liens, mechanics’ liens, the failure to pay off existing liens, mortgage lending fraud, mishandling or theft of settlement funds (including independent agency defalcations), and mistakes in the escrow process. Under our policies, we are required to defend insureds when covered claims are filed against their inte 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six years after the policy has been issued, although claims are also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80"/>
          </w:cols>
          <w:pgMar w:left="220" w:top="149" w:right="19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incurred and paid many years later.</w:t>
      </w:r>
    </w:p>
    <w:p>
      <w:pPr>
        <w:spacing w:after="0" w:line="114" w:lineRule="exact"/>
        <w:rPr>
          <w:sz w:val="20"/>
          <w:szCs w:val="20"/>
          <w:color w:val="auto"/>
        </w:rPr>
      </w:pPr>
    </w:p>
    <w:p>
      <w:pPr>
        <w:jc w:val="both"/>
        <w:ind w:firstLine="216"/>
        <w:spacing w:after="0" w:line="380" w:lineRule="auto"/>
        <w:rPr>
          <w:sz w:val="20"/>
          <w:szCs w:val="20"/>
          <w:color w:val="auto"/>
        </w:rPr>
      </w:pPr>
      <w:r>
        <w:rPr>
          <w:rFonts w:ascii="Arial" w:cs="Arial" w:eastAsia="Arial" w:hAnsi="Arial"/>
          <w:sz w:val="10"/>
          <w:szCs w:val="10"/>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32" w:lineRule="exact"/>
        <w:rPr>
          <w:sz w:val="20"/>
          <w:szCs w:val="20"/>
          <w:color w:val="auto"/>
        </w:rPr>
      </w:pPr>
    </w:p>
    <w:p>
      <w:pPr>
        <w:jc w:val="both"/>
        <w:ind w:firstLine="216"/>
        <w:spacing w:after="0" w:line="327" w:lineRule="auto"/>
        <w:rPr>
          <w:sz w:val="20"/>
          <w:szCs w:val="20"/>
          <w:color w:val="auto"/>
        </w:rPr>
      </w:pPr>
      <w:r>
        <w:rPr>
          <w:rFonts w:ascii="Arial" w:cs="Arial" w:eastAsia="Arial" w:hAnsi="Arial"/>
          <w:sz w:val="10"/>
          <w:szCs w:val="10"/>
          <w:color w:val="auto"/>
        </w:rPr>
        <w:t>Claims are sometimes complex, vary greatly in dollar amounts and are affected by economic and market conditions and the legal environmen 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However,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 insurance and Coinsurance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1"/>
          <w:szCs w:val="11"/>
          <w:color w:val="auto"/>
        </w:rPr>
        <w:t>We limit our maximum loss exposure by reinsuring risks with other insurers under excess of loss and case-by-case (“facultative”) reinsurance agreements. Reinsurance agreements provide generally that the reinsurer is liable for loss</w:t>
      </w:r>
    </w:p>
    <w:p>
      <w:pPr>
        <w:spacing w:after="0" w:line="5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and loss adjustment expense payments exceeding the amount retained by the ceding company. However, the ceding company remains primarily liable in the event the reinsurer does not meet its contractual obligations. Facultative reinsurance agreements are entered into with other title insurers when the transaction to be insured will exceed state statutory or self-imposed limits. Excess of loss reinsurance protects us from a loss from a single occurrence. For 2011, our excess of loss coverage is split int o two tiers. The first tier applies to losses in excess of a $10 million retention up to an aggregate of $100 million in loss from a single occurrence. Above a $100 million total loss, the second tier of our current excess of loss reinsurance program provides additional coverage on commercial transactions above the first $100 million of loss from any occurrence up to $400 million per occurrence, with the Company participating at 27%.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 addition to reinsurance, we carry errors and omissions insurance and fidelity bond coverage, each of which can provide protection to us in the event of certain types of losses that can occur in our businesses.</w:t>
      </w:r>
    </w:p>
    <w:p>
      <w:pPr>
        <w:spacing w:after="0" w:line="168"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2"/>
          <w:szCs w:val="12"/>
          <w:color w:val="auto"/>
        </w:rPr>
        <w:t>Our policy is to be selective in choosing our reinsurers, seeking only those companies that we consider to be financially stable and adequately capitalized. In an effort to minimize exposure to the insolvency of a reinsurer, we review the financial condition of our reinsurers.</w:t>
      </w:r>
    </w:p>
    <w:p>
      <w:pPr>
        <w:spacing w:after="0" w:line="6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also earn a small amount of additional income, which is reflected in our direct premiums, by assuming reinsurance for certain risks of other title insurers.</w:t>
      </w:r>
    </w:p>
    <w:p>
      <w:pPr>
        <w:spacing w:after="0" w:line="123"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2"/>
          <w:szCs w:val="12"/>
          <w:color w:val="auto"/>
        </w:rPr>
        <w:t>In our property and casualty lines of business, we purchase catastrophic reinsurance coverage in the amount of $75 million in excess of a $10 million retention. In addition, we are required to participate in the Florida Hurricane Catastrophe Fund resulting in coverage of approximately $8.5 million in excess of $2 million retention. We also have a quota share agreement where we cede 80% of risks that exceed a coverage value of $750 thousand and a quota share agreement where we cede 50% of our umbrella busines 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Patents, Trademarks and Other Intellectual Property</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0"/>
          <w:szCs w:val="10"/>
          <w:color w:val="auto"/>
        </w:rPr>
        <w:t>We rely on a combination of contractual restrictions, internal security practices, and copyright and trade secret law to establish and protect our software, technology, and expertise. Further, we have developed a number of brands that</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Technology and Research and Development</w:t>
      </w:r>
    </w:p>
    <w:p>
      <w:pPr>
        <w:spacing w:after="0" w:line="118" w:lineRule="exact"/>
        <w:rPr>
          <w:sz w:val="20"/>
          <w:szCs w:val="20"/>
          <w:color w:val="auto"/>
        </w:rPr>
      </w:pPr>
    </w:p>
    <w:p>
      <w:pPr>
        <w:jc w:val="both"/>
        <w:ind w:right="20" w:firstLine="219"/>
        <w:spacing w:after="0" w:line="339" w:lineRule="auto"/>
        <w:rPr>
          <w:sz w:val="20"/>
          <w:szCs w:val="20"/>
          <w:color w:val="auto"/>
        </w:rPr>
      </w:pPr>
      <w:r>
        <w:rPr>
          <w:rFonts w:ascii="Arial" w:cs="Arial" w:eastAsia="Arial" w:hAnsi="Arial"/>
          <w:sz w:val="12"/>
          <w:szCs w:val="12"/>
          <w:color w:val="auto"/>
        </w:rPr>
        <w:t>As a national provider of real estate transaction products and services, we participate in a dynamic industry that is subject to significant regulatory requirements, frequent new product and service introductions, and evolving industry standards. We believe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80"/>
          </w:cols>
          <w:pgMar w:left="220" w:top="149" w:right="19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 In order to meet new regulatory requi rements, we also continue to expand our data collection and reporting abilities.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Fidelity National Title Group</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Competition in the title insurance industry is based primarily on expertise, service and price. In addition, the financial strength of the insurer has become an increasingly important factor in decisions relating to the purchase of title</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insurance, particularly in multi-state transactions and in situations involving real es tate-related investment vehicles such as real estate investment trusts and real estate mortgage investment conduits. The number and size of competing companies varies in the different geographic areas in which we conduct our business. In our principal markets, competitors include other major title underwriters such as First American Financial Corporation, Old Republic International Corporation and Stewart Information Services Corporation, as well as numerous smaller title insurance companies, underwritten title companies and independent agency operations at the regional and local level. Independent agency operations account for 61.4% of our total title insurance premiums. Several of the smaller competitors have closed their operations in the past few years as a result of the significant decrease in activity in th e residential real estate market. Also, the removal of regulatory barriers might result in new competitors entering the title insurance business, and those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Specialty Insurance</w:t>
      </w:r>
    </w:p>
    <w:p>
      <w:pPr>
        <w:spacing w:after="0" w:line="154"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2"/>
          <w:szCs w:val="12"/>
          <w:color w:val="auto"/>
        </w:rPr>
        <w:t>In our specia lty insurance segment, we compete with the national, regional and local insurance carriers. Depending on geographic location, various personal lines carriers, such as State Farm, Allstate, Farmers, Travelers, Hartford, Nationwide and numerous other companies compete for this personal lines business. In our home warranty business, our competitors include American Home Shield and The First American Corporation. In addition to price, service and convenience are competitive factors. We strive to compete primarily through providing an efficient and streamlined product delivery platform.</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w:t>
      </w:r>
    </w:p>
    <w:p>
      <w:pPr>
        <w:spacing w:after="0" w:line="154"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1"/>
          <w:szCs w:val="11"/>
          <w:color w:val="auto"/>
        </w:rPr>
        <w:t>Our insurance subsidiaries, including title insurers, property and casualty insurers, underwritten title companies and insurance agencies, are subject to extensive regulation 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7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Since we are governed by both state and federal governments and the applicable insurance laws and regulations are constantly subject to change, it is not possible to predict the potential effects on our insurance operations, particularly our Fidelity National Title Group segment, of any laws or regulations that may become more restrictive in the future or if new restrictive laws will be enacted.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Pursuant to statutory accounting requirements of the various states in which our title insurers are domiciled, these insurers must defer a portion of premiums as an unearned premium reserve for the protection of policyholders (in</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addition to their reserves for known claims)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2010, the combined statutory unearned premium reserve required and reported for our title insurers was $1,994.0 million. In addition to statutory unearned premium reserves and reserves for known claims, each of our insurers maintains surplus funds for policyholder protection and business operations.</w:t>
      </w:r>
    </w:p>
    <w:p>
      <w:pPr>
        <w:spacing w:after="0" w:line="8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149" w:right="19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authorities, and certain of these examinations are currently ongoing.</w:t>
      </w:r>
    </w:p>
    <w:p>
      <w:pPr>
        <w:spacing w:after="0" w:line="11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As a holding company with no significant business operations of our own, we depend on dividends or other distributions from our subsidiaries as the principal source of cash to meet our obligations, including the payment of interest</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and repayment of principal of any debt obligations, and to pay any dividends to our stockholders. The payment of dividends or other distributions to us by our insurers is regulated by the insurance laws and regulations of their respective states of d 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89" w:lineRule="exact"/>
        <w:rPr>
          <w:sz w:val="20"/>
          <w:szCs w:val="20"/>
          <w:color w:val="auto"/>
        </w:rPr>
      </w:pPr>
    </w:p>
    <w:p>
      <w:pPr>
        <w:ind w:left="460" w:hanging="2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10% of the insurer’s statutory surplus as of the immediately prior year end; or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statutory net income of the insurer during the prior calendar year.</w:t>
      </w:r>
    </w:p>
    <w:p>
      <w:pPr>
        <w:spacing w:after="0" w:line="114" w:lineRule="exact"/>
        <w:rPr>
          <w:sz w:val="20"/>
          <w:szCs w:val="20"/>
          <w:color w:val="auto"/>
        </w:rPr>
      </w:pPr>
    </w:p>
    <w:p>
      <w:pPr>
        <w:jc w:val="both"/>
        <w:ind w:firstLine="246"/>
        <w:spacing w:after="0" w:line="298" w:lineRule="auto"/>
        <w:rPr>
          <w:sz w:val="20"/>
          <w:szCs w:val="20"/>
          <w:color w:val="auto"/>
        </w:rPr>
      </w:pPr>
      <w:r>
        <w:rPr>
          <w:rFonts w:ascii="Arial" w:cs="Arial" w:eastAsia="Arial" w:hAnsi="Arial"/>
          <w:sz w:val="11"/>
          <w:szCs w:val="11"/>
          <w:color w:val="auto"/>
        </w:rPr>
        <w:t>The laws and regula tions of some jurisdictions also prohibit an insurer from declaring or paying a dividend except out of its earned surplus or require the insurer to obtain prior regulatory approval. During 2011, our directly owned title insurers can pay dividends or make distributions to us of approximately $76.1 million without prior regulatory approval; however, insurance regulators have the authority to prohibit the payment of ordinary dividends or other payments by our title insurers to us (such as a payment under a tax sharing agreement or for employee or other services) if they determine that such payment could be adverse t o our policyholders.</w:t>
      </w:r>
    </w:p>
    <w:p>
      <w:pPr>
        <w:spacing w:after="0" w:line="6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combined statutory capital and surplus of our title insurers was $1,129.5 million and $988.2 million as of December 31, 2010 and 2009, respectively. The combined statutory (loss) earnings of our title insurers were $(46.6) million, $237.2 million, and $(170.5) million for the years ended December 31, 2010, 2009, and 2008, respectively.</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As a condition to continued authority to underwrite policies in the states in which our insurers conduct their business, they are required to pay certain fees and file information regarding their officers, directors and financial conditi on.</w:t>
      </w:r>
    </w:p>
    <w:p>
      <w:pPr>
        <w:spacing w:after="0" w:line="126" w:lineRule="exact"/>
        <w:rPr>
          <w:sz w:val="20"/>
          <w:szCs w:val="20"/>
          <w:color w:val="auto"/>
        </w:rPr>
      </w:pPr>
    </w:p>
    <w:p>
      <w:pPr>
        <w:jc w:val="both"/>
        <w:ind w:firstLine="237"/>
        <w:spacing w:after="0" w:line="339" w:lineRule="auto"/>
        <w:rPr>
          <w:sz w:val="20"/>
          <w:szCs w:val="20"/>
          <w:color w:val="auto"/>
        </w:rPr>
      </w:pPr>
      <w:r>
        <w:rPr>
          <w:rFonts w:ascii="Arial" w:cs="Arial" w:eastAsia="Arial" w:hAnsi="Arial"/>
          <w:sz w:val="12"/>
          <w:szCs w:val="12"/>
          <w:color w:val="auto"/>
        </w:rPr>
        <w:t>Pursuant to statutory requirements of the various states in which our insurers are domiciled, they must maintain certain levels of minimum capital and surplus. Each of our insurers has complied with the minimum statutory requirements as of December 31, 2010.</w:t>
      </w:r>
    </w:p>
    <w:p>
      <w:pPr>
        <w:spacing w:after="0" w:line="160"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Our underwritten title companies are also subject to certain regulation by insurance regulatory or banking authorities, primarily relating to minimum net worth. Minimum net worth requirements for each underwritten title company are as follows: $7.5 million for Fidelity National Title Company, $2.5 million for Fidelity National Title Company of California, $3.0 million for Chicago Title Company, and $0.4 million for Ticor Title Company of California, Commonwealth Land Title Company, and Lawyers Title Company. These companies were in compliance with their respective minimum net worth requirements at December 31, 2010.</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0"/>
          <w:szCs w:val="10"/>
          <w:color w:val="auto"/>
        </w:rPr>
        <w:t>We receive inquiries and requests for information from state insurance departments, attorneys general and other regulatory agencies from time to time about various matters relating to our business. Sometimes these take the form of</w:t>
      </w:r>
    </w:p>
    <w:p>
      <w:pPr>
        <w:spacing w:after="0" w:line="6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civil investigative subpoenas. We attempt to cooperate with all such inquiries. From time to time, we are assessed fines for violations of regulations or other matters or enter into settlements with such authorities which require us to pay money or take other actions. For a discussion of certain pending matters, see Item 3, Legal Proceedings.</w:t>
      </w:r>
    </w:p>
    <w:p>
      <w:pPr>
        <w:spacing w:after="0" w:line="79"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Before a person can acquire control of a U.S. insurance company, prior written approval must be ob 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131" w:right="19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would likely apply to such a transaction.</w:t>
      </w:r>
    </w:p>
    <w:p>
      <w:pPr>
        <w:spacing w:after="0" w:line="114" w:lineRule="exact"/>
        <w:rPr>
          <w:sz w:val="20"/>
          <w:szCs w:val="20"/>
          <w:color w:val="auto"/>
        </w:rPr>
      </w:pPr>
    </w:p>
    <w:p>
      <w:pPr>
        <w:jc w:val="both"/>
        <w:ind w:firstLine="219"/>
        <w:spacing w:after="0" w:line="339" w:lineRule="auto"/>
        <w:rPr>
          <w:sz w:val="20"/>
          <w:szCs w:val="20"/>
          <w:color w:val="auto"/>
        </w:rPr>
      </w:pPr>
      <w:r>
        <w:rPr>
          <w:rFonts w:ascii="Arial" w:cs="Arial" w:eastAsia="Arial" w:hAnsi="Arial"/>
          <w:sz w:val="12"/>
          <w:szCs w:val="12"/>
          <w:color w:val="auto"/>
        </w:rPr>
        <w:t>The NAIC has adopted an instruction requirin 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Ratings</w:t>
      </w:r>
    </w:p>
    <w:p>
      <w:pPr>
        <w:spacing w:after="0" w:line="118"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2"/>
          <w:szCs w:val="12"/>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Alamo Ti tle, Chicago Title, Commonwealth Land Title, and Fidelity National Title. Standard &amp; Poor’s Ratings Group (“S&amp;P”), Moody’s Investors Service (“Moody’s”), and A. M. Best Company ("A.M. Best") provide ratings for the entire FNF family of companies as a whole as follows:</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40"/>
        </w:trPr>
        <w:tc>
          <w:tcPr>
            <w:tcW w:w="772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S&amp;P</w:t>
            </w:r>
          </w:p>
        </w:tc>
        <w:tc>
          <w:tcPr>
            <w:tcW w:w="12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Moody’s</w:t>
            </w:r>
          </w:p>
        </w:tc>
        <w:tc>
          <w:tcPr>
            <w:tcW w:w="1040" w:type="dxa"/>
            <w:vAlign w:val="bottom"/>
          </w:tcPr>
          <w:p>
            <w:pPr>
              <w:jc w:val="center"/>
              <w:ind w:left="123"/>
              <w:spacing w:after="0"/>
              <w:rPr>
                <w:sz w:val="20"/>
                <w:szCs w:val="20"/>
                <w:color w:val="auto"/>
              </w:rPr>
            </w:pPr>
            <w:r>
              <w:rPr>
                <w:rFonts w:ascii="Arial" w:cs="Arial" w:eastAsia="Arial" w:hAnsi="Arial"/>
                <w:sz w:val="11"/>
                <w:szCs w:val="11"/>
                <w:b w:val="1"/>
                <w:bCs w:val="1"/>
                <w:color w:val="auto"/>
                <w:w w:val="91"/>
              </w:rPr>
              <w:t>A.M. Best</w:t>
            </w:r>
          </w:p>
        </w:tc>
      </w:tr>
      <w:tr>
        <w:trPr>
          <w:trHeight w:val="22"/>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1"/>
        </w:trPr>
        <w:tc>
          <w:tcPr>
            <w:tcW w:w="7720" w:type="dxa"/>
            <w:vAlign w:val="bottom"/>
          </w:tcPr>
          <w:p>
            <w:pPr>
              <w:ind w:left="20"/>
              <w:spacing w:after="0"/>
              <w:rPr>
                <w:sz w:val="20"/>
                <w:szCs w:val="20"/>
                <w:color w:val="auto"/>
              </w:rPr>
            </w:pPr>
            <w:r>
              <w:rPr>
                <w:rFonts w:ascii="Arial" w:cs="Arial" w:eastAsia="Arial" w:hAnsi="Arial"/>
                <w:sz w:val="12"/>
                <w:szCs w:val="12"/>
                <w:color w:val="auto"/>
              </w:rPr>
              <w:t>FNF family of companies</w:t>
            </w:r>
          </w:p>
        </w:tc>
        <w:tc>
          <w:tcPr>
            <w:tcW w:w="128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A-</w:t>
            </w:r>
          </w:p>
        </w:tc>
        <w:tc>
          <w:tcPr>
            <w:tcW w:w="1260" w:type="dxa"/>
            <w:vAlign w:val="bottom"/>
            <w:gridSpan w:val="2"/>
          </w:tcPr>
          <w:p>
            <w:pPr>
              <w:jc w:val="center"/>
              <w:ind w:right="60"/>
              <w:spacing w:after="0"/>
              <w:rPr>
                <w:sz w:val="20"/>
                <w:szCs w:val="20"/>
                <w:color w:val="auto"/>
              </w:rPr>
            </w:pPr>
            <w:r>
              <w:rPr>
                <w:rFonts w:ascii="Arial" w:cs="Arial" w:eastAsia="Arial" w:hAnsi="Arial"/>
                <w:sz w:val="12"/>
                <w:szCs w:val="12"/>
                <w:color w:val="auto"/>
              </w:rPr>
              <w:t>A3</w:t>
            </w:r>
          </w:p>
        </w:tc>
        <w:tc>
          <w:tcPr>
            <w:tcW w:w="1040" w:type="dxa"/>
            <w:vAlign w:val="bottom"/>
          </w:tcPr>
          <w:p>
            <w:pPr>
              <w:jc w:val="center"/>
              <w:ind w:left="123"/>
              <w:spacing w:after="0"/>
              <w:rPr>
                <w:sz w:val="20"/>
                <w:szCs w:val="20"/>
                <w:color w:val="auto"/>
              </w:rPr>
            </w:pPr>
            <w:r>
              <w:rPr>
                <w:rFonts w:ascii="Arial" w:cs="Arial" w:eastAsia="Arial" w:hAnsi="Arial"/>
                <w:sz w:val="12"/>
                <w:szCs w:val="12"/>
                <w:color w:val="auto"/>
              </w:rPr>
              <w:t>A-</w:t>
            </w:r>
          </w:p>
        </w:tc>
      </w:tr>
      <w:tr>
        <w:trPr>
          <w:trHeight w:val="306"/>
        </w:trPr>
        <w:tc>
          <w:tcPr>
            <w:tcW w:w="7720" w:type="dxa"/>
            <w:vAlign w:val="bottom"/>
          </w:tcPr>
          <w:p>
            <w:pPr>
              <w:spacing w:after="0"/>
              <w:rPr>
                <w:sz w:val="20"/>
                <w:szCs w:val="20"/>
                <w:color w:val="auto"/>
              </w:rPr>
            </w:pPr>
            <w:r>
              <w:rPr>
                <w:rFonts w:ascii="Arial" w:cs="Arial" w:eastAsia="Arial" w:hAnsi="Arial"/>
                <w:sz w:val="12"/>
                <w:szCs w:val="12"/>
                <w:color w:val="auto"/>
              </w:rPr>
              <w:t>The relative position of each of our ratings among the ratings scale assigned by each rating agency is as follows: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35" w:lineRule="exact"/>
        <w:rPr>
          <w:sz w:val="20"/>
          <w:szCs w:val="20"/>
          <w:color w:val="auto"/>
        </w:rPr>
      </w:pPr>
    </w:p>
    <w:p>
      <w:pPr>
        <w:ind w:left="460" w:hanging="252"/>
        <w:spacing w:after="0"/>
        <w:tabs>
          <w:tab w:leader="none" w:pos="4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 S&amp;P "A-" rating is the eighth highest rating of 25 ratings for S&amp;P. S&amp;P states that an “A-” rating means that, in its opinion, the insurer is highly likely to have the ability to meet its financial obligations.</w:t>
      </w:r>
    </w:p>
    <w:p>
      <w:pPr>
        <w:spacing w:after="0" w:line="150" w:lineRule="exact"/>
        <w:rPr>
          <w:rFonts w:ascii="Arial" w:cs="Arial" w:eastAsia="Arial" w:hAnsi="Arial"/>
          <w:sz w:val="12"/>
          <w:szCs w:val="12"/>
          <w:color w:val="auto"/>
        </w:rPr>
      </w:pPr>
    </w:p>
    <w:p>
      <w:pPr>
        <w:ind w:left="460" w:hanging="252"/>
        <w:spacing w:after="0"/>
        <w:tabs>
          <w:tab w:leader="none" w:pos="4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Moody's "A3" rating is the twelfth highest rating of 33 ratings for Moody's. Moody's states that insurance companies rated “A3” offer good financial security.</w:t>
      </w:r>
    </w:p>
    <w:p>
      <w:pPr>
        <w:spacing w:after="0" w:line="150" w:lineRule="exact"/>
        <w:rPr>
          <w:rFonts w:ascii="Arial" w:cs="Arial" w:eastAsia="Arial" w:hAnsi="Arial"/>
          <w:sz w:val="12"/>
          <w:szCs w:val="12"/>
          <w:color w:val="auto"/>
        </w:rPr>
      </w:pPr>
    </w:p>
    <w:p>
      <w:pPr>
        <w:ind w:left="40" w:firstLine="168"/>
        <w:spacing w:after="0" w:line="276" w:lineRule="auto"/>
        <w:tabs>
          <w:tab w:leader="none" w:pos="4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 A.M. Best "A-" rating is the fourth highest rating of 15 ratings for A.M. Best. A.M. Best states that its “A- (Excellent)” rating is assigned to those companies that have, in its opinion, an excellent ability to meet their ongoing obligations to policyholders.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60" w:type="dxa"/>
            <w:vAlign w:val="bottom"/>
          </w:tcPr>
          <w:p>
            <w:pPr>
              <w:spacing w:after="0"/>
              <w:rPr>
                <w:sz w:val="13"/>
                <w:szCs w:val="13"/>
                <w:color w:val="auto"/>
              </w:rPr>
            </w:pPr>
          </w:p>
        </w:tc>
        <w:tc>
          <w:tcPr>
            <w:tcW w:w="9020" w:type="dxa"/>
            <w:vAlign w:val="bottom"/>
          </w:tcPr>
          <w:p>
            <w:pPr>
              <w:ind w:left="220"/>
              <w:spacing w:after="0"/>
              <w:rPr>
                <w:sz w:val="20"/>
                <w:szCs w:val="20"/>
                <w:color w:val="auto"/>
              </w:rPr>
            </w:pPr>
            <w:r>
              <w:rPr>
                <w:rFonts w:ascii="Arial" w:cs="Arial" w:eastAsia="Arial" w:hAnsi="Arial"/>
                <w:sz w:val="12"/>
                <w:szCs w:val="12"/>
                <w:color w:val="auto"/>
              </w:rPr>
              <w:t>Demotech provides financial strength/stability rat ings for each of our principal title insurance underwriters individually, as follows:</w:t>
            </w:r>
          </w:p>
        </w:tc>
      </w:tr>
      <w:tr>
        <w:trPr>
          <w:trHeight w:val="126"/>
        </w:trPr>
        <w:tc>
          <w:tcPr>
            <w:tcW w:w="2460" w:type="dxa"/>
            <w:vAlign w:val="bottom"/>
          </w:tcPr>
          <w:p>
            <w:pPr>
              <w:spacing w:after="0"/>
              <w:rPr>
                <w:sz w:val="10"/>
                <w:szCs w:val="10"/>
                <w:color w:val="auto"/>
              </w:rPr>
            </w:pPr>
          </w:p>
        </w:tc>
        <w:tc>
          <w:tcPr>
            <w:tcW w:w="9020" w:type="dxa"/>
            <w:vAlign w:val="bottom"/>
          </w:tcPr>
          <w:p>
            <w:pPr>
              <w:spacing w:after="0"/>
              <w:rPr>
                <w:sz w:val="10"/>
                <w:szCs w:val="10"/>
                <w:color w:val="auto"/>
              </w:rPr>
            </w:pPr>
          </w:p>
        </w:tc>
      </w:tr>
      <w:tr>
        <w:trPr>
          <w:trHeight w:val="180"/>
        </w:trPr>
        <w:tc>
          <w:tcPr>
            <w:tcW w:w="2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Alamo Title Insurance</w:t>
            </w:r>
          </w:p>
        </w:tc>
        <w:tc>
          <w:tcPr>
            <w:tcW w:w="9020" w:type="dxa"/>
            <w:vAlign w:val="bottom"/>
            <w:shd w:val="clear" w:color="auto" w:fill="CCEEFF"/>
          </w:tcPr>
          <w:p>
            <w:pPr>
              <w:ind w:left="8440"/>
              <w:spacing w:after="0"/>
              <w:rPr>
                <w:sz w:val="20"/>
                <w:szCs w:val="20"/>
                <w:color w:val="auto"/>
              </w:rPr>
            </w:pPr>
            <w:r>
              <w:rPr>
                <w:rFonts w:ascii="Arial" w:cs="Arial" w:eastAsia="Arial" w:hAnsi="Arial"/>
                <w:sz w:val="12"/>
                <w:szCs w:val="12"/>
                <w:color w:val="auto"/>
              </w:rPr>
              <w:t>A’</w:t>
            </w:r>
          </w:p>
        </w:tc>
      </w:tr>
      <w:tr>
        <w:trPr>
          <w:trHeight w:val="171"/>
        </w:trPr>
        <w:tc>
          <w:tcPr>
            <w:tcW w:w="2460" w:type="dxa"/>
            <w:vAlign w:val="bottom"/>
          </w:tcPr>
          <w:p>
            <w:pPr>
              <w:ind w:left="220"/>
              <w:spacing w:after="0"/>
              <w:rPr>
                <w:sz w:val="20"/>
                <w:szCs w:val="20"/>
                <w:color w:val="auto"/>
              </w:rPr>
            </w:pPr>
            <w:r>
              <w:rPr>
                <w:rFonts w:ascii="Arial" w:cs="Arial" w:eastAsia="Arial" w:hAnsi="Arial"/>
                <w:sz w:val="12"/>
                <w:szCs w:val="12"/>
                <w:color w:val="auto"/>
              </w:rPr>
              <w:t>Chicago Title Insurance Co.</w:t>
            </w:r>
          </w:p>
        </w:tc>
        <w:tc>
          <w:tcPr>
            <w:tcW w:w="9020" w:type="dxa"/>
            <w:vAlign w:val="bottom"/>
          </w:tcPr>
          <w:p>
            <w:pPr>
              <w:ind w:left="8440"/>
              <w:spacing w:after="0"/>
              <w:rPr>
                <w:sz w:val="20"/>
                <w:szCs w:val="20"/>
                <w:color w:val="auto"/>
              </w:rPr>
            </w:pPr>
            <w:r>
              <w:rPr>
                <w:rFonts w:ascii="Arial" w:cs="Arial" w:eastAsia="Arial" w:hAnsi="Arial"/>
                <w:sz w:val="12"/>
                <w:szCs w:val="12"/>
                <w:color w:val="auto"/>
              </w:rPr>
              <w:t>A”</w:t>
            </w:r>
          </w:p>
        </w:tc>
      </w:tr>
      <w:tr>
        <w:trPr>
          <w:trHeight w:val="189"/>
        </w:trPr>
        <w:tc>
          <w:tcPr>
            <w:tcW w:w="2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Commonwealth Land Title Insurance Co.</w:t>
            </w:r>
          </w:p>
        </w:tc>
        <w:tc>
          <w:tcPr>
            <w:tcW w:w="9020" w:type="dxa"/>
            <w:vAlign w:val="bottom"/>
            <w:shd w:val="clear" w:color="auto" w:fill="CCEEFF"/>
          </w:tcPr>
          <w:p>
            <w:pPr>
              <w:ind w:left="8440"/>
              <w:spacing w:after="0"/>
              <w:rPr>
                <w:sz w:val="20"/>
                <w:szCs w:val="20"/>
                <w:color w:val="auto"/>
              </w:rPr>
            </w:pPr>
            <w:r>
              <w:rPr>
                <w:rFonts w:ascii="Arial" w:cs="Arial" w:eastAsia="Arial" w:hAnsi="Arial"/>
                <w:sz w:val="12"/>
                <w:szCs w:val="12"/>
                <w:color w:val="auto"/>
              </w:rPr>
              <w:t>A</w:t>
            </w:r>
          </w:p>
        </w:tc>
      </w:tr>
      <w:tr>
        <w:trPr>
          <w:trHeight w:val="162"/>
        </w:trPr>
        <w:tc>
          <w:tcPr>
            <w:tcW w:w="2460" w:type="dxa"/>
            <w:vAlign w:val="bottom"/>
          </w:tcPr>
          <w:p>
            <w:pPr>
              <w:ind w:left="220"/>
              <w:spacing w:after="0"/>
              <w:rPr>
                <w:sz w:val="20"/>
                <w:szCs w:val="20"/>
                <w:color w:val="auto"/>
              </w:rPr>
            </w:pPr>
            <w:r>
              <w:rPr>
                <w:rFonts w:ascii="Arial" w:cs="Arial" w:eastAsia="Arial" w:hAnsi="Arial"/>
                <w:sz w:val="12"/>
                <w:szCs w:val="12"/>
                <w:color w:val="auto"/>
              </w:rPr>
              <w:t>Fidelity National Title Insurance Co.</w:t>
            </w:r>
          </w:p>
        </w:tc>
        <w:tc>
          <w:tcPr>
            <w:tcW w:w="9020" w:type="dxa"/>
            <w:vAlign w:val="bottom"/>
          </w:tcPr>
          <w:p>
            <w:pPr>
              <w:ind w:left="8440"/>
              <w:spacing w:after="0"/>
              <w:rPr>
                <w:sz w:val="20"/>
                <w:szCs w:val="20"/>
                <w:color w:val="auto"/>
              </w:rPr>
            </w:pPr>
            <w:r>
              <w:rPr>
                <w:rFonts w:ascii="Arial" w:cs="Arial" w:eastAsia="Arial" w:hAnsi="Arial"/>
                <w:sz w:val="12"/>
                <w:szCs w:val="12"/>
                <w:color w:val="auto"/>
              </w:rPr>
              <w:t>A’</w:t>
            </w:r>
          </w:p>
        </w:tc>
      </w:tr>
    </w:tbl>
    <w:p>
      <w:pPr>
        <w:spacing w:after="0" w:line="117"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Demotech states that its ratings of “A´´ (A double prime)” and “A´ (A prime)” reflect its opinion that, regardless of the severity of a general economic downturn or deterioration in the insurance cycle, the insurers assigned either of</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those ratings possess “Unsurpassed” financial stability related to maintaining positive surplus as regards polic yholders. The "A" rating reflects Demotech's opinion that, regardless of the severity of a general economic downturn or deterioration in the insurance cycle, the insurers assigned such rating possess “Exceptional” financial stability related to maintaining positive surplus as regards policyholders. The “A´´ (A double prime)”, “A´ (A prime)” and "A" ratings are the three highest ratings of Demotech's five ratings.</w:t>
      </w:r>
    </w:p>
    <w:p>
      <w:pPr>
        <w:spacing w:after="0" w:line="8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 xml:space="preserve">The ratings of S&amp;P, Moody’s, A.M. Best,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 If the rating agencies downgrade our Company, our results of operations and competitive position in the title insurance industry may suffer” for further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Policies and Investment Portfolio</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Our investment policy is designed to maximize total return through investment income and capital appreciation consistent with moderate risk of principal, while providing adequate liquidity. Our insurance subsidiaries, including title</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insurers, property and casualty insurers, underwritten title companies and insurance agencies, are subject to extensive regulation under applicable state laws. The various states in which we operate regulate the types of assets that qualify for purposes of capital, surplus, and statutory unearned premium reserves. Our investment policy specifically limits duration and non-investment grade allocations in the core fixed-income portfolio. Maintaining shorter durations on the investment portfolio allows for the mitigation of interest rate risk. Equity securities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177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December 31, 2010 and 2009, the carrying amount, which approximates the fair value, of total investments, excluding investments in unconsolidate d affiliates, was $3.8 billion and $4.1 billion, respectively.</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purchase investment grade fixed maturity securities, selected non-investment grade fixed maturity securities and equity securities. The securities in our portfolio are subject to economic conditions and normal market risks and</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uncertainties. Our fixed maturities include auction rate securities at December 31, 2010 with a par value of $14.1 million and fair value of $9.5 million and at December 31, 2009, a par value of $69.7 million and fair value of $45.2 million, which were included in the assets of the LFG Underwriters that we acquired on December 22, 2008. Fair values for auction rate securities are provided by a third-party pricing service.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presents certain information regarding the investment ratings of our fixed maturity portfolio at December 31, 2010 and 2009.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6"/>
              </w:rPr>
              <w:t>December 31,</w:t>
            </w: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r>
        <w:trPr>
          <w:trHeight w:val="169"/>
        </w:trPr>
        <w:tc>
          <w:tcPr>
            <w:tcW w:w="2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2010</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5"/>
        </w:trPr>
        <w:tc>
          <w:tcPr>
            <w:tcW w:w="23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0"/>
                <w:szCs w:val="10"/>
                <w:b w:val="1"/>
                <w:bCs w:val="1"/>
                <w:color w:val="auto"/>
              </w:rPr>
              <w:t>Amortized</w:t>
            </w:r>
          </w:p>
        </w:tc>
        <w:tc>
          <w:tcPr>
            <w:tcW w:w="280" w:type="dxa"/>
            <w:vAlign w:val="bottom"/>
          </w:tcPr>
          <w:p>
            <w:pPr>
              <w:spacing w:after="0"/>
              <w:rPr>
                <w:sz w:val="14"/>
                <w:szCs w:val="14"/>
                <w:color w:val="auto"/>
              </w:rPr>
            </w:pPr>
          </w:p>
        </w:tc>
        <w:tc>
          <w:tcPr>
            <w:tcW w:w="840" w:type="dxa"/>
            <w:vAlign w:val="bottom"/>
            <w:gridSpan w:val="3"/>
          </w:tcPr>
          <w:p>
            <w:pPr>
              <w:ind w:left="120"/>
              <w:spacing w:after="0"/>
              <w:rPr>
                <w:sz w:val="20"/>
                <w:szCs w:val="20"/>
                <w:color w:val="auto"/>
              </w:rPr>
            </w:pPr>
            <w:r>
              <w:rPr>
                <w:rFonts w:ascii="Arial" w:cs="Arial" w:eastAsia="Arial" w:hAnsi="Arial"/>
                <w:sz w:val="10"/>
                <w:szCs w:val="10"/>
                <w:b w:val="1"/>
                <w:bCs w:val="1"/>
                <w:color w:val="auto"/>
              </w:rPr>
              <w:t>% of</w:t>
            </w:r>
          </w:p>
        </w:tc>
        <w:tc>
          <w:tcPr>
            <w:tcW w:w="320" w:type="dxa"/>
            <w:vAlign w:val="bottom"/>
          </w:tcPr>
          <w:p>
            <w:pPr>
              <w:spacing w:after="0"/>
              <w:rPr>
                <w:sz w:val="14"/>
                <w:szCs w:val="14"/>
                <w:color w:val="auto"/>
              </w:rPr>
            </w:pPr>
          </w:p>
        </w:tc>
        <w:tc>
          <w:tcPr>
            <w:tcW w:w="960" w:type="dxa"/>
            <w:vAlign w:val="bottom"/>
            <w:gridSpan w:val="3"/>
          </w:tcPr>
          <w:p>
            <w:pPr>
              <w:jc w:val="center"/>
              <w:ind w:right="640"/>
              <w:spacing w:after="0"/>
              <w:rPr>
                <w:sz w:val="20"/>
                <w:szCs w:val="20"/>
                <w:color w:val="auto"/>
              </w:rPr>
            </w:pPr>
            <w:r>
              <w:rPr>
                <w:rFonts w:ascii="Arial" w:cs="Arial" w:eastAsia="Arial" w:hAnsi="Arial"/>
                <w:sz w:val="10"/>
                <w:szCs w:val="10"/>
                <w:color w:val="auto"/>
                <w:w w:val="92"/>
              </w:rPr>
              <w:t>Fair</w:t>
            </w:r>
          </w:p>
        </w:tc>
        <w:tc>
          <w:tcPr>
            <w:tcW w:w="680" w:type="dxa"/>
            <w:vAlign w:val="bottom"/>
          </w:tcPr>
          <w:p>
            <w:pPr>
              <w:jc w:val="right"/>
              <w:ind w:right="282"/>
              <w:spacing w:after="0"/>
              <w:rPr>
                <w:sz w:val="20"/>
                <w:szCs w:val="20"/>
                <w:color w:val="auto"/>
              </w:rPr>
            </w:pPr>
            <w:r>
              <w:rPr>
                <w:rFonts w:ascii="Arial" w:cs="Arial" w:eastAsia="Arial" w:hAnsi="Arial"/>
                <w:sz w:val="10"/>
                <w:szCs w:val="10"/>
                <w:b w:val="1"/>
                <w:bCs w:val="1"/>
                <w:color w:val="auto"/>
              </w:rPr>
              <w:t>%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89"/>
              </w:rPr>
              <w:t>Amortized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344"/>
              <w:spacing w:after="0"/>
              <w:rPr>
                <w:sz w:val="20"/>
                <w:szCs w:val="20"/>
                <w:color w:val="auto"/>
              </w:rPr>
            </w:pPr>
            <w:r>
              <w:rPr>
                <w:rFonts w:ascii="Arial" w:cs="Arial" w:eastAsia="Arial" w:hAnsi="Arial"/>
                <w:sz w:val="10"/>
                <w:szCs w:val="10"/>
                <w:b w:val="1"/>
                <w:bCs w:val="1"/>
                <w:color w:val="auto"/>
                <w:w w:val="85"/>
              </w:rPr>
              <w:t>% of</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0"/>
                <w:szCs w:val="10"/>
                <w:b w:val="1"/>
                <w:bCs w:val="1"/>
                <w:color w:val="auto"/>
              </w:rPr>
              <w:t>Fair</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4"/>
              </w:rPr>
              <w:t>% of</w:t>
            </w:r>
          </w:p>
        </w:tc>
      </w:tr>
      <w:tr>
        <w:trPr>
          <w:trHeight w:val="184"/>
        </w:trPr>
        <w:tc>
          <w:tcPr>
            <w:tcW w:w="2320" w:type="dxa"/>
            <w:vAlign w:val="bottom"/>
          </w:tcPr>
          <w:p>
            <w:pPr>
              <w:ind w:left="20"/>
              <w:spacing w:after="0"/>
              <w:rPr>
                <w:sz w:val="20"/>
                <w:szCs w:val="20"/>
                <w:color w:val="auto"/>
              </w:rPr>
            </w:pPr>
            <w:r>
              <w:rPr>
                <w:rFonts w:ascii="Arial" w:cs="Arial" w:eastAsia="Arial" w:hAnsi="Arial"/>
                <w:sz w:val="10"/>
                <w:szCs w:val="10"/>
                <w:b w:val="1"/>
                <w:bCs w:val="1"/>
                <w:color w:val="auto"/>
              </w:rPr>
              <w:t>Rating(1)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Cost</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Total</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0"/>
                <w:szCs w:val="10"/>
                <w:b w:val="1"/>
                <w:bCs w:val="1"/>
                <w:color w:val="auto"/>
                <w:w w:val="89"/>
              </w:rPr>
              <w:t>Value</w:t>
            </w:r>
          </w:p>
        </w:tc>
        <w:tc>
          <w:tcPr>
            <w:tcW w:w="6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center"/>
              <w:ind w:left="165"/>
              <w:spacing w:after="0"/>
              <w:rPr>
                <w:sz w:val="20"/>
                <w:szCs w:val="20"/>
                <w:color w:val="auto"/>
              </w:rPr>
            </w:pPr>
            <w:r>
              <w:rPr>
                <w:rFonts w:ascii="Arial" w:cs="Arial" w:eastAsia="Arial" w:hAnsi="Arial"/>
                <w:sz w:val="10"/>
                <w:szCs w:val="10"/>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Value</w:t>
            </w: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1"/>
              </w:rPr>
              <w:t>Total</w:t>
            </w:r>
          </w:p>
        </w:tc>
      </w:tr>
      <w:tr>
        <w:trPr>
          <w:trHeight w:val="124"/>
        </w:trPr>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gridSpan w:val="4"/>
          </w:tcPr>
          <w:p>
            <w:pPr>
              <w:jc w:val="center"/>
              <w:spacing w:after="0"/>
              <w:rPr>
                <w:sz w:val="20"/>
                <w:szCs w:val="20"/>
                <w:color w:val="auto"/>
              </w:rPr>
            </w:pPr>
            <w:r>
              <w:rPr>
                <w:rFonts w:ascii="Arial" w:cs="Arial" w:eastAsia="Arial" w:hAnsi="Arial"/>
                <w:sz w:val="10"/>
                <w:szCs w:val="10"/>
                <w:b w:val="1"/>
                <w:bCs w:val="1"/>
                <w:color w:val="auto"/>
                <w:w w:val="88"/>
              </w:rPr>
              <w:t>(Dollars in millions)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4"/>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Aaa/AAA</w:t>
            </w:r>
          </w:p>
        </w:tc>
        <w:tc>
          <w:tcPr>
            <w:tcW w:w="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724.5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748.1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6"/>
              </w:rPr>
              <w:t>866.6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25.8%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w w:val="86"/>
              </w:rPr>
              <w:t>898.6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25.5%</w:t>
            </w:r>
          </w:p>
        </w:tc>
      </w:tr>
      <w:tr>
        <w:trPr>
          <w:trHeight w:val="171"/>
        </w:trPr>
        <w:tc>
          <w:tcPr>
            <w:tcW w:w="2320" w:type="dxa"/>
            <w:vAlign w:val="bottom"/>
          </w:tcPr>
          <w:p>
            <w:pPr>
              <w:ind w:left="20"/>
              <w:spacing w:after="0"/>
              <w:rPr>
                <w:sz w:val="20"/>
                <w:szCs w:val="20"/>
                <w:color w:val="auto"/>
              </w:rPr>
            </w:pPr>
            <w:r>
              <w:rPr>
                <w:rFonts w:ascii="Arial" w:cs="Arial" w:eastAsia="Arial" w:hAnsi="Arial"/>
                <w:sz w:val="12"/>
                <w:szCs w:val="12"/>
                <w:color w:val="auto"/>
              </w:rPr>
              <w:t>Aa/AA</w:t>
            </w:r>
          </w:p>
        </w:tc>
        <w:tc>
          <w:tcPr>
            <w:tcW w:w="240" w:type="dxa"/>
            <w:vAlign w:val="bottom"/>
          </w:tcPr>
          <w:p>
            <w:pPr>
              <w:spacing w:after="0"/>
              <w:rPr>
                <w:sz w:val="14"/>
                <w:szCs w:val="14"/>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1,220.5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64"/>
              <w:spacing w:after="0"/>
              <w:rPr>
                <w:sz w:val="20"/>
                <w:szCs w:val="20"/>
                <w:color w:val="auto"/>
              </w:rPr>
            </w:pPr>
            <w:r>
              <w:rPr>
                <w:rFonts w:ascii="Arial" w:cs="Arial" w:eastAsia="Arial" w:hAnsi="Arial"/>
                <w:sz w:val="12"/>
                <w:szCs w:val="12"/>
                <w:color w:val="auto"/>
              </w:rPr>
              <w:t>36.1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1,254.0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35.9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2"/>
                <w:szCs w:val="12"/>
                <w:color w:val="auto"/>
              </w:rPr>
              <w:t>1,022.4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3"/>
          </w:tcPr>
          <w:p>
            <w:pPr>
              <w:jc w:val="right"/>
              <w:ind w:right="64"/>
              <w:spacing w:after="0"/>
              <w:rPr>
                <w:sz w:val="20"/>
                <w:szCs w:val="20"/>
                <w:color w:val="auto"/>
              </w:rPr>
            </w:pPr>
            <w:r>
              <w:rPr>
                <w:rFonts w:ascii="Arial" w:cs="Arial" w:eastAsia="Arial" w:hAnsi="Arial"/>
                <w:sz w:val="12"/>
                <w:szCs w:val="12"/>
                <w:color w:val="auto"/>
              </w:rPr>
              <w:t>30.5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ind w:right="41"/>
              <w:spacing w:after="0"/>
              <w:rPr>
                <w:sz w:val="20"/>
                <w:szCs w:val="20"/>
                <w:color w:val="auto"/>
              </w:rPr>
            </w:pPr>
            <w:r>
              <w:rPr>
                <w:rFonts w:ascii="Arial" w:cs="Arial" w:eastAsia="Arial" w:hAnsi="Arial"/>
                <w:sz w:val="12"/>
                <w:szCs w:val="12"/>
                <w:color w:val="auto"/>
                <w:w w:val="89"/>
              </w:rPr>
              <w:t>1,059.6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30.1</w:t>
            </w: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758.3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22.5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793.2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22.7</w:t>
            </w:r>
          </w:p>
        </w:tc>
        <w:tc>
          <w:tcPr>
            <w:tcW w:w="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6"/>
              </w:rPr>
              <w:t>948.5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1,002.5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28.4</w:t>
            </w:r>
          </w:p>
        </w:tc>
      </w:tr>
      <w:tr>
        <w:trPr>
          <w:trHeight w:val="153"/>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jc w:val="right"/>
              <w:ind w:right="124"/>
              <w:spacing w:after="0"/>
              <w:rPr>
                <w:sz w:val="20"/>
                <w:szCs w:val="20"/>
                <w:color w:val="auto"/>
              </w:rPr>
            </w:pPr>
            <w:r>
              <w:rPr>
                <w:rFonts w:ascii="Arial" w:cs="Arial" w:eastAsia="Arial" w:hAnsi="Arial"/>
                <w:sz w:val="12"/>
                <w:szCs w:val="12"/>
                <w:color w:val="auto"/>
              </w:rPr>
              <w:t>&lt;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2"/>
                <w:szCs w:val="12"/>
                <w:color w:val="auto"/>
              </w:rPr>
              <w:t>Baa/BBB</w:t>
            </w:r>
          </w:p>
        </w:tc>
        <w:tc>
          <w:tcPr>
            <w:tcW w:w="240" w:type="dxa"/>
            <w:vAlign w:val="bottom"/>
          </w:tcPr>
          <w:p>
            <w:pPr>
              <w:spacing w:after="0"/>
              <w:rPr>
                <w:sz w:val="14"/>
                <w:szCs w:val="14"/>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525.4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64"/>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color w:val="auto"/>
                <w:w w:val="99"/>
              </w:rPr>
              <w:t>541.6</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15.5</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/div&gt;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w w:val="86"/>
              </w:rPr>
              <w:t>441.3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3"/>
          </w:tcPr>
          <w:p>
            <w:pPr>
              <w:jc w:val="right"/>
              <w:ind w:right="64"/>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ind w:right="41"/>
              <w:spacing w:after="0"/>
              <w:rPr>
                <w:sz w:val="20"/>
                <w:szCs w:val="20"/>
                <w:color w:val="auto"/>
              </w:rPr>
            </w:pPr>
            <w:r>
              <w:rPr>
                <w:rFonts w:ascii="Arial" w:cs="Arial" w:eastAsia="Arial" w:hAnsi="Arial"/>
                <w:sz w:val="12"/>
                <w:szCs w:val="12"/>
                <w:color w:val="auto"/>
              </w:rPr>
              <w:t>457.5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13.0</w:t>
            </w: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Ba/BB/B</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67.2</w:t>
            </w:r>
          </w:p>
        </w:tc>
        <w:tc>
          <w:tcPr>
            <w:tcW w:w="12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64"/>
              <w:spacing w:after="0"/>
              <w:rPr>
                <w:sz w:val="20"/>
                <w:szCs w:val="20"/>
                <w:color w:val="auto"/>
              </w:rPr>
            </w:pPr>
            <w:r>
              <w:rPr>
                <w:rFonts w:ascii="Arial" w:cs="Arial" w:eastAsia="Arial" w:hAnsi="Arial"/>
                <w:sz w:val="12"/>
                <w:szCs w:val="12"/>
                <w:color w:val="auto"/>
              </w:rPr>
              <w:t>0.7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51.1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left="601"/>
              <w:spacing w:after="0"/>
              <w:rPr>
                <w:sz w:val="20"/>
                <w:szCs w:val="20"/>
                <w:color w:val="auto"/>
              </w:rPr>
            </w:pPr>
            <w:r>
              <w:rPr>
                <w:rFonts w:ascii="Arial" w:cs="Arial" w:eastAsia="Arial" w:hAnsi="Arial"/>
                <w:sz w:val="12"/>
                <w:szCs w:val="12"/>
                <w:color w:val="auto"/>
                <w:w w:val="83"/>
              </w:rPr>
              <w:t>1.4</w:t>
            </w:r>
          </w:p>
        </w:tc>
        <w:tc>
          <w:tcPr>
            <w:tcW w:w="140" w:type="dxa"/>
            <w:vAlign w:val="bottom"/>
          </w:tcPr>
          <w:p>
            <w:pPr>
              <w:spacing w:after="0"/>
              <w:rPr>
                <w:sz w:val="16"/>
                <w:szCs w:val="16"/>
                <w:color w:val="auto"/>
              </w:rPr>
            </w:pPr>
          </w:p>
        </w:tc>
      </w:tr>
      <w:tr>
        <w:trPr>
          <w:trHeight w:val="171"/>
        </w:trPr>
        <w:tc>
          <w:tcPr>
            <w:tcW w:w="2320" w:type="dxa"/>
            <w:vAlign w:val="bottom"/>
          </w:tcPr>
          <w:p>
            <w:pPr>
              <w:ind w:left="20"/>
              <w:spacing w:after="0"/>
              <w:rPr>
                <w:sz w:val="20"/>
                <w:szCs w:val="20"/>
                <w:color w:val="auto"/>
              </w:rPr>
            </w:pPr>
            <w:r>
              <w:rPr>
                <w:rFonts w:ascii="Arial" w:cs="Arial" w:eastAsia="Arial" w:hAnsi="Arial"/>
                <w:sz w:val="12"/>
                <w:szCs w:val="12"/>
                <w:color w:val="auto"/>
              </w:rPr>
              <w:t>Lower</w:t>
            </w:r>
          </w:p>
        </w:tc>
        <w:tc>
          <w:tcPr>
            <w:tcW w:w="240" w:type="dxa"/>
            <w:vAlign w:val="bottom"/>
          </w:tcPr>
          <w:p>
            <w:pPr>
              <w:spacing w:after="0"/>
              <w:rPr>
                <w:sz w:val="14"/>
                <w:szCs w:val="14"/>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4"/>
                <w:szCs w:val="14"/>
                <w:color w:val="auto"/>
              </w:rPr>
            </w:pPr>
          </w:p>
        </w:tc>
        <w:tc>
          <w:tcPr>
            <w:tcW w:w="280" w:type="dxa"/>
            <w:vAlign w:val="bottom"/>
          </w:tcPr>
          <w:p>
            <w:pPr>
              <w:jc w:val="right"/>
              <w:ind w:right="40"/>
              <w:spacing w:after="0"/>
              <w:rPr>
                <w:sz w:val="20"/>
                <w:szCs w:val="20"/>
                <w:color w:val="auto"/>
              </w:rPr>
            </w:pPr>
            <w:r>
              <w:rPr>
                <w:rFonts w:ascii="Arial" w:cs="Arial" w:eastAsia="Arial" w:hAnsi="Arial"/>
                <w:sz w:val="12"/>
                <w:szCs w:val="12"/>
                <w:color w:val="auto"/>
                <w:w w:val="95"/>
              </w:rPr>
              <w:t>0.5</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14.8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0.4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ind w:right="41"/>
              <w:spacing w:after="0"/>
              <w:rPr>
                <w:sz w:val="20"/>
                <w:szCs w:val="20"/>
                <w:color w:val="auto"/>
              </w:rPr>
            </w:pPr>
            <w:r>
              <w:rPr>
                <w:rFonts w:ascii="Arial" w:cs="Arial" w:eastAsia="Arial" w:hAnsi="Arial"/>
                <w:sz w:val="12"/>
                <w:szCs w:val="12"/>
                <w:color w:val="auto"/>
              </w:rPr>
              <w:t>1.4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left="601"/>
              <w:spacing w:after="0"/>
              <w:rPr>
                <w:sz w:val="20"/>
                <w:szCs w:val="20"/>
                <w:color w:val="auto"/>
              </w:rPr>
            </w:pPr>
            <w:r>
              <w:rPr>
                <w:rFonts w:ascii="Arial" w:cs="Arial" w:eastAsia="Arial" w:hAnsi="Arial"/>
                <w:sz w:val="12"/>
                <w:szCs w:val="12"/>
                <w:color w:val="auto"/>
                <w:w w:val="83"/>
              </w:rPr>
              <w:t>0.1</w:t>
            </w:r>
          </w:p>
        </w:tc>
        <w:tc>
          <w:tcPr>
            <w:tcW w:w="140" w:type="dxa"/>
            <w:vAlign w:val="bottom"/>
          </w:tcPr>
          <w:p>
            <w:pPr>
              <w:spacing w:after="0"/>
              <w:rPr>
                <w:sz w:val="14"/>
                <w:szCs w:val="14"/>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9"/>
                <w:szCs w:val="9"/>
                <w:color w:val="auto"/>
              </w:rPr>
              <w:t>(2)</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66.7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75.4</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3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52.6</w:t>
            </w:r>
          </w:p>
        </w:tc>
        <w:tc>
          <w:tcPr>
            <w:tcW w:w="120" w:type="dxa"/>
            <w:vAlign w:val="bottom"/>
            <w:tcBorders>
              <w:bottom w:val="single" w:sz="8" w:color="auto"/>
            </w:tcBorders>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3"/>
            <w:shd w:val="clear" w:color="auto" w:fill="CCEEFF"/>
          </w:tcPr>
          <w:p>
            <w:pPr>
              <w:jc w:val="right"/>
              <w:ind w:right="64"/>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53.5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2"/>
                <w:szCs w:val="12"/>
                <w:color w:val="auto"/>
                <w:w w:val="83"/>
              </w:rPr>
              <w:t>1.5</w:t>
            </w:r>
          </w:p>
        </w:tc>
        <w:tc>
          <w:tcPr>
            <w:tcW w:w="140" w:type="dxa"/>
            <w:vAlign w:val="bottom"/>
            <w:tcBorders>
              <w:bottom w:val="single" w:sz="8" w:color="auto"/>
            </w:tcBorders>
            <w:shd w:val="clear" w:color="auto" w:fill="CCEEFF"/>
          </w:tcPr>
          <w:p>
            <w:pPr>
              <w:spacing w:after="0"/>
              <w:rPr>
                <w:sz w:val="15"/>
                <w:szCs w:val="15"/>
                <w:color w:val="auto"/>
              </w:rPr>
            </w:pPr>
          </w:p>
        </w:tc>
      </w:tr>
      <w:tr>
        <w:trPr>
          <w:trHeight w:val="185"/>
        </w:trPr>
        <w:tc>
          <w:tcPr>
            <w:tcW w:w="23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3,377.2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3,494.3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gridSpan w:val="4"/>
          </w:tcPr>
          <w:p>
            <w:pPr>
              <w:jc w:val="right"/>
              <w:ind w:right="120"/>
              <w:spacing w:after="0"/>
              <w:rPr>
                <w:sz w:val="20"/>
                <w:szCs w:val="20"/>
                <w:color w:val="auto"/>
              </w:rPr>
            </w:pPr>
            <w:r>
              <w:rPr>
                <w:rFonts w:ascii="Arial" w:cs="Arial" w:eastAsia="Arial" w:hAnsi="Arial"/>
                <w:sz w:val="12"/>
                <w:szCs w:val="12"/>
                <w:color w:val="auto"/>
              </w:rPr>
              <w:t>3,354.6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100.0%</w:t>
            </w:r>
          </w:p>
        </w:tc>
        <w:tc>
          <w:tcPr>
            <w:tcW w:w="4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jc w:val="right"/>
              <w:ind w:right="41"/>
              <w:spacing w:after="0"/>
              <w:rPr>
                <w:sz w:val="20"/>
                <w:szCs w:val="20"/>
                <w:color w:val="auto"/>
              </w:rPr>
            </w:pPr>
            <w:r>
              <w:rPr>
                <w:rFonts w:ascii="Arial" w:cs="Arial" w:eastAsia="Arial" w:hAnsi="Arial"/>
                <w:sz w:val="12"/>
                <w:szCs w:val="12"/>
                <w:color w:val="auto"/>
                <w:w w:val="89"/>
              </w:rPr>
              <w:t>3,524.2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2"/>
                <w:szCs w:val="12"/>
                <w:color w:val="auto"/>
              </w:rPr>
              <w:t>100.0%</w:t>
            </w:r>
          </w:p>
        </w:tc>
      </w:tr>
      <w:tr>
        <w:trPr>
          <w:trHeight w:val="243"/>
        </w:trPr>
        <w:tc>
          <w:tcPr>
            <w:tcW w:w="23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4"/>
          </w:tcPr>
          <w:p>
            <w:pPr>
              <w:jc w:val="right"/>
              <w:spacing w:after="0"/>
              <w:rPr>
                <w:sz w:val="20"/>
                <w:szCs w:val="20"/>
                <w:color w:val="auto"/>
              </w:rPr>
            </w:pPr>
            <w:r>
              <w:rPr>
                <w:rFonts w:ascii="Arial" w:cs="Arial" w:eastAsia="Arial" w:hAnsi="Arial"/>
                <w:sz w:val="12"/>
                <w:szCs w:val="12"/>
                <w:color w:val="auto"/>
                <w:w w:val="99"/>
              </w:rPr>
              <w:t>________________________</w:t>
            </w:r>
          </w:p>
        </w:tc>
        <w:tc>
          <w:tcPr>
            <w:tcW w:w="3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r>
      <w:tr>
        <w:trPr>
          <w:trHeight w:val="144"/>
        </w:trPr>
        <w:tc>
          <w:tcPr>
            <w:tcW w:w="6480" w:type="dxa"/>
            <w:vAlign w:val="bottom"/>
            <w:gridSpan w:val="13"/>
          </w:tcPr>
          <w:p>
            <w:pPr>
              <w:ind w:left="200"/>
              <w:spacing w:after="0"/>
              <w:rPr>
                <w:sz w:val="20"/>
                <w:szCs w:val="20"/>
                <w:color w:val="auto"/>
              </w:rPr>
            </w:pPr>
            <w:r>
              <w:rPr>
                <w:rFonts w:ascii="Arial" w:cs="Arial" w:eastAsia="Arial" w:hAnsi="Arial"/>
                <w:sz w:val="12"/>
                <w:szCs w:val="12"/>
                <w:color w:val="auto"/>
                <w:w w:val="93"/>
              </w:rPr>
              <w:t>(1)  Ratings as assigned by Moody’s Investors Service o r Standard &amp; Poor’s Ratings Group if a Moody's rating is unavailable.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3400" w:type="dxa"/>
            <w:vAlign w:val="bottom"/>
            <w:gridSpan w:val="4"/>
          </w:tcPr>
          <w:p>
            <w:pPr>
              <w:ind w:left="200"/>
              <w:spacing w:after="0"/>
              <w:rPr>
                <w:sz w:val="20"/>
                <w:szCs w:val="20"/>
                <w:color w:val="auto"/>
              </w:rPr>
            </w:pPr>
            <w:r>
              <w:rPr>
                <w:rFonts w:ascii="Arial" w:cs="Arial" w:eastAsia="Arial" w:hAnsi="Arial"/>
                <w:sz w:val="12"/>
                <w:szCs w:val="12"/>
                <w:color w:val="auto"/>
              </w:rPr>
              <w:t>(2)  This category is composed of unrated securities.</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52"/>
        </w:trPr>
        <w:tc>
          <w:tcPr>
            <w:tcW w:w="5800" w:type="dxa"/>
            <w:vAlign w:val="bottom"/>
            <w:gridSpan w:val="12"/>
          </w:tcPr>
          <w:p>
            <w:pPr>
              <w:ind w:left="200"/>
              <w:spacing w:after="0"/>
              <w:rPr>
                <w:sz w:val="20"/>
                <w:szCs w:val="20"/>
                <w:color w:val="auto"/>
              </w:rPr>
            </w:pPr>
            <w:r>
              <w:rPr>
                <w:rFonts w:ascii="Arial" w:cs="Arial" w:eastAsia="Arial" w:hAnsi="Arial"/>
                <w:sz w:val="12"/>
                <w:szCs w:val="12"/>
                <w:color w:val="auto"/>
                <w:w w:val="94"/>
              </w:rPr>
              <w:t>The following table presents certain information regarding contractual maturities of our fixed maturity securities:</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9"/>
        </w:trPr>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7"/>
          </w:tcPr>
          <w:p>
            <w:pPr>
              <w:jc w:val="center"/>
              <w:ind w:right="680"/>
              <w:spacing w:after="0"/>
              <w:rPr>
                <w:sz w:val="20"/>
                <w:szCs w:val="20"/>
                <w:color w:val="auto"/>
              </w:rPr>
            </w:pPr>
            <w:r>
              <w:rPr>
                <w:rFonts w:ascii="Arial" w:cs="Arial" w:eastAsia="Arial" w:hAnsi="Arial"/>
                <w:sz w:val="10"/>
                <w:szCs w:val="10"/>
                <w:b w:val="1"/>
                <w:bCs w:val="1"/>
                <w:color w:val="auto"/>
                <w:w w:val="86"/>
              </w:rPr>
              <w:t>December 31, 2010</w:t>
            </w: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151"/>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rPr>
              <w:t>Amortized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ind w:left="360"/>
              <w:spacing w:after="0"/>
              <w:rPr>
                <w:sz w:val="20"/>
                <w:szCs w:val="20"/>
                <w:color w:val="auto"/>
              </w:rPr>
            </w:pPr>
            <w:r>
              <w:rPr>
                <w:rFonts w:ascii="Arial" w:cs="Arial" w:eastAsia="Arial" w:hAnsi="Arial"/>
                <w:sz w:val="11"/>
                <w:szCs w:val="11"/>
                <w:b w:val="1"/>
                <w:bCs w:val="1"/>
                <w:color w:val="auto"/>
              </w:rPr>
              <w:t>% of</w:t>
            </w:r>
          </w:p>
        </w:tc>
        <w:tc>
          <w:tcPr>
            <w:tcW w:w="300" w:type="dxa"/>
            <w:vAlign w:val="bottom"/>
          </w:tcPr>
          <w:p>
            <w:pPr>
              <w:spacing w:after="0"/>
              <w:rPr>
                <w:sz w:val="13"/>
                <w:szCs w:val="13"/>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98"/>
              </w:rPr>
              <w:t>Fair</w:t>
            </w:r>
          </w:p>
        </w:tc>
        <w:tc>
          <w:tcPr>
            <w:tcW w:w="94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rPr>
              <w:t>% of</w:t>
            </w:r>
          </w:p>
        </w:tc>
      </w:tr>
      <w:tr>
        <w:trPr>
          <w:trHeight w:val="180"/>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Maturity</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rPr>
              <w:t>Cost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ind w:left="360"/>
              <w:spacing w:after="0"/>
              <w:rPr>
                <w:sz w:val="20"/>
                <w:szCs w:val="20"/>
                <w:color w:val="auto"/>
              </w:rPr>
            </w:pPr>
            <w:r>
              <w:rPr>
                <w:rFonts w:ascii="Arial" w:cs="Arial" w:eastAsia="Arial" w:hAnsi="Arial"/>
                <w:sz w:val="11"/>
                <w:szCs w:val="11"/>
                <w:b w:val="1"/>
                <w:bCs w:val="1"/>
                <w:color w:val="auto"/>
              </w:rPr>
              <w:t>Total</w:t>
            </w:r>
          </w:p>
        </w:tc>
        <w:tc>
          <w:tcPr>
            <w:tcW w:w="300" w:type="dxa"/>
            <w:vAlign w:val="bottom"/>
          </w:tcPr>
          <w:p>
            <w:pPr>
              <w:spacing w:after="0"/>
              <w:rPr>
                <w:sz w:val="15"/>
                <w:szCs w:val="15"/>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88"/>
              </w:rPr>
              <w:t>Value</w:t>
            </w:r>
          </w:p>
        </w:tc>
        <w:tc>
          <w:tcPr>
            <w:tcW w:w="94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rPr>
              <w:t>Total</w:t>
            </w:r>
          </w:p>
        </w:tc>
      </w:tr>
      <w:tr>
        <w:trPr>
          <w:trHeight w:val="22"/>
        </w:trPr>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7"/>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20"/>
        </w:trPr>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60" w:type="dxa"/>
            <w:vAlign w:val="bottom"/>
            <w:gridSpan w:val="7"/>
          </w:tcPr>
          <w:p>
            <w:pPr>
              <w:jc w:val="center"/>
              <w:ind w:right="680"/>
              <w:spacing w:after="0"/>
              <w:rPr>
                <w:sz w:val="20"/>
                <w:szCs w:val="20"/>
                <w:color w:val="auto"/>
              </w:rPr>
            </w:pPr>
            <w:r>
              <w:rPr>
                <w:rFonts w:ascii="Arial" w:cs="Arial" w:eastAsia="Arial" w:hAnsi="Arial"/>
                <w:sz w:val="10"/>
                <w:szCs w:val="10"/>
                <w:b w:val="1"/>
                <w:bCs w:val="1"/>
                <w:color w:val="auto"/>
                <w:w w:val="88"/>
              </w:rPr>
              <w:t>(Dollars in millions)</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4"/>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One year or less</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left="185"/>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297.0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300.5</w:t>
            </w: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8.6%</w:t>
            </w:r>
          </w:p>
        </w:tc>
      </w:tr>
      <w:tr>
        <w:trPr>
          <w:trHeight w:val="171"/>
        </w:trPr>
        <w:tc>
          <w:tcPr>
            <w:tcW w:w="2320" w:type="dxa"/>
            <w:vAlign w:val="bottom"/>
          </w:tcPr>
          <w:p>
            <w:pPr>
              <w:ind w:left="20"/>
              <w:spacing w:after="0"/>
              <w:rPr>
                <w:sz w:val="20"/>
                <w:szCs w:val="20"/>
                <w:color w:val="auto"/>
              </w:rPr>
            </w:pPr>
            <w:r>
              <w:rPr>
                <w:rFonts w:ascii="Arial" w:cs="Arial" w:eastAsia="Arial" w:hAnsi="Arial"/>
                <w:sz w:val="12"/>
                <w:szCs w:val="12"/>
                <w:color w:val="auto"/>
              </w:rPr>
              <w:t>After one year through five years</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1,398.1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41.4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1,473.0</w:t>
            </w:r>
          </w:p>
        </w:tc>
        <w:tc>
          <w:tcPr>
            <w:tcW w:w="10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42.2</w:t>
            </w: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After five years through ten years</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1,350.5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1,375.7</w:t>
            </w: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39.4</w:t>
            </w:r>
          </w:p>
        </w:tc>
      </w:tr>
      <w:tr>
        <w:trPr>
          <w:trHeight w:val="315"/>
        </w:trPr>
        <w:tc>
          <w:tcPr>
            <w:tcW w:w="2320" w:type="dxa"/>
            <w:vAlign w:val="bottom"/>
          </w:tcPr>
          <w:p>
            <w:pPr>
              <w:ind w:left="20"/>
              <w:spacing w:after="0"/>
              <w:rPr>
                <w:sz w:val="20"/>
                <w:szCs w:val="20"/>
                <w:color w:val="auto"/>
              </w:rPr>
            </w:pPr>
            <w:r>
              <w:rPr>
                <w:rFonts w:ascii="Arial" w:cs="Arial" w:eastAsia="Arial" w:hAnsi="Arial"/>
                <w:sz w:val="12"/>
                <w:szCs w:val="12"/>
                <w:color w:val="auto"/>
              </w:rPr>
              <w:t>After ten years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154.8</w:t>
            </w:r>
          </w:p>
        </w:tc>
        <w:tc>
          <w:tcPr>
            <w:tcW w:w="16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161.1</w:t>
            </w:r>
          </w:p>
        </w:tc>
        <w:tc>
          <w:tcPr>
            <w:tcW w:w="100" w:type="dxa"/>
            <w:vAlign w:val="bottom"/>
          </w:tcPr>
          <w:p>
            <w:pPr>
              <w:spacing w:after="0"/>
              <w:rPr>
                <w:sz w:val="24"/>
                <w:szCs w:val="24"/>
                <w:color w:val="auto"/>
              </w:rPr>
            </w:pPr>
          </w:p>
        </w:tc>
        <w:tc>
          <w:tcPr>
            <w:tcW w:w="800" w:type="dxa"/>
            <w:vAlign w:val="bottom"/>
            <w:gridSpan w:val="2"/>
          </w:tcPr>
          <w:p>
            <w:pPr>
              <w:jc w:val="center"/>
              <w:ind w:left="601"/>
              <w:spacing w:after="0"/>
              <w:rPr>
                <w:sz w:val="20"/>
                <w:szCs w:val="20"/>
                <w:color w:val="auto"/>
              </w:rPr>
            </w:pPr>
            <w:r>
              <w:rPr>
                <w:rFonts w:ascii="Arial" w:cs="Arial" w:eastAsia="Arial" w:hAnsi="Arial"/>
                <w:sz w:val="12"/>
                <w:szCs w:val="12"/>
                <w:color w:val="auto"/>
                <w:w w:val="83"/>
              </w:rPr>
              <w:t>4.6</w:t>
            </w:r>
          </w:p>
        </w:tc>
        <w:tc>
          <w:tcPr>
            <w:tcW w:w="140" w:type="dxa"/>
            <w:vAlign w:val="bottom"/>
          </w:tcPr>
          <w:p>
            <w:pPr>
              <w:spacing w:after="0"/>
              <w:rPr>
                <w:sz w:val="24"/>
                <w:szCs w:val="24"/>
                <w:color w:val="auto"/>
              </w:rPr>
            </w:pPr>
          </w:p>
        </w:tc>
      </w:tr>
      <w:tr>
        <w:trPr>
          <w:trHeight w:val="162"/>
        </w:trPr>
        <w:tc>
          <w:tcPr>
            <w:tcW w:w="2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&lt; div</w:t>
            </w:r>
          </w:p>
        </w:tc>
      </w:tr>
      <w:tr>
        <w:trPr>
          <w:trHeight w:val="144"/>
        </w:trPr>
        <w:tc>
          <w:tcPr>
            <w:tcW w:w="2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style="text-</w:t>
            </w:r>
          </w:p>
        </w:tc>
      </w:tr>
      <w:tr>
        <w:trPr>
          <w:trHeight w:val="144"/>
        </w:trPr>
        <w:tc>
          <w:tcPr>
            <w:tcW w:w="2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align:right;font-</w:t>
            </w:r>
          </w:p>
        </w:tc>
      </w:tr>
      <w:tr>
        <w:trPr>
          <w:trHeight w:val="162"/>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Mortgage-backed/asset-backed securities</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176.8</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184.0</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2"/>
                <w:szCs w:val="12"/>
                <w:color w:val="auto"/>
              </w:rPr>
              <w:t>size:10pt;"&gt;5.2</w:t>
            </w:r>
          </w:p>
        </w:tc>
      </w:tr>
      <w:tr>
        <w:trPr>
          <w:trHeight w:val="185"/>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89"/>
              </w:rPr>
              <w:t>3,377.2</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93"/>
              </w:rPr>
              <w:t>100.0%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3,494.3</w:t>
            </w:r>
          </w:p>
        </w:tc>
        <w:tc>
          <w:tcPr>
            <w:tcW w:w="100" w:type="dxa"/>
            <w:vAlign w:val="bottom"/>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100.0%</w:t>
            </w:r>
          </w:p>
        </w:tc>
      </w:tr>
    </w:tbl>
    <w:p>
      <w:pPr>
        <w:spacing w:after="0" w:line="9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majority of our mortgage-backed and asset-backed securities were acquired as a result of the acquisition of the LFG Underwriters on December 22, 2008. At December 31, 2010 all of our mortgage-backed and asset-backed securities are rated AAA. The m ortgage-backed and asset-backed securities are made up of $141.7 million of agency mortgage-backed securities, $0.2 million of collateralized mortgage obligations, $16.0 million of commercial mortgage-backed securities, and $26.1 million in asset-backed securities.</w:t>
      </w:r>
    </w:p>
    <w:p>
      <w:pPr>
        <w:spacing w:after="0" w:line="87" w:lineRule="exact"/>
        <w:rPr>
          <w:sz w:val="20"/>
          <w:szCs w:val="20"/>
          <w:color w:val="auto"/>
        </w:rPr>
      </w:pPr>
    </w:p>
    <w:p>
      <w:pPr>
        <w:jc w:val="both"/>
        <w:ind w:right="20" w:firstLine="219"/>
        <w:spacing w:after="0" w:line="392" w:lineRule="auto"/>
        <w:rPr>
          <w:sz w:val="20"/>
          <w:szCs w:val="20"/>
          <w:color w:val="auto"/>
        </w:rPr>
      </w:pPr>
      <w:r>
        <w:rPr>
          <w:rFonts w:ascii="Arial" w:cs="Arial" w:eastAsia="Arial" w:hAnsi="Arial"/>
          <w:sz w:val="11"/>
          <w:szCs w:val="11"/>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 Fixed maturity securities with an amortized cost of $634.4 million and a fair value of $654.6 million were callable at December 31, 2010.</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131" w:right="19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jc w:val="center"/>
        <w:ind w:right="20"/>
        <w:spacing w:after="0" w:line="257" w:lineRule="auto"/>
        <w:rPr>
          <w:sz w:val="20"/>
          <w:szCs w:val="20"/>
          <w:color w:val="auto"/>
        </w:rPr>
      </w:pPr>
      <w:r>
        <w:rPr>
          <w:rFonts w:ascii="Arial" w:cs="Arial" w:eastAsia="Arial" w:hAnsi="Arial"/>
          <w:sz w:val="12"/>
          <w:szCs w:val="12"/>
          <w:color w:val="auto"/>
        </w:rPr>
        <w:t>Our equity securities at December 31, 2010 and 2009 consisted of investments at a cost basis of $51.1 million and $64.6 million, respectively, and fair value of $75.2 million and $92.5 million, respectively. The balance of equity securities at December 31, 2010 and 2009 is primaril y composed of an investment in Fidelity National Information Services ("FIS") stock, a related party, which we purchased on October 1, 2009, pursuant to an investment agreement between us and FIS dated March 31, 2009 in connection with a merger between FIS and Metavante Technologies, Inc. During the third quarter of 2010, we sold 1,611,574 shares as part of a tender offer by FIS at $29.00 per share for a realized gain of $21.7 million. The fair value of our investment in the FIS stock was $43.9 million and $75.4 million as of December 31, 2010 and 2009, respectively. There were no significant investments in banks, trust or insurance companies at December 31, 2010 or 2009.</w:t>
      </w:r>
    </w:p>
    <w:p>
      <w:pPr>
        <w:spacing w:after="0" w:line="90"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At December 31, 2010 and 2009, we also held $527.7 million and $617.1 million, respectively, in investments that are accounted for using the equity method of accounting, principally our ownership interests in Ceridian and Remy and also including our 32% ownership interest in Sedgwick at December 31, 2009, which was sold during 2010 (see note D of Notes to Consolidated Financial Statements).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Other long-term investments consist primarily of fixed-maturity structured notes as well as investments accounted for using the cost method of accounting. As of December 31, 2010 and 2009, other long-term investments included</w:t>
      </w:r>
    </w:p>
    <w:p>
      <w:pPr>
        <w:spacing w:after="0" w:line="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structured notes at a fair value of $90.1 million and $78.7 million at December 31, 2010 and 2009, respectively, which were pur chased in the third quarter of 2009. Also included in other long-term investments were investments accounted for using the cost method of accounting of $42.6 million and $24.8 million, as of December 31, 2010 and 2009, respectively.</w:t>
      </w:r>
    </w:p>
    <w:p>
      <w:pPr>
        <w:spacing w:after="0" w:line="79" w:lineRule="exact"/>
        <w:rPr>
          <w:sz w:val="20"/>
          <w:szCs w:val="20"/>
          <w:color w:val="auto"/>
        </w:rPr>
      </w:pPr>
    </w:p>
    <w:p>
      <w:pPr>
        <w:ind w:firstLine="219"/>
        <w:spacing w:after="0" w:line="339" w:lineRule="auto"/>
        <w:rPr>
          <w:sz w:val="20"/>
          <w:szCs w:val="20"/>
          <w:color w:val="auto"/>
        </w:rPr>
      </w:pPr>
      <w:r>
        <w:rPr>
          <w:rFonts w:ascii="Arial" w:cs="Arial" w:eastAsia="Arial" w:hAnsi="Arial"/>
          <w:sz w:val="12"/>
          <w:szCs w:val="12"/>
          <w:color w:val="auto"/>
        </w:rPr>
        <w:t>Short-term investments, which consist primarily of securities purchased under agreements to resell, commercial paper and money market instruments which have an original maturity of one year or less, are carried at amortized cost, which approximates fair value. As of December 31, 2010 and 2009, short-term investments a mounted to $128.6 million and $348.1 million, respectively.</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investment results for the years ended December 31, 2010, 2009 and 2008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106"/>
              <w:spacing w:after="0"/>
              <w:rPr>
                <w:sz w:val="20"/>
                <w:szCs w:val="20"/>
                <w:color w:val="auto"/>
              </w:rPr>
            </w:pPr>
            <w:r>
              <w:rPr>
                <w:rFonts w:ascii="Arial" w:cs="Arial" w:eastAsia="Arial" w:hAnsi="Arial"/>
                <w:sz w:val="10"/>
                <w:szCs w:val="10"/>
                <w:b w:val="1"/>
                <w:bCs w:val="1"/>
                <w:color w:val="auto"/>
                <w:w w:val="86"/>
              </w:rPr>
              <w:t>December 31,</w:t>
            </w:r>
          </w:p>
        </w:tc>
        <w:tc>
          <w:tcPr>
            <w:tcW w:w="3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69"/>
        </w:trPr>
        <w:tc>
          <w:tcPr>
            <w:tcW w:w="3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2010</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06"/>
              <w:spacing w:after="0"/>
              <w:rPr>
                <w:sz w:val="20"/>
                <w:szCs w:val="20"/>
                <w:color w:val="auto"/>
              </w:rPr>
            </w:pPr>
            <w:r>
              <w:rPr>
                <w:rFonts w:ascii="Arial" w:cs="Arial" w:eastAsia="Arial" w:hAnsi="Arial"/>
                <w:sz w:val="10"/>
                <w:szCs w:val="10"/>
                <w:b w:val="1"/>
                <w:bCs w:val="1"/>
                <w:color w:val="auto"/>
                <w:w w:val="89"/>
              </w:rPr>
              <w:t>2009</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2008</w:t>
            </w:r>
          </w:p>
        </w:tc>
      </w:tr>
      <w:tr>
        <w:trPr>
          <w:trHeight w:val="160"/>
        </w:trPr>
        <w:tc>
          <w:tcPr>
            <w:tcW w:w="33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86"/>
              <w:spacing w:after="0"/>
              <w:rPr>
                <w:sz w:val="20"/>
                <w:szCs w:val="20"/>
                <w:color w:val="auto"/>
              </w:rPr>
            </w:pPr>
            <w:r>
              <w:rPr>
                <w:rFonts w:ascii="Arial" w:cs="Arial" w:eastAsia="Arial" w:hAnsi="Arial"/>
                <w:sz w:val="10"/>
                <w:szCs w:val="10"/>
                <w:b w:val="1"/>
                <w:bCs w:val="1"/>
                <w:color w:val="auto"/>
                <w:w w:val="88"/>
              </w:rPr>
              <w:t>(Dollars in millions)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4"/>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investment income (1)</w:t>
            </w:r>
          </w:p>
        </w:tc>
        <w:tc>
          <w:tcPr>
            <w:tcW w:w="4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167.6</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26"/>
              <w:spacing w:after="0"/>
              <w:rPr>
                <w:sz w:val="20"/>
                <w:szCs w:val="20"/>
                <w:color w:val="auto"/>
              </w:rPr>
            </w:pPr>
            <w:r>
              <w:rPr>
                <w:rFonts w:ascii="Arial" w:cs="Arial" w:eastAsia="Arial" w:hAnsi="Arial"/>
                <w:sz w:val="12"/>
                <w:szCs w:val="12"/>
                <w:color w:val="auto"/>
              </w:rPr>
              <w:t>187.7</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152.5</w:t>
            </w:r>
          </w:p>
        </w:tc>
      </w:tr>
      <w:tr>
        <w:trPr>
          <w:trHeight w:val="171"/>
        </w:trPr>
        <w:tc>
          <w:tcPr>
            <w:tcW w:w="3380" w:type="dxa"/>
            <w:vAlign w:val="bottom"/>
          </w:tcPr>
          <w:p>
            <w:pPr>
              <w:ind w:left="20"/>
              <w:spacing w:after="0"/>
              <w:rPr>
                <w:sz w:val="20"/>
                <w:szCs w:val="20"/>
                <w:color w:val="auto"/>
              </w:rPr>
            </w:pPr>
            <w:r>
              <w:rPr>
                <w:rFonts w:ascii="Arial" w:cs="Arial" w:eastAsia="Arial" w:hAnsi="Arial"/>
                <w:sz w:val="12"/>
                <w:szCs w:val="12"/>
                <w:color w:val="auto"/>
              </w:rPr>
              <w:t>Average invested assets</w:t>
            </w:r>
          </w:p>
        </w:tc>
        <w:tc>
          <w:tcPr>
            <w:tcW w:w="4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3"/>
              <w:spacing w:after="0"/>
              <w:rPr>
                <w:sz w:val="20"/>
                <w:szCs w:val="20"/>
                <w:color w:val="auto"/>
              </w:rPr>
            </w:pPr>
            <w:r>
              <w:rPr>
                <w:rFonts w:ascii="Arial" w:cs="Arial" w:eastAsia="Arial" w:hAnsi="Arial"/>
                <w:sz w:val="12"/>
                <w:szCs w:val="12"/>
                <w:color w:val="auto"/>
              </w:rPr>
              <w:t>3,928.7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26"/>
              <w:spacing w:after="0"/>
              <w:rPr>
                <w:sz w:val="20"/>
                <w:szCs w:val="20"/>
                <w:color w:val="auto"/>
              </w:rPr>
            </w:pPr>
            <w:r>
              <w:rPr>
                <w:rFonts w:ascii="Arial" w:cs="Arial" w:eastAsia="Arial" w:hAnsi="Arial"/>
                <w:sz w:val="12"/>
                <w:szCs w:val="12"/>
                <w:color w:val="auto"/>
              </w:rPr>
              <w:t>3,972.1</w:t>
            </w:r>
          </w:p>
        </w:tc>
        <w:tc>
          <w:tcPr>
            <w:tcW w:w="3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83"/>
              <w:spacing w:after="0"/>
              <w:rPr>
                <w:sz w:val="20"/>
                <w:szCs w:val="20"/>
                <w:color w:val="auto"/>
              </w:rPr>
            </w:pPr>
            <w:r>
              <w:rPr>
                <w:rFonts w:ascii="Arial" w:cs="Arial" w:eastAsia="Arial" w:hAnsi="Arial"/>
                <w:sz w:val="12"/>
                <w:szCs w:val="12"/>
                <w:color w:val="auto"/>
              </w:rPr>
              <w:t>3,095.5</w:t>
            </w:r>
          </w:p>
        </w:tc>
      </w:tr>
      <w:tr>
        <w:trPr>
          <w:trHeight w:val="189"/>
        </w:trPr>
        <w:tc>
          <w:tcPr>
            <w:tcW w:w="3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Effective return on average invested assets</w:t>
            </w:r>
          </w:p>
        </w:tc>
        <w:tc>
          <w:tcPr>
            <w:tcW w:w="4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4.3%</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4.7%</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r>
      <w:tr>
        <w:trPr>
          <w:trHeight w:val="153"/>
        </w:trPr>
        <w:tc>
          <w:tcPr>
            <w:tcW w:w="3380" w:type="dxa"/>
            <w:vAlign w:val="bottom"/>
          </w:tcPr>
          <w:p>
            <w:pPr>
              <w:spacing w:after="0"/>
              <w:rPr>
                <w:sz w:val="13"/>
                <w:szCs w:val="13"/>
                <w:color w:val="auto"/>
              </w:rPr>
            </w:pPr>
          </w:p>
        </w:tc>
        <w:tc>
          <w:tcPr>
            <w:tcW w:w="4420" w:type="dxa"/>
            <w:vAlign w:val="bottom"/>
          </w:tcPr>
          <w:p>
            <w:pPr>
              <w:jc w:val="right"/>
              <w:ind w:right="940"/>
              <w:spacing w:after="0"/>
              <w:rPr>
                <w:sz w:val="20"/>
                <w:szCs w:val="20"/>
                <w:color w:val="auto"/>
              </w:rPr>
            </w:pPr>
            <w:r>
              <w:rPr>
                <w:rFonts w:ascii="Arial" w:cs="Arial" w:eastAsia="Arial" w:hAnsi="Arial"/>
                <w:sz w:val="12"/>
                <w:szCs w:val="12"/>
                <w:color w:val="auto"/>
              </w:rPr>
              <w:t>___________________________________</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90" w:lineRule="exact"/>
        <w:rPr>
          <w:sz w:val="20"/>
          <w:szCs w:val="20"/>
          <w:color w:val="auto"/>
        </w:rPr>
      </w:pPr>
    </w:p>
    <w:p>
      <w:pPr>
        <w:ind w:left="460" w:hanging="252"/>
        <w:spacing w:after="0"/>
        <w:tabs>
          <w:tab w:leader="none" w:pos="4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Net investment income as reported in our Consolidated Statements of Operations has been adjusted in the presentation above to provide the tax equivalent yield on tax exempt 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Loss Reserves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For information about our loss reserves, see Item 7.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xml:space="preserve"> — Critical Accounting Policies.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1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As of January 31, 2011, we had approximately 18,200 full-time equivalent employees. From 2006 to 2008, we actively sought to reduce our head count as activity in our Fidelity National Title Group segment declined. As the economic environment and order c ounts began to stabilize in 2009, we curtailed efforts to reduce staffing levels in our legacy title operations, but aggressively reduced staff in the acquired LFG Underwriters to meet our intended profitability standards. We have monitored our staffing levels based on current economic activity in 2010 and will continue to do so in the future. We believe that our relations with employees are generally good. None of our employees are subject to collective bargaining agreements.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Statement Regarding Forward-Looking Information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statements contain ed in this Form 10-K or in our other documents or in oral presentations or other statements made by our management that are not purely historical are forward-looking statements within the meaning of</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131" w:right="199" w:bottom="1440" w:gutter="0" w:footer="0" w:header="0"/>
        </w:sectPr>
      </w:pPr>
    </w:p>
    <w:bookmarkStart w:id="15" w:name="page16"/>
    <w:bookmarkEnd w:id="15"/>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428" w:hanging="212"/>
        <w:spacing w:after="0"/>
        <w:tabs>
          <w:tab w:leader="none" w:pos="428" w:val="left"/>
        </w:tabs>
        <w:numPr>
          <w:ilvl w:val="1"/>
          <w:numId w:val="15"/>
        </w:numPr>
        <w:rPr>
          <w:rFonts w:ascii="Arial" w:cs="Arial" w:eastAsia="Arial" w:hAnsi="Arial"/>
          <w:sz w:val="12"/>
          <w:szCs w:val="12"/>
          <w:color w:val="auto"/>
        </w:rPr>
      </w:pPr>
      <w:r>
        <w:rPr>
          <w:rFonts w:ascii="Arial" w:cs="Arial" w:eastAsia="Arial" w:hAnsi="Arial"/>
          <w:sz w:val="12"/>
          <w:szCs w:val="12"/>
          <w:color w:val="auto"/>
        </w:rPr>
        <w:t>changes in general eco nomic, business, and political conditions, including changes in the financial markets;</w:t>
      </w:r>
    </w:p>
    <w:p>
      <w:pPr>
        <w:spacing w:after="0" w:line="114" w:lineRule="exact"/>
        <w:rPr>
          <w:rFonts w:ascii="Arial" w:cs="Arial" w:eastAsia="Arial" w:hAnsi="Arial"/>
          <w:sz w:val="12"/>
          <w:szCs w:val="12"/>
          <w:color w:val="auto"/>
        </w:rPr>
      </w:pPr>
    </w:p>
    <w:p>
      <w:pPr>
        <w:ind w:left="428" w:right="20" w:hanging="212"/>
        <w:spacing w:after="0" w:line="276" w:lineRule="auto"/>
        <w:tabs>
          <w:tab w:leader="none" w:pos="428" w:val="left"/>
        </w:tabs>
        <w:numPr>
          <w:ilvl w:val="1"/>
          <w:numId w:val="15"/>
        </w:numPr>
        <w:rPr>
          <w:rFonts w:ascii="Arial" w:cs="Arial" w:eastAsia="Arial" w:hAnsi="Arial"/>
          <w:sz w:val="12"/>
          <w:szCs w:val="12"/>
          <w:color w:val="auto"/>
        </w:rPr>
      </w:pPr>
      <w:r>
        <w:rPr>
          <w:rFonts w:ascii="Arial" w:cs="Arial" w:eastAsia="Arial" w:hAnsi="Arial"/>
          <w:sz w:val="12"/>
          <w:szCs w:val="12"/>
          <w:color w:val="auto"/>
        </w:rPr>
        <w:t>continued weakness or adverse changes in the level of real estate activity, which may be caused by, among other things, high or increasing interest rates, a limited supply of mortgage funding, increased mortgage defaults, or a weak U.S. economy;</w:t>
      </w:r>
    </w:p>
    <w:p>
      <w:pPr>
        <w:spacing w:after="0" w:line="78" w:lineRule="exact"/>
        <w:rPr>
          <w:rFonts w:ascii="Arial" w:cs="Arial" w:eastAsia="Arial" w:hAnsi="Arial"/>
          <w:sz w:val="12"/>
          <w:szCs w:val="12"/>
          <w:color w:val="auto"/>
        </w:rPr>
      </w:pPr>
    </w:p>
    <w:p>
      <w:pPr>
        <w:ind w:left="388" w:right="20" w:hanging="172"/>
        <w:spacing w:after="0" w:line="276" w:lineRule="auto"/>
        <w:tabs>
          <w:tab w:leader="none" w:pos="388" w:val="left"/>
        </w:tabs>
        <w:numPr>
          <w:ilvl w:val="1"/>
          <w:numId w:val="15"/>
        </w:numPr>
        <w:rPr>
          <w:rFonts w:ascii="Arial" w:cs="Arial" w:eastAsia="Arial" w:hAnsi="Arial"/>
          <w:sz w:val="12"/>
          <w:szCs w:val="12"/>
          <w:color w:val="auto"/>
        </w:rPr>
      </w:pPr>
      <w:r>
        <w:rPr>
          <w:rFonts w:ascii="Arial" w:cs="Arial" w:eastAsia="Arial" w:hAnsi="Arial"/>
          <w:sz w:val="12"/>
          <w:szCs w:val="12"/>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1"/>
          <w:numId w:val="15"/>
        </w:numPr>
        <w:rPr>
          <w:rFonts w:ascii="Arial" w:cs="Arial" w:eastAsia="Arial" w:hAnsi="Arial"/>
          <w:sz w:val="12"/>
          <w:szCs w:val="12"/>
          <w:color w:val="auto"/>
        </w:rPr>
      </w:pPr>
      <w:r>
        <w:rPr>
          <w:rFonts w:ascii="Arial" w:cs="Arial" w:eastAsia="Arial" w:hAnsi="Arial"/>
          <w:sz w:val="12"/>
          <w:szCs w:val="12"/>
          <w:color w:val="auto"/>
        </w:rPr>
        <w:t>our dependence on distributions from our title insurance underwriters as our main source of cash flow;</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1"/>
          <w:numId w:val="15"/>
        </w:numPr>
        <w:rPr>
          <w:rFonts w:ascii="Arial" w:cs="Arial" w:eastAsia="Arial" w:hAnsi="Arial"/>
          <w:sz w:val="12"/>
          <w:szCs w:val="12"/>
          <w:color w:val="auto"/>
        </w:rPr>
      </w:pPr>
      <w:r>
        <w:rPr>
          <w:rFonts w:ascii="Arial" w:cs="Arial" w:eastAsia="Arial" w:hAnsi="Arial"/>
          <w:sz w:val="12"/>
          <w:szCs w:val="12"/>
          <w:color w:val="auto"/>
        </w:rPr>
        <w:t>significant competition that our operating subsidiaries face;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compliance with extensive government regulation of our operating subsidiaries and adverse changes in applicable laws or regulations or in their application by regulators;</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1"/>
          <w:numId w:val="15"/>
        </w:numPr>
        <w:rPr>
          <w:rFonts w:ascii="Arial" w:cs="Arial" w:eastAsia="Arial" w:hAnsi="Arial"/>
          <w:sz w:val="12"/>
          <w:szCs w:val="12"/>
          <w:color w:val="auto"/>
        </w:rPr>
      </w:pPr>
      <w:r>
        <w:rPr>
          <w:rFonts w:ascii="Arial" w:cs="Arial" w:eastAsia="Arial" w:hAnsi="Arial"/>
          <w:sz w:val="12"/>
          <w:szCs w:val="12"/>
          <w:color w:val="auto"/>
        </w:rPr>
        <w:t>regulatory investigations of the tit le insurance industry;</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1"/>
          <w:numId w:val="15"/>
        </w:numPr>
        <w:rPr>
          <w:rFonts w:ascii="Arial" w:cs="Arial" w:eastAsia="Arial" w:hAnsi="Arial"/>
          <w:sz w:val="12"/>
          <w:szCs w:val="12"/>
          <w:color w:val="auto"/>
        </w:rPr>
      </w:pPr>
      <w:r>
        <w:rPr>
          <w:rFonts w:ascii="Arial" w:cs="Arial" w:eastAsia="Arial" w:hAnsi="Arial"/>
          <w:sz w:val="12"/>
          <w:szCs w:val="12"/>
          <w:color w:val="auto"/>
        </w:rPr>
        <w:t>our business concentration in the State of California, the source of approximately 15.7% of our title insurance premiums; and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 risks detailed in "Risk Factors" below and elsewhere in this document and in our other filings with the SEC.</w:t>
      </w:r>
    </w:p>
    <w:p>
      <w:pPr>
        <w:spacing w:after="0" w:line="231"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We are not under any obligation (and expressly disclaim any such obligation) to update or alter our forward-looking statements, whether as a result of new information, future events or otherwise. You should careful ly consider the possibility that actual results may differ materially from our forward-looking statements.</w:t>
      </w:r>
    </w:p>
    <w:p>
      <w:pPr>
        <w:spacing w:after="0" w:line="7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Additional Information</w:t>
      </w:r>
    </w:p>
    <w:p>
      <w:pPr>
        <w:spacing w:after="0" w:line="154" w:lineRule="exact"/>
        <w:rPr>
          <w:sz w:val="20"/>
          <w:szCs w:val="20"/>
          <w:color w:val="auto"/>
        </w:rPr>
      </w:pPr>
    </w:p>
    <w:p>
      <w:pPr>
        <w:ind w:left="228"/>
        <w:spacing w:after="0"/>
        <w:rPr>
          <w:sz w:val="20"/>
          <w:szCs w:val="20"/>
          <w:color w:val="auto"/>
        </w:rPr>
      </w:pPr>
      <w:r>
        <w:rPr>
          <w:rFonts w:ascii="Arial" w:cs="Arial" w:eastAsia="Arial" w:hAnsi="Arial"/>
          <w:sz w:val="10"/>
          <w:szCs w:val="10"/>
          <w:color w:val="auto"/>
        </w:rPr>
        <w:t>Our website address is www.fnf.com. We make available free of charge on or through our website our Annual Report on Form 10-K, Quarterly Reports on Form 10-Q, Current Reports on Form 8-K and all amendments to those reports</w:t>
      </w:r>
    </w:p>
    <w:p>
      <w:pPr>
        <w:spacing w:after="0" w:line="6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filed or furnished pursuant to Section 13(a) or 15(d) of the Securities Exchange Act of 1934, as amended, as soon as reasonably practicable after such material is electronically filed with or furnis hed to the Securities and Exchange Commission. However, the information found on our website is not part of this or any other report.</w:t>
      </w:r>
    </w:p>
    <w:p>
      <w:pPr>
        <w:spacing w:after="0" w:line="219" w:lineRule="exact"/>
        <w:rPr>
          <w:sz w:val="20"/>
          <w:szCs w:val="20"/>
          <w:color w:val="auto"/>
        </w:rPr>
      </w:pPr>
    </w:p>
    <w:p>
      <w:pPr>
        <w:jc w:val="center"/>
        <w:ind w:right="12"/>
        <w:spacing w:after="0"/>
        <w:tabs>
          <w:tab w:leader="none" w:pos="16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i w:val="1"/>
          <w:iCs w:val="1"/>
          <w:color w:val="auto"/>
        </w:rPr>
        <w:t>Risk Factors</w:t>
      </w:r>
    </w:p>
    <w:p>
      <w:pPr>
        <w:spacing w:after="0" w:line="118"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General</w:t>
      </w:r>
    </w:p>
    <w:p>
      <w:pPr>
        <w:spacing w:after="0" w:line="118"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If adverse changes in the levels of real estate activity occur, our revenues may decline.</w:t>
      </w:r>
    </w:p>
    <w:p>
      <w:pPr>
        <w:spacing w:after="0" w:line="114"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experienced declines in many parts of the country over the past four years, and these trends appear likely to continue.</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found that residential real estate activity generally decreases in the following situations:</w:t>
      </w:r>
    </w:p>
    <w:p>
      <w:pPr>
        <w:spacing w:after="0" w:line="114" w:lineRule="exact"/>
        <w:rPr>
          <w:sz w:val="20"/>
          <w:szCs w:val="20"/>
          <w:color w:val="auto"/>
        </w:rPr>
      </w:pPr>
    </w:p>
    <w:p>
      <w:pPr>
        <w:ind w:left="468" w:hanging="252"/>
        <w:spacing w:after="0"/>
        <w:tabs>
          <w:tab w:leader="none" w:pos="468" w:val="left"/>
        </w:tabs>
        <w:numPr>
          <w:ilvl w:val="0"/>
          <w:numId w:val="16"/>
        </w:numPr>
        <w:rPr>
          <w:rFonts w:ascii="Arial" w:cs="Arial" w:eastAsia="Arial" w:hAnsi="Arial"/>
          <w:sz w:val="12"/>
          <w:szCs w:val="12"/>
          <w:color w:val="auto"/>
        </w:rPr>
      </w:pPr>
      <w:r>
        <w:rPr>
          <w:rFonts w:ascii="Arial" w:cs="Arial" w:eastAsia="Arial" w:hAnsi="Arial"/>
          <w:sz w:val="12"/>
          <w:szCs w:val="12"/>
          <w:color w:val="auto"/>
        </w:rPr>
        <w:t>when mortgage interest rates are high or increasing;</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when the mortgage funding supply is limited; and</w:t>
      </w:r>
    </w:p>
    <w:p>
      <w:pPr>
        <w:spacing w:after="0" w:line="114" w:lineRule="exact"/>
        <w:rPr>
          <w:rFonts w:ascii="Arial" w:cs="Arial" w:eastAsia="Arial" w:hAnsi="Arial"/>
          <w:sz w:val="12"/>
          <w:szCs w:val="12"/>
          <w:color w:val="auto"/>
        </w:rPr>
      </w:pPr>
    </w:p>
    <w:p>
      <w:pPr>
        <w:ind w:left="428" w:hanging="212"/>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when the United States economy is weak, including high unemployment levels.</w:t>
      </w:r>
    </w:p>
    <w:p>
      <w:pPr>
        <w:spacing w:after="0" w:line="114"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Declines in the level of real estate activity or the average price of real estate sales are likely to adversely affect our title insurance revenues. In 2009 and continuing into 2010, the continued mortgage delinquency and default rates caused negative operating results at a number of banks and financial institutions and, as a result, continued to suppress the level of lending activity. The Mortgage Bankers Association's ("MBA") Mortgage Finance Forecast currently estimates an approximately $1.0 trillion mortgage origination market for 2011, which would be a decrease of 33.3% from 2010. The MBA forecasts that the 33.3% decrease</w:t>
      </w:r>
    </w:p>
    <w:p>
      <w:pPr>
        <w:spacing w:after="0" w:line="1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8"/>
          </w:cols>
          <w:pgMar w:left="212" w:top="131" w:right="1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will result almost entirely from decreased refinance activity. Our revenues in future periods will continue to be subject to these and other factors which are beyond our control and, as a result, are likely to fluctuate.</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1"/>
          <w:szCs w:val="11"/>
          <w:b w:val="1"/>
          <w:bCs w:val="1"/>
          <w:i w:val="1"/>
          <w:iCs w:val="1"/>
          <w:color w:val="auto"/>
        </w:rPr>
        <w:t>We have recorded goodwill as a result of prior acquisitions, and a continued economic downturn could cause these balances to become impai red, requiring write-downs that would reduce our operating income.</w:t>
      </w:r>
    </w:p>
    <w:p>
      <w:pPr>
        <w:spacing w:after="0" w:line="12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Goodwill aggregated approximately $1,470.7 million, or 18.6% of our total assets, as of December 31, 2010. Current accounting rules require that goodwill b 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No goodwill impairment charge was recorded in 2010. However, if there is a continued economic downturn, the carrying amount of our goodwill may no longer be recoverable, and we may be required to record an impairment charge, which would have a negative im pact on our results of operations and financial condition. We will continue to monitor our market capitalization and the impact of a continued economic downturn on our business to determine if there is an impairment of goodwill in future periods.</w:t>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If economic and credit market conditions deteriorate, it could have a material adverse impact on our investment portfolio.</w:t>
      </w:r>
    </w:p>
    <w:p>
      <w:pPr>
        <w:spacing w:after="0" w:line="11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 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 We own a minority interest in Ceridian Corporation ("Ceridian"), a provider of global human resources, payroll, benefits and payment solutions. We also own a minority interest in Remy International, Inc. (“Remy”), a designer, manufacturer, remanufacturer, marketer and distributor of aftermarket and original equipment electrical components for automobiles, light trucks, heavy-duty trucks and other vehicles. If the fair value of one of these companies were to decline below it's book value, we would be required to write down the value of our investment, which could have a material negative impact on our results of operations and financial condition.</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If financial institutions at which we hold escrow funds fail, it could have a material adverse impact on our company.</w:t>
      </w:r>
    </w:p>
    <w:p>
      <w:pPr>
        <w:spacing w:after="0" w:line="11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$4.6 billion at December 31, 2010.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69" w:lineRule="exact"/>
        <w:rPr>
          <w:sz w:val="20"/>
          <w:szCs w:val="20"/>
          <w:color w:val="auto"/>
        </w:rPr>
      </w:pPr>
    </w:p>
    <w:p>
      <w:pPr>
        <w:ind w:left="100" w:firstLine="39"/>
        <w:spacing w:after="0" w:line="276" w:lineRule="auto"/>
        <w:rPr>
          <w:sz w:val="20"/>
          <w:szCs w:val="20"/>
          <w:color w:val="auto"/>
        </w:rPr>
      </w:pPr>
      <w:r>
        <w:rPr>
          <w:rFonts w:ascii="Arial" w:cs="Arial" w:eastAsia="Arial" w:hAnsi="Arial"/>
          <w:sz w:val="12"/>
          <w:szCs w:val="12"/>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7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makes us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90"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131" w:right="19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estimate, management assesses other factors in order to determine our best estimate. These factors, which are more qualitative than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actuary&amp;rsqu o;s central estimate, we would record a charge or credit and reassess the provision rate on a go forward basis.</w:t>
      </w:r>
    </w:p>
    <w:p>
      <w:pPr>
        <w:spacing w:after="0" w:line="89"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color w:val="auto"/>
        </w:rPr>
        <w:t>Our average provision for claim losses was 6.8% of title premiums in 2010. We will reassess the provision to be recorded in future periods consistent with this methodology and can make no assurance that we will not need to record additional charges in the future to increase reserves in respect of prior periods.</w:t>
      </w:r>
    </w:p>
    <w:p>
      <w:pPr>
        <w:spacing w:after="0" w:line="79" w:lineRule="exact"/>
        <w:rPr>
          <w:sz w:val="20"/>
          <w:szCs w:val="20"/>
          <w:color w:val="auto"/>
        </w:rPr>
      </w:pPr>
    </w:p>
    <w:p>
      <w:pPr>
        <w:ind w:left="100"/>
        <w:spacing w:after="0" w:line="276" w:lineRule="auto"/>
        <w:rPr>
          <w:sz w:val="20"/>
          <w:szCs w:val="20"/>
          <w:color w:val="auto"/>
        </w:rPr>
      </w:pPr>
      <w:r>
        <w:rPr>
          <w:rFonts w:ascii="Arial" w:cs="Arial" w:eastAsia="Arial" w:hAnsi="Arial"/>
          <w:sz w:val="12"/>
          <w:szCs w:val="12"/>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79"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79" w:lineRule="exact"/>
        <w:rPr>
          <w:sz w:val="20"/>
          <w:szCs w:val="20"/>
          <w:color w:val="auto"/>
        </w:rPr>
      </w:pPr>
    </w:p>
    <w:p>
      <w:pPr>
        <w:ind w:left="460" w:hanging="252"/>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licensing requirements;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trade and marketing practices;</w:t>
      </w:r>
    </w:p>
    <w:p>
      <w:pPr>
        <w:spacing w:after="0" w:line="141" w:lineRule="exact"/>
        <w:rPr>
          <w:rFonts w:ascii="Arial" w:cs="Arial" w:eastAsia="Arial" w:hAnsi="Arial"/>
          <w:sz w:val="12"/>
          <w:szCs w:val="12"/>
          <w:color w:val="auto"/>
        </w:rPr>
      </w:pPr>
    </w:p>
    <w:p>
      <w:pPr>
        <w:ind w:left="460" w:hanging="252"/>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accounting and financing practices;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capital and surplus requirements;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amount of dividends and other payments made by insurance subsidiaries;</w:t>
      </w:r>
    </w:p>
    <w:p>
      <w:pPr>
        <w:spacing w:after="0" w:line="114" w:lineRule="exact"/>
        <w:rPr>
          <w:rFonts w:ascii="Arial" w:cs="Arial" w:eastAsia="Arial" w:hAnsi="Arial"/>
          <w:sz w:val="12"/>
          <w:szCs w:val="12"/>
          <w:color w:val="auto"/>
        </w:rPr>
      </w:pPr>
    </w:p>
    <w:p>
      <w:pPr>
        <w:ind w:left="380" w:hanging="172"/>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 investment practices;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rate schedules;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deposits of securities for the benefit of policyholders;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establishing reserves;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regulation of reinsurance.</w:t>
      </w:r>
    </w:p>
    <w:p>
      <w:pPr>
        <w:spacing w:after="0" w:line="114"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 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1"/>
          <w:szCs w:val="11"/>
          <w:i w:val="1"/>
          <w:iCs w:val="1"/>
          <w:color w:val="auto"/>
        </w:rPr>
        <w:t>Business</w:t>
      </w:r>
      <w:r>
        <w:rPr>
          <w:rFonts w:ascii="Arial" w:cs="Arial" w:eastAsia="Arial" w:hAnsi="Arial"/>
          <w:sz w:val="11"/>
          <w:szCs w:val="11"/>
          <w:color w:val="auto"/>
        </w:rPr>
        <w:t xml:space="preserve"> — Regulation.”</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State regulation of the rates we charge for title insurance could adversely affect our results of operations .</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title insurance subsidiaries are subject to extensive rate regulation by the applicable state agencies in the jurisdictions in which they operate. Title insurance rates are regulated differently in the various states, with some states requiring the subsidiaries to file and receive approval of rates before such rates become effective and some states promulgating the rates that can be charged. In almost all states in which our title subsidiaries operate, our rates must not be excessive, inadequate or unfairly discriminatory. See also the risk factor below relating to regulatory conditions in California.</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Regulatory investigations of the insurance industry may lead to fines, settlements, new regulation or legal uncertainty, which could negatively affect our results of operations.</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These fines may be significant and actions we are required to take may adversely affect our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131" w:right="19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Because we are dependent upon California for approximately 15.7 percent of our title insurance premiums, our business may be adversely affected by regulatory conditions in California.</w:t>
      </w:r>
    </w:p>
    <w:p>
      <w:pPr>
        <w:spacing w:after="0" w:line="1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California is the largest source of revenue for the title insurance industry and, in 2010, California-based premiums accounted for 22% of premiums earned by our direct operations and 5% of our agency premium revenues. In the aggregate, California accounted for approximately 15.7% of our total title insurance premiums for 2010. A significant part of our revenues and profitability are therefore subject to our operations in California and to the prevailing regulatory conditions in California. Adverse regulatory developments in California, which could include reductions in the maximum rates permitted to be charged, inadequate rate increases or more fundamental changes in the design or implementation of the California title insurance regulatory framework, could have a material adverse effect on our results of operations and financial condition.</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If the rating agencies downgrade our Company, our results of operations and competitive position in the title insurance industry may suffer.</w:t>
      </w:r>
    </w:p>
    <w:p>
      <w:pPr>
        <w:spacing w:after="0" w:line="1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Ratings have always been an important factor in establishing the competitive position of insurance companies. Our title insurance subsidiaries are rated by S&amp;P, Moody’s, A.M. Best,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89" w:lineRule="exact"/>
        <w:rPr>
          <w:sz w:val="20"/>
          <w:szCs w:val="20"/>
          <w:color w:val="auto"/>
        </w:rPr>
      </w:pPr>
    </w:p>
    <w:p>
      <w:pPr>
        <w:ind w:left="100"/>
        <w:spacing w:after="0" w:line="323" w:lineRule="auto"/>
        <w:rPr>
          <w:sz w:val="20"/>
          <w:szCs w:val="20"/>
          <w:color w:val="auto"/>
        </w:rPr>
      </w:pPr>
      <w:r>
        <w:rPr>
          <w:rFonts w:ascii="Arial" w:cs="Arial" w:eastAsia="Arial" w:hAnsi="Arial"/>
          <w:sz w:val="11"/>
          <w:szCs w:val="11"/>
          <w:b w:val="1"/>
          <w:bCs w:val="1"/>
          <w:i w:val="1"/>
          <w:iCs w:val="1"/>
          <w:color w:val="auto"/>
        </w:rPr>
        <w:t>Our management h as articulated a willingness to seek growth through acquisitions in lines of business that will not necessarily be limited to our traditional areas of focus or geographic areas. This expansion of our business subjects us to associated risks, such as the diversion of management’s attention and lack of experience in operating such businesses, and may affect our credit and ability to repay our debt.</w:t>
      </w:r>
    </w:p>
    <w:p>
      <w:pPr>
        <w:spacing w:after="0" w:line="5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management has stated that we may make acquisitions in lines of business that are not directly tied to or synergistic with our core operating segments. Accordingly, we have in the past acquired, and may in the future acquire, businesses in industries or geographic areas with which management is less familiar than we are with our core businesses. These activities involve risks that could adversely affect our operating result 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We are a holding company and depend on distributions from our subsidiaries for cash.</w:t>
      </w:r>
    </w:p>
    <w:p>
      <w:pPr>
        <w:spacing w:after="0" w:line="11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56" w:lineRule="exact"/>
        <w:rPr>
          <w:sz w:val="20"/>
          <w:szCs w:val="20"/>
          <w:color w:val="auto"/>
        </w:rPr>
      </w:pPr>
    </w:p>
    <w:p>
      <w:pPr>
        <w:jc w:val="both"/>
        <w:ind w:right="20" w:firstLine="246"/>
        <w:spacing w:after="0" w:line="263" w:lineRule="auto"/>
        <w:rPr>
          <w:sz w:val="20"/>
          <w:szCs w:val="20"/>
          <w:color w:val="auto"/>
        </w:rPr>
      </w:pPr>
      <w:r>
        <w:rPr>
          <w:rFonts w:ascii="Arial" w:cs="Arial" w:eastAsia="Arial" w:hAnsi="Arial"/>
          <w:sz w:val="12"/>
          <w:szCs w:val="12"/>
          <w:color w:val="auto"/>
        </w:rPr>
        <w:t>Our title insurance and specialty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2011, our title insurers will be able to pay dividends or make distributions to us without prior regulatory approval of approximately $76.1 million.</w:t>
      </w:r>
    </w:p>
    <w:p>
      <w:pPr>
        <w:spacing w:after="0" w:line="87" w:lineRule="exact"/>
        <w:rPr>
          <w:sz w:val="20"/>
          <w:szCs w:val="20"/>
          <w:color w:val="auto"/>
        </w:rPr>
      </w:pPr>
    </w:p>
    <w:p>
      <w:pPr>
        <w:jc w:val="both"/>
        <w:ind w:firstLine="246"/>
        <w:spacing w:after="0" w:line="259" w:lineRule="auto"/>
        <w:rPr>
          <w:sz w:val="20"/>
          <w:szCs w:val="20"/>
          <w:color w:val="auto"/>
        </w:rPr>
      </w:pPr>
      <w:r>
        <w:rPr>
          <w:rFonts w:ascii="Arial" w:cs="Arial" w:eastAsia="Arial" w:hAnsi="Arial"/>
          <w:sz w:val="12"/>
          <w:szCs w:val="12"/>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specialty insurance segment is a smaller operation; and as a result, it is unlikely to be a significant source of dividends to us in 2011.</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1"/>
          <w:szCs w:val="11"/>
          <w:b w:val="1"/>
          <w:bCs w:val="1"/>
          <w:i w:val="1"/>
          <w:iCs w:val="1"/>
          <w:color w:val="auto"/>
        </w:rPr>
        <w:t>We could have conflicts with Fidelity National Information Services ("FIS"), and our chairman of our Board of Directors and other officers and directors could have conflicts of interest due to their relationships with FIS.</w:t>
      </w:r>
    </w:p>
    <w:p>
      <w:pPr>
        <w:spacing w:after="0" w:line="126"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color w:val="auto"/>
        </w:rPr>
        <w:t>FIS and FNF were under common ownership by another publicly traded company, also called Fidelity National Financial, Inc. (“Old FNF”) until October 2006, when Old FNF distributed all of its FNF shares to the stockholders of Old FNF (the "2006</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131" w:right="19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Distribution"). In November 2006, Old FNF then merged into FIS.</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Conflicts may arise between us and FIS as a result of our ongoing agreements and the nature of our respective businesses. We are party to a number of agreements with FIS, and we may enter into further agreements with FIS. Certain of our executive officers and directors could be subject to conflicts of interest with respect to such agreements and other matters due to their relationships with FIS.</w:t>
      </w:r>
    </w:p>
    <w:p>
      <w:pPr>
        <w:spacing w:after="0" w:line="7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Some of our executive officers and directors own substantial amounts of FIS stock and stock options. Such ownership could create or appear to create potential conflicts of interest when our directors and officers are faced with decisions that involve FIS or any of its subsidiaries.</w:t>
      </w:r>
    </w:p>
    <w:p>
      <w:pPr>
        <w:spacing w:after="0" w:line="7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William P. Foley, II, is the executive chairman of our Board of Directors and the Chairman of the Board of FIS. As a result of these roles, he has obligations to us and FIS and may have conflicts of interest with respect to matters potentially or actually involving or affecting our and FIS’s respective businesses. In addition, Mr. Foley may also have conflicts of time with respect to his multiple responsibilities. If his duties to either of these companies require more time than Mr.&amp;nbs p;Foley is able to allot, then his oversight of that company’s activities could be diminished. Finally, FIS and FNF have overlapping directors and officers.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Matters that could give rise to conflicts between us and FIS include, among other things:</w:t>
      </w:r>
    </w:p>
    <w:p>
      <w:pPr>
        <w:spacing w:after="0" w:line="114" w:lineRule="exact"/>
        <w:rPr>
          <w:sz w:val="20"/>
          <w:szCs w:val="20"/>
          <w:color w:val="auto"/>
        </w:rPr>
      </w:pPr>
    </w:p>
    <w:p>
      <w:pPr>
        <w:ind w:left="420" w:hanging="212"/>
        <w:spacing w:after="0" w:line="276"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ongoing and future relationships with FIS, including related party agreement s and other arrangements with respect to the information technology support services, administrative corporate support and cost sharing services, indemnification, and other matters;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quality and pricing of services that we have agreed to provide to FIS or that it has agreed to provide to us.</w:t>
      </w:r>
    </w:p>
    <w:p>
      <w:pPr>
        <w:spacing w:after="0" w:line="114" w:lineRule="exact"/>
        <w:rPr>
          <w:sz w:val="20"/>
          <w:szCs w:val="20"/>
          <w:color w:val="auto"/>
        </w:rPr>
      </w:pPr>
    </w:p>
    <w:p>
      <w:pPr>
        <w:ind w:left="20" w:firstLine="216"/>
        <w:spacing w:after="0" w:line="323" w:lineRule="auto"/>
        <w:rPr>
          <w:sz w:val="20"/>
          <w:szCs w:val="20"/>
          <w:color w:val="auto"/>
        </w:rPr>
      </w:pPr>
      <w:r>
        <w:rPr>
          <w:rFonts w:ascii="Arial" w:cs="Arial" w:eastAsia="Arial" w:hAnsi="Arial"/>
          <w:sz w:val="11"/>
          <w:szCs w:val="11"/>
          <w:color w:val="auto"/>
        </w:rPr>
        <w:t>We seek to manage these potential conflicts through dispute resolution and other provisions of our agreements with FIS and through oversight by independent members of our Board of Directors. However, there can be no assurance that such measures will be effective or that we will be able to resolve all potential conflicts with FIS, or that the resolution of any such conflicts will be no less favorable to us than if we were dealing with a third party.</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The loss of key personnel could negatively affect our financial results and impair our operating abilities.</w:t>
      </w:r>
    </w:p>
    <w:p>
      <w:pPr>
        <w:spacing w:after="0" w:line="114"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2"/>
          <w:szCs w:val="12"/>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227" w:lineRule="exact"/>
        <w:rPr>
          <w:sz w:val="20"/>
          <w:szCs w:val="20"/>
          <w:color w:val="auto"/>
        </w:rPr>
      </w:pPr>
    </w:p>
    <w:p>
      <w:pPr>
        <w:ind w:left="4740"/>
        <w:spacing w:after="0"/>
        <w:tabs>
          <w:tab w:leader="none" w:pos="532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0"/>
          <w:szCs w:val="10"/>
          <w:b w:val="1"/>
          <w:bCs w:val="1"/>
          <w:i w:val="1"/>
          <w:iCs w:val="1"/>
          <w:color w:val="auto"/>
        </w:rPr>
        <w:t>Unresolved Staff Comments</w:t>
      </w:r>
    </w:p>
    <w:p>
      <w:pPr>
        <w:spacing w:after="0" w:line="118"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None.</w:t>
      </w:r>
    </w:p>
    <w:p>
      <w:pPr>
        <w:spacing w:after="0" w:line="254"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1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have our corporate headquarters on our campus in Jacksonville, Florida. The majority of our branch offices are leased from third parties (see note L to Notes to Consolidated Financial Statements). Our subsidiaries condu ct their business operations primarily in leased office space in 43 states, Washington, DC, Puerto Rico, Canada, India and Mexico.</w:t>
      </w:r>
    </w:p>
    <w:p>
      <w:pPr>
        <w:spacing w:after="0" w:line="219"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i w:val="1"/>
          <w:iCs w:val="1"/>
          <w:color w:val="auto"/>
        </w:rPr>
        <w:t>Legal Proceedings</w:t>
      </w:r>
    </w:p>
    <w:p>
      <w:pPr>
        <w:spacing w:after="0" w:line="1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the ordinary course of business, we are involved in various pending and threatened litigation matters related to our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 discussed below, depart from customary litigation incidental to our business.</w:t>
      </w:r>
    </w:p>
    <w:p>
      <w:pPr>
        <w:spacing w:after="0" w:line="12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review lawsuits and other legal and regulatory matters (collectively “legal proceedings”) on an o 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is considered to be individually or in the aggregate significant to our financial condition. Actual losses may materially differ from the amounts recorded and the ultimate outcome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131" w:right="19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pending cases is generally not yet determinable. While some of these matters could be material to our operating results for any particular period if an unfavorable outcome results, at present we do not believe that the ultimate resolution of currently pending legal proceedings, either individually or in the aggregate, will have a material adverse effect on the Company's financial condition, results of operations or cash flows.</w:t>
      </w:r>
    </w:p>
    <w:p>
      <w:pPr>
        <w:spacing w:after="0" w:line="11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 xml:space="preserve">On November 24, 2010, plaintiffs filed a class action in th e United States District court, Northern District of California, Oakland Division titled </w:t>
      </w:r>
      <w:r>
        <w:rPr>
          <w:rFonts w:ascii="Arial" w:cs="Arial" w:eastAsia="Arial" w:hAnsi="Arial"/>
          <w:sz w:val="12"/>
          <w:szCs w:val="12"/>
          <w:i w:val="1"/>
          <w:iCs w:val="1"/>
          <w:color w:val="auto"/>
        </w:rPr>
        <w:t>Vivian Hays, et al. vs. Commonwealth Land Title Insurance Company, Lawyers Title</w:t>
      </w:r>
      <w:r>
        <w:rPr>
          <w:rFonts w:ascii="Arial" w:cs="Arial" w:eastAsia="Arial" w:hAnsi="Arial"/>
          <w:sz w:val="12"/>
          <w:szCs w:val="12"/>
          <w:color w:val="auto"/>
        </w:rPr>
        <w:t xml:space="preserve"> </w:t>
      </w:r>
      <w:r>
        <w:rPr>
          <w:rFonts w:ascii="Arial" w:cs="Arial" w:eastAsia="Arial" w:hAnsi="Arial"/>
          <w:sz w:val="12"/>
          <w:szCs w:val="12"/>
          <w:i w:val="1"/>
          <w:iCs w:val="1"/>
          <w:color w:val="auto"/>
        </w:rPr>
        <w:t>Insurance Company, and Does 1-20</w:t>
      </w:r>
      <w:r>
        <w:rPr>
          <w:rFonts w:ascii="Arial" w:cs="Arial" w:eastAsia="Arial" w:hAnsi="Arial"/>
          <w:sz w:val="12"/>
          <w:szCs w:val="12"/>
          <w:color w:val="auto"/>
        </w:rPr>
        <w:t>. Plaintiffs seek to represent a class of all persons who deposited their exchange funds with LandAmerica 1031 Exchange Service (“LES”) and were not able to use them in their contemplated exchanges</w:t>
      </w:r>
      <w:r>
        <w:rPr>
          <w:rFonts w:ascii="Arial" w:cs="Arial" w:eastAsia="Arial" w:hAnsi="Arial"/>
          <w:sz w:val="12"/>
          <w:szCs w:val="12"/>
          <w:i w:val="1"/>
          <w:iCs w:val="1"/>
          <w:color w:val="auto"/>
        </w:rPr>
        <w:t xml:space="preserve"> </w:t>
      </w:r>
      <w:r>
        <w:rPr>
          <w:rFonts w:ascii="Arial" w:cs="Arial" w:eastAsia="Arial" w:hAnsi="Arial"/>
          <w:sz w:val="12"/>
          <w:szCs w:val="12"/>
          <w:color w:val="auto"/>
        </w:rPr>
        <w:t>due to the alleged illiquidity of LES caused by the collapse of the auction rate security market in early 2008. Plaintiffs allege Commonwealth Land Title Insurance Company and Lawyers Title Insurance Corporation (which was merged into Fidelity National Title Insurance Company) knew of the problems at LES and had an obligation of disclosure to exchangers, but did not disclose and instead recommended exchangers use LES in order to fund prior exchangers' transactions with mone y from new exchangers. Plaintiffs have sued our subsidiaries Commonwealth Land Title Insurance Company and Lawyers Title Insurance Corporation for negligence, breach of fiduciary duty, constructive fraud and aiding and abetting LES. Plaintiffs ask for compensatory and punitive damages, prejudgment interest and reasonable attorney's fees. We have employed counsel and intend to vigorously defend the action. The case did not include a statement as to the amount of damages demanded, but instead included a demand for damages in an amount to be proved at trial. Due to the early stage of this case, it is not possible to make meaningful estimates, if any, of the amount or range of loss that could result from this case at this time.</w:t>
      </w:r>
    </w:p>
    <w:p>
      <w:pPr>
        <w:spacing w:after="0" w:line="1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Various governmental entities are studying the title insurance product, market, pricing, business practices, and potential regulatory and legislative changes, which may materially affect our business and operations. We receive inquiries and requests for information from state insurance departments, attorneys general and other regulatory agencies from time to time about various matters relating to our business. Sometimes these take the form of civil investigative subpoenas or market conduct examinations. We attempt to cooperate with all such inquiries. From time to time, we are assessed fines for violations of regulations or other matters or enter into settlements with such authorities which require us to pay money or take other actions.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40" w:type="dxa"/>
            <w:vAlign w:val="bottom"/>
          </w:tcPr>
          <w:p>
            <w:pPr>
              <w:spacing w:after="0"/>
              <w:rPr>
                <w:sz w:val="13"/>
                <w:szCs w:val="13"/>
                <w:color w:val="auto"/>
              </w:rPr>
            </w:pPr>
          </w:p>
        </w:tc>
        <w:tc>
          <w:tcPr>
            <w:tcW w:w="4200" w:type="dxa"/>
            <w:vAlign w:val="bottom"/>
            <w:gridSpan w:val="2"/>
          </w:tcPr>
          <w:p>
            <w:pPr>
              <w:jc w:val="center"/>
              <w:ind w:left="940"/>
              <w:spacing w:after="0"/>
              <w:rPr>
                <w:sz w:val="20"/>
                <w:szCs w:val="20"/>
                <w:color w:val="auto"/>
              </w:rPr>
            </w:pPr>
            <w:r>
              <w:rPr>
                <w:rFonts w:ascii="Arial" w:cs="Arial" w:eastAsia="Arial" w:hAnsi="Arial"/>
                <w:sz w:val="12"/>
                <w:szCs w:val="12"/>
                <w:b w:val="1"/>
                <w:bCs w:val="1"/>
                <w:color w:val="auto"/>
              </w:rPr>
              <w:t>PART II</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96"/>
        </w:trPr>
        <w:tc>
          <w:tcPr>
            <w:tcW w:w="3140" w:type="dxa"/>
            <w:vAlign w:val="bottom"/>
          </w:tcPr>
          <w:p>
            <w:pPr>
              <w:ind w:left="2720"/>
              <w:spacing w:after="0"/>
              <w:rPr>
                <w:sz w:val="20"/>
                <w:szCs w:val="20"/>
                <w:color w:val="auto"/>
              </w:rPr>
            </w:pPr>
            <w:r>
              <w:rPr>
                <w:rFonts w:ascii="Arial" w:cs="Arial" w:eastAsia="Arial" w:hAnsi="Arial"/>
                <w:sz w:val="12"/>
                <w:szCs w:val="12"/>
                <w:b w:val="1"/>
                <w:bCs w:val="1"/>
                <w:color w:val="auto"/>
              </w:rPr>
              <w:t>Item 5.</w:t>
            </w:r>
          </w:p>
        </w:tc>
        <w:tc>
          <w:tcPr>
            <w:tcW w:w="6100" w:type="dxa"/>
            <w:vAlign w:val="bottom"/>
            <w:gridSpan w:val="7"/>
          </w:tcPr>
          <w:p>
            <w:pPr>
              <w:jc w:val="right"/>
              <w:ind w:right="421"/>
              <w:spacing w:after="0"/>
              <w:rPr>
                <w:sz w:val="20"/>
                <w:szCs w:val="20"/>
                <w:color w:val="auto"/>
              </w:rPr>
            </w:pPr>
            <w:r>
              <w:rPr>
                <w:rFonts w:ascii="Arial" w:cs="Arial" w:eastAsia="Arial" w:hAnsi="Arial"/>
                <w:sz w:val="12"/>
                <w:szCs w:val="12"/>
                <w:b w:val="1"/>
                <w:bCs w:val="1"/>
                <w:i w:val="1"/>
                <w:iCs w:val="1"/>
                <w:color w:val="auto"/>
                <w:w w:val="87"/>
              </w:rPr>
              <w:t>Market for Registrant's Common Equity, Related Stockholder Matters and Issuer Purchases of Equity Securities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1"/>
        </w:trPr>
        <w:tc>
          <w:tcPr>
            <w:tcW w:w="3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10"/>
                <w:szCs w:val="10"/>
                <w:b w:val="1"/>
                <w:bCs w:val="1"/>
                <w:color w:val="auto"/>
              </w:rPr>
              <w:t>Cash Dividends</w:t>
            </w:r>
          </w:p>
        </w:tc>
      </w:tr>
      <w:tr>
        <w:trPr>
          <w:trHeight w:val="132"/>
        </w:trPr>
        <w:tc>
          <w:tcPr>
            <w:tcW w:w="31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tcPr>
          <w:p>
            <w:pPr>
              <w:ind w:left="180"/>
              <w:spacing w:after="0"/>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11"/>
                <w:szCs w:val="11"/>
                <w:color w:val="auto"/>
              </w:rPr>
            </w:pPr>
          </w:p>
        </w:tc>
        <w:tc>
          <w:tcPr>
            <w:tcW w:w="700" w:type="dxa"/>
            <w:vAlign w:val="bottom"/>
          </w:tcPr>
          <w:p>
            <w:pPr>
              <w:jc w:val="right"/>
              <w:ind w:right="281"/>
              <w:spacing w:after="0"/>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ind w:left="340"/>
              <w:spacing w:after="0"/>
              <w:rPr>
                <w:sz w:val="20"/>
                <w:szCs w:val="20"/>
                <w:color w:val="auto"/>
              </w:rPr>
            </w:pPr>
            <w:r>
              <w:rPr>
                <w:rFonts w:ascii="Arial" w:cs="Arial" w:eastAsia="Arial" w:hAnsi="Arial"/>
                <w:sz w:val="10"/>
                <w:szCs w:val="10"/>
                <w:b w:val="1"/>
                <w:bCs w:val="1"/>
                <w:color w:val="auto"/>
              </w:rPr>
              <w:t>Declared</w:t>
            </w:r>
          </w:p>
        </w:tc>
      </w:tr>
      <w:tr>
        <w:trPr>
          <w:trHeight w:val="16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Year ended December 31, 2010</w:t>
            </w:r>
          </w:p>
        </w:tc>
        <w:tc>
          <w:tcPr>
            <w:tcW w:w="39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180"/>
        </w:trPr>
        <w:tc>
          <w:tcPr>
            <w:tcW w:w="3140" w:type="dxa"/>
            <w:vAlign w:val="bottom"/>
          </w:tcPr>
          <w:p>
            <w:pPr>
              <w:ind w:left="100"/>
              <w:spacing w:after="0"/>
              <w:rPr>
                <w:sz w:val="20"/>
                <w:szCs w:val="20"/>
                <w:color w:val="auto"/>
              </w:rPr>
            </w:pPr>
            <w:r>
              <w:rPr>
                <w:rFonts w:ascii="Arial" w:cs="Arial" w:eastAsia="Arial" w:hAnsi="Arial"/>
                <w:sz w:val="12"/>
                <w:szCs w:val="12"/>
                <w:color w:val="auto"/>
              </w:rPr>
              <w:t>Fi rst quarter</w:t>
            </w:r>
          </w:p>
        </w:tc>
        <w:tc>
          <w:tcPr>
            <w:tcW w:w="42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15.05</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12.74</w:t>
            </w:r>
          </w:p>
        </w:tc>
        <w:tc>
          <w:tcPr>
            <w:tcW w:w="4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300" w:type="dxa"/>
            <w:vAlign w:val="bottom"/>
          </w:tcPr>
          <w:p>
            <w:pPr>
              <w:ind w:left="480"/>
              <w:spacing w:after="0"/>
              <w:rPr>
                <w:sz w:val="20"/>
                <w:szCs w:val="20"/>
                <w:color w:val="auto"/>
              </w:rPr>
            </w:pPr>
            <w:r>
              <w:rPr>
                <w:rFonts w:ascii="Arial" w:cs="Arial" w:eastAsia="Arial" w:hAnsi="Arial"/>
                <w:sz w:val="12"/>
                <w:szCs w:val="12"/>
                <w:color w:val="auto"/>
              </w:rPr>
              <w:t>0.15 &lt; /font&gt;</w:t>
            </w:r>
          </w:p>
        </w:tc>
      </w:tr>
      <w:tr>
        <w:trPr>
          <w:trHeight w:val="180"/>
        </w:trPr>
        <w:tc>
          <w:tcPr>
            <w:tcW w:w="3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Second quarter</w:t>
            </w:r>
          </w:p>
        </w:tc>
        <w:tc>
          <w:tcPr>
            <w:tcW w:w="3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0.18</w:t>
            </w:r>
          </w:p>
        </w:tc>
      </w:tr>
      <w:tr>
        <w:trPr>
          <w:trHeight w:val="171"/>
        </w:trPr>
        <w:tc>
          <w:tcPr>
            <w:tcW w:w="3140" w:type="dxa"/>
            <w:vAlign w:val="bottom"/>
          </w:tcPr>
          <w:p>
            <w:pPr>
              <w:spacing w:after="0"/>
              <w:rPr>
                <w:sz w:val="20"/>
                <w:szCs w:val="20"/>
                <w:color w:val="auto"/>
              </w:rPr>
            </w:pPr>
            <w:r>
              <w:rPr>
                <w:rFonts w:ascii="Arial" w:cs="Arial" w:eastAsia="Arial" w:hAnsi="Arial"/>
                <w:sz w:val="12"/>
                <w:szCs w:val="12"/>
                <w:color w:val="auto"/>
              </w:rPr>
              <w:t>Third quarter</w:t>
            </w:r>
          </w:p>
        </w:tc>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16.07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Arial" w:cs="Arial" w:eastAsia="Arial" w:hAnsi="Arial"/>
                <w:sz w:val="12"/>
                <w:szCs w:val="12"/>
                <w:color w:val="auto"/>
              </w:rPr>
              <w:t>0.18</w:t>
            </w:r>
          </w:p>
        </w:tc>
      </w:tr>
      <w:tr>
        <w:trPr>
          <w:trHeight w:val="189"/>
        </w:trPr>
        <w:tc>
          <w:tcPr>
            <w:tcW w:w="3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Fourth quarter</w:t>
            </w:r>
          </w:p>
        </w:tc>
        <w:tc>
          <w:tcPr>
            <w:tcW w:w="3940" w:type="dxa"/>
            <w:vAlign w:val="bottom"/>
            <w:shd w:val="clear" w:color="auto" w:fill="CCEEFF"/>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0.18</w:t>
            </w:r>
          </w:p>
        </w:tc>
      </w:tr>
      <w:tr>
        <w:trPr>
          <w:trHeight w:val="180"/>
        </w:trPr>
        <w:tc>
          <w:tcPr>
            <w:tcW w:w="31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2009</w:t>
            </w:r>
          </w:p>
        </w:tc>
        <w:tc>
          <w:tcPr>
            <w:tcW w:w="3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1"/>
        </w:trPr>
        <w:tc>
          <w:tcPr>
            <w:tcW w:w="3140" w:type="dxa"/>
            <w:vAlign w:val="bottom"/>
          </w:tcPr>
          <w:p>
            <w:pPr>
              <w:ind w:left="100"/>
              <w:spacing w:after="0"/>
              <w:rPr>
                <w:sz w:val="20"/>
                <w:szCs w:val="20"/>
                <w:color w:val="auto"/>
              </w:rPr>
            </w:pPr>
            <w:r>
              <w:rPr>
                <w:rFonts w:ascii="Arial" w:cs="Arial" w:eastAsia="Arial" w:hAnsi="Arial"/>
                <w:sz w:val="12"/>
                <w:szCs w:val="12"/>
                <w:color w:val="auto"/>
              </w:rPr>
              <w:t>First quarter</w:t>
            </w:r>
          </w:p>
        </w:tc>
        <w:tc>
          <w:tcPr>
            <w:tcW w:w="42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20.51</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14.20</w:t>
            </w:r>
          </w:p>
        </w:tc>
        <w:tc>
          <w:tcPr>
            <w:tcW w:w="4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300" w:type="dxa"/>
            <w:vAlign w:val="bottom"/>
          </w:tcPr>
          <w:p>
            <w:pPr>
              <w:ind w:left="480"/>
              <w:spacing w:after="0"/>
              <w:rPr>
                <w:sz w:val="20"/>
                <w:szCs w:val="20"/>
                <w:color w:val="auto"/>
              </w:rPr>
            </w:pPr>
            <w:r>
              <w:rPr>
                <w:rFonts w:ascii="Arial" w:cs="Arial" w:eastAsia="Arial" w:hAnsi="Arial"/>
                <w:sz w:val="12"/>
                <w:szCs w:val="12"/>
                <w:color w:val="auto"/>
              </w:rPr>
              <w:t>0.15</w:t>
            </w:r>
          </w:p>
        </w:tc>
      </w:tr>
      <w:tr>
        <w:trPr>
          <w:trHeight w:val="144"/>
        </w:trPr>
        <w:tc>
          <w:tcPr>
            <w:tcW w:w="314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ind w:left="680"/>
              <w:spacing w:after="0"/>
              <w:rPr>
                <w:sz w:val="20"/>
                <w:szCs w:val="20"/>
                <w:color w:val="auto"/>
              </w:rPr>
            </w:pPr>
            <w:r>
              <w:rPr>
                <w:rFonts w:ascii="Arial" w:cs="Arial" w:eastAsia="Arial" w:hAnsi="Arial"/>
                <w:sz w:val="12"/>
                <w:szCs w:val="12"/>
                <w:color w:val="auto"/>
              </w:rPr>
              <w:t>&lt; div</w:t>
            </w:r>
          </w:p>
        </w:tc>
      </w:tr>
      <w:tr>
        <w:trPr>
          <w:trHeight w:val="126"/>
        </w:trPr>
        <w:tc>
          <w:tcPr>
            <w:tcW w:w="3140" w:type="dxa"/>
            <w:vAlign w:val="bottom"/>
            <w:shd w:val="clear" w:color="auto" w:fill="CCEEFF"/>
          </w:tcPr>
          <w:p>
            <w:pPr>
              <w:spacing w:after="0"/>
              <w:rPr>
                <w:sz w:val="10"/>
                <w:szCs w:val="10"/>
                <w:color w:val="auto"/>
              </w:rPr>
            </w:pPr>
          </w:p>
        </w:tc>
        <w:tc>
          <w:tcPr>
            <w:tcW w:w="39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ind w:left="680"/>
              <w:spacing w:after="0" w:line="126" w:lineRule="exact"/>
              <w:rPr>
                <w:sz w:val="20"/>
                <w:szCs w:val="20"/>
                <w:color w:val="auto"/>
              </w:rPr>
            </w:pPr>
            <w:r>
              <w:rPr>
                <w:rFonts w:ascii="Arial" w:cs="Arial" w:eastAsia="Arial" w:hAnsi="Arial"/>
                <w:sz w:val="12"/>
                <w:szCs w:val="12"/>
                <w:color w:val="auto"/>
              </w:rPr>
              <w:t>style="text-</w:t>
            </w:r>
          </w:p>
        </w:tc>
      </w:tr>
      <w:tr>
        <w:trPr>
          <w:trHeight w:val="171"/>
        </w:trPr>
        <w:tc>
          <w:tcPr>
            <w:tcW w:w="3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Second quarter</w:t>
            </w:r>
          </w:p>
        </w:tc>
        <w:tc>
          <w:tcPr>
            <w:tcW w:w="3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6"/>
              </w:rPr>
              <w:t>0.15align:left;"&gt;</w:t>
            </w:r>
          </w:p>
        </w:tc>
      </w:tr>
      <w:tr>
        <w:trPr>
          <w:trHeight w:val="171"/>
        </w:trPr>
        <w:tc>
          <w:tcPr>
            <w:tcW w:w="3140" w:type="dxa"/>
            <w:vAlign w:val="bottom"/>
          </w:tcPr>
          <w:p>
            <w:pPr>
              <w:ind w:left="100"/>
              <w:spacing w:after="0"/>
              <w:rPr>
                <w:sz w:val="20"/>
                <w:szCs w:val="20"/>
                <w:color w:val="auto"/>
              </w:rPr>
            </w:pPr>
            <w:r>
              <w:rPr>
                <w:rFonts w:ascii="Arial" w:cs="Arial" w:eastAsia="Arial" w:hAnsi="Arial"/>
                <w:sz w:val="12"/>
                <w:szCs w:val="12"/>
                <w:color w:val="auto"/>
              </w:rPr>
              <w:t>Third quarter</w:t>
            </w:r>
          </w:p>
        </w:tc>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16.76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Arial" w:cs="Arial" w:eastAsia="Arial" w:hAnsi="Arial"/>
                <w:sz w:val="12"/>
                <w:szCs w:val="12"/>
                <w:color w:val="auto"/>
              </w:rPr>
              <w:t>0.15</w:t>
            </w:r>
          </w:p>
        </w:tc>
      </w:tr>
      <w:tr>
        <w:trPr>
          <w:trHeight w:val="189"/>
        </w:trPr>
        <w:tc>
          <w:tcPr>
            <w:tcW w:w="3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Fourth quarter</w:t>
            </w:r>
          </w:p>
        </w:tc>
        <w:tc>
          <w:tcPr>
            <w:tcW w:w="3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13.11</w:t>
            </w:r>
          </w:p>
        </w:tc>
        <w:tc>
          <w:tcPr>
            <w:tcW w:w="10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0.15</w:t>
            </w:r>
          </w:p>
        </w:tc>
      </w:tr>
      <w:tr>
        <w:trPr>
          <w:trHeight w:val="288"/>
        </w:trPr>
        <w:tc>
          <w:tcPr>
            <w:tcW w:w="3140" w:type="dxa"/>
            <w:vAlign w:val="bottom"/>
          </w:tcPr>
          <w:p>
            <w:pPr>
              <w:spacing w:after="0"/>
              <w:rPr>
                <w:sz w:val="24"/>
                <w:szCs w:val="24"/>
                <w:color w:val="auto"/>
              </w:rPr>
            </w:pPr>
          </w:p>
        </w:tc>
        <w:tc>
          <w:tcPr>
            <w:tcW w:w="3940" w:type="dxa"/>
            <w:vAlign w:val="bottom"/>
          </w:tcPr>
          <w:p>
            <w:pPr>
              <w:jc w:val="right"/>
              <w:ind w:right="1220"/>
              <w:spacing w:after="0"/>
              <w:rPr>
                <w:sz w:val="20"/>
                <w:szCs w:val="20"/>
                <w:color w:val="auto"/>
              </w:rPr>
            </w:pPr>
            <w:r>
              <w:rPr>
                <w:rFonts w:ascii="Arial" w:cs="Arial" w:eastAsia="Arial" w:hAnsi="Arial"/>
                <w:sz w:val="12"/>
                <w:szCs w:val="12"/>
                <w:color w:val="auto"/>
              </w:rPr>
              <w:t>19</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21" w:name="page22"/>
    <w:bookmarkEnd w:id="21"/>
    <w:p>
      <w:pPr>
        <w:jc w:val="center"/>
        <w:spacing w:after="0"/>
        <w:rPr>
          <w:rFonts w:ascii="Arial" w:cs="Arial" w:eastAsia="Arial" w:hAnsi="Arial"/>
          <w:sz w:val="12"/>
          <w:szCs w:val="12"/>
          <w:color w:val="auto"/>
        </w:rPr>
      </w:pPr>
      <w:r>
        <w:rPr>
          <w:rFonts w:ascii="Arial" w:cs="Arial" w:eastAsia="Arial" w:hAnsi="Arial"/>
          <w:sz w:val="12"/>
          <w:szCs w:val="12"/>
          <w:color w:val="auto"/>
        </w:rPr>
        <w:t>&lt; div style="line-height:120%;text-align:left;"&gt;</w:t>
      </w:r>
      <w:hyperlink w:anchor="page1">
        <w:r>
          <w:rPr>
            <w:rFonts w:ascii="Arial" w:cs="Arial" w:eastAsia="Arial" w:hAnsi="Arial"/>
            <w:sz w:val="12"/>
            <w:szCs w:val="12"/>
            <w:u w:val="single" w:color="auto"/>
            <w:color w:val="0000FF"/>
          </w:rPr>
          <w:t>Table of Contents</w:t>
        </w:r>
      </w:hyperlink>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PERFORMANCE GRAPH</w:t>
      </w:r>
    </w:p>
    <w:p>
      <w:pPr>
        <w:spacing w:after="0" w:line="11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Set forth below is a graph comparing cumulative total stockholder return on our common stock against the cumulative total return on the S &amp; P 500 Index and against the cumulative total return of a peer group index consisting of certain companies in the primary industry in which we compete (SIC code 6361 — Title Insurance) for the period ending December 31, 2010.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2005, with dividends reinvested over the periods indicated.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Comparison of 5 Year Cumulative Total Return</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Among Fidelity National Financial, Inc., the S&amp;P 500 Index</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72390</wp:posOffset>
            </wp:positionV>
            <wp:extent cx="3900805" cy="214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00805" cy="214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340" w:type="dxa"/>
        <w:tblCellMar>
          <w:top w:w="0" w:type="dxa"/>
          <w:left w:w="0" w:type="dxa"/>
          <w:bottom w:w="0" w:type="dxa"/>
          <w:right w:w="0" w:type="dxa"/>
        </w:tblCellMar>
      </w:tblPr>
      <w:tr>
        <w:trPr>
          <w:trHeight w:val="140"/>
        </w:trPr>
        <w:tc>
          <w:tcPr>
            <w:tcW w:w="258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12/31/2005</w:t>
            </w:r>
          </w:p>
        </w:tc>
        <w:tc>
          <w:tcPr>
            <w:tcW w:w="12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12/31/2006</w:t>
            </w:r>
          </w:p>
        </w:tc>
        <w:tc>
          <w:tcPr>
            <w:tcW w:w="12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12/31/2007</w:t>
            </w:r>
          </w:p>
        </w:tc>
        <w:tc>
          <w:tcPr>
            <w:tcW w:w="11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12/31/2008</w:t>
            </w:r>
          </w:p>
        </w:tc>
        <w:tc>
          <w:tcPr>
            <w:tcW w:w="192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12/31/2009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12/31/2010</w:t>
            </w:r>
          </w:p>
        </w:tc>
      </w:tr>
      <w:tr>
        <w:trPr>
          <w:trHeight w:val="255"/>
        </w:trPr>
        <w:tc>
          <w:tcPr>
            <w:tcW w:w="2580" w:type="dxa"/>
            <w:vAlign w:val="bottom"/>
          </w:tcPr>
          <w:p>
            <w:pPr>
              <w:ind w:left="220"/>
              <w:spacing w:after="0"/>
              <w:rPr>
                <w:sz w:val="20"/>
                <w:szCs w:val="20"/>
                <w:color w:val="auto"/>
              </w:rPr>
            </w:pPr>
            <w:r>
              <w:rPr>
                <w:rFonts w:ascii="Arial" w:cs="Arial" w:eastAsia="Arial" w:hAnsi="Arial"/>
                <w:sz w:val="10"/>
                <w:szCs w:val="10"/>
                <w:color w:val="auto"/>
              </w:rPr>
              <w:t>Fidelity National Financial, Inc.</w:t>
            </w:r>
          </w:p>
        </w:tc>
        <w:tc>
          <w:tcPr>
            <w:tcW w:w="2000" w:type="dxa"/>
            <w:vAlign w:val="bottom"/>
          </w:tcPr>
          <w:p>
            <w:pPr>
              <w:jc w:val="right"/>
              <w:ind w:right="332"/>
              <w:spacing w:after="0"/>
              <w:rPr>
                <w:sz w:val="20"/>
                <w:szCs w:val="20"/>
                <w:color w:val="auto"/>
              </w:rPr>
            </w:pPr>
            <w:r>
              <w:rPr>
                <w:rFonts w:ascii="Arial" w:cs="Arial" w:eastAsia="Arial" w:hAnsi="Arial"/>
                <w:sz w:val="10"/>
                <w:szCs w:val="10"/>
                <w:color w:val="auto"/>
              </w:rPr>
              <w:t>100.00</w:t>
            </w:r>
          </w:p>
        </w:tc>
        <w:tc>
          <w:tcPr>
            <w:tcW w:w="1220" w:type="dxa"/>
            <w:vAlign w:val="bottom"/>
          </w:tcPr>
          <w:p>
            <w:pPr>
              <w:jc w:val="right"/>
              <w:ind w:right="312"/>
              <w:spacing w:after="0"/>
              <w:rPr>
                <w:sz w:val="20"/>
                <w:szCs w:val="20"/>
                <w:color w:val="auto"/>
              </w:rPr>
            </w:pPr>
            <w:r>
              <w:rPr>
                <w:rFonts w:ascii="Arial" w:cs="Arial" w:eastAsia="Arial" w:hAnsi="Arial"/>
                <w:sz w:val="10"/>
                <w:szCs w:val="10"/>
                <w:color w:val="auto"/>
              </w:rPr>
              <w:t>103.51</w:t>
            </w:r>
          </w:p>
        </w:tc>
        <w:tc>
          <w:tcPr>
            <w:tcW w:w="1240" w:type="dxa"/>
            <w:vAlign w:val="bottom"/>
          </w:tcPr>
          <w:p>
            <w:pPr>
              <w:jc w:val="right"/>
              <w:ind w:right="332"/>
              <w:spacing w:after="0"/>
              <w:rPr>
                <w:sz w:val="20"/>
                <w:szCs w:val="20"/>
                <w:color w:val="auto"/>
              </w:rPr>
            </w:pPr>
            <w:r>
              <w:rPr>
                <w:rFonts w:ascii="Arial" w:cs="Arial" w:eastAsia="Arial" w:hAnsi="Arial"/>
                <w:sz w:val="10"/>
                <w:szCs w:val="10"/>
                <w:color w:val="auto"/>
              </w:rPr>
              <w:t>67.21</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87.57</w:t>
            </w:r>
          </w:p>
        </w:tc>
        <w:tc>
          <w:tcPr>
            <w:tcW w:w="1920" w:type="dxa"/>
            <w:vAlign w:val="bottom"/>
          </w:tcPr>
          <w:p>
            <w:pPr>
              <w:jc w:val="right"/>
              <w:ind w:right="892"/>
              <w:spacing w:after="0"/>
              <w:rPr>
                <w:sz w:val="20"/>
                <w:szCs w:val="20"/>
                <w:color w:val="auto"/>
              </w:rPr>
            </w:pPr>
            <w:r>
              <w:rPr>
                <w:rFonts w:ascii="Arial" w:cs="Arial" w:eastAsia="Arial" w:hAnsi="Arial"/>
                <w:sz w:val="10"/>
                <w:szCs w:val="10"/>
                <w:color w:val="auto"/>
              </w:rPr>
              <w:t>69.14</w:t>
            </w:r>
          </w:p>
        </w:tc>
        <w:tc>
          <w:tcPr>
            <w:tcW w:w="740" w:type="dxa"/>
            <w:vAlign w:val="bottom"/>
          </w:tcPr>
          <w:p>
            <w:pPr>
              <w:jc w:val="right"/>
              <w:ind w:right="212"/>
              <w:spacing w:after="0"/>
              <w:rPr>
                <w:sz w:val="20"/>
                <w:szCs w:val="20"/>
                <w:color w:val="auto"/>
              </w:rPr>
            </w:pPr>
            <w:r>
              <w:rPr>
                <w:rFonts w:ascii="Arial" w:cs="Arial" w:eastAsia="Arial" w:hAnsi="Arial"/>
                <w:sz w:val="10"/>
                <w:szCs w:val="10"/>
                <w:color w:val="auto"/>
              </w:rPr>
              <w:t>73.77</w:t>
            </w:r>
          </w:p>
        </w:tc>
      </w:tr>
      <w:tr>
        <w:trPr>
          <w:trHeight w:val="180"/>
        </w:trPr>
        <w:tc>
          <w:tcPr>
            <w:tcW w:w="2580" w:type="dxa"/>
            <w:vAlign w:val="bottom"/>
          </w:tcPr>
          <w:p>
            <w:pPr>
              <w:ind w:left="220"/>
              <w:spacing w:after="0"/>
              <w:rPr>
                <w:sz w:val="20"/>
                <w:szCs w:val="20"/>
                <w:color w:val="auto"/>
              </w:rPr>
            </w:pPr>
            <w:r>
              <w:rPr>
                <w:rFonts w:ascii="Arial" w:cs="Arial" w:eastAsia="Arial" w:hAnsi="Arial"/>
                <w:sz w:val="10"/>
                <w:szCs w:val="10"/>
                <w:color w:val="auto"/>
              </w:rPr>
              <w:t>S&amp;P 500</w:t>
            </w:r>
          </w:p>
        </w:tc>
        <w:tc>
          <w:tcPr>
            <w:tcW w:w="2000" w:type="dxa"/>
            <w:vAlign w:val="bottom"/>
          </w:tcPr>
          <w:p>
            <w:pPr>
              <w:jc w:val="right"/>
              <w:ind w:right="332"/>
              <w:spacing w:after="0"/>
              <w:rPr>
                <w:sz w:val="20"/>
                <w:szCs w:val="20"/>
                <w:color w:val="auto"/>
              </w:rPr>
            </w:pPr>
            <w:r>
              <w:rPr>
                <w:rFonts w:ascii="Arial" w:cs="Arial" w:eastAsia="Arial" w:hAnsi="Arial"/>
                <w:sz w:val="10"/>
                <w:szCs w:val="10"/>
                <w:color w:val="auto"/>
              </w:rPr>
              <w:t>100.00</w:t>
            </w:r>
          </w:p>
        </w:tc>
        <w:tc>
          <w:tcPr>
            <w:tcW w:w="1220" w:type="dxa"/>
            <w:vAlign w:val="bottom"/>
          </w:tcPr>
          <w:p>
            <w:pPr>
              <w:jc w:val="right"/>
              <w:ind w:right="312"/>
              <w:spacing w:after="0"/>
              <w:rPr>
                <w:sz w:val="20"/>
                <w:szCs w:val="20"/>
                <w:color w:val="auto"/>
              </w:rPr>
            </w:pPr>
            <w:r>
              <w:rPr>
                <w:rFonts w:ascii="Arial" w:cs="Arial" w:eastAsia="Arial" w:hAnsi="Arial"/>
                <w:sz w:val="10"/>
                <w:szCs w:val="10"/>
                <w:color w:val="auto"/>
              </w:rPr>
              <w:t>115.80</w:t>
            </w:r>
          </w:p>
        </w:tc>
        <w:tc>
          <w:tcPr>
            <w:tcW w:w="1240" w:type="dxa"/>
            <w:vAlign w:val="bottom"/>
          </w:tcPr>
          <w:p>
            <w:pPr>
              <w:jc w:val="right"/>
              <w:ind w:right="332"/>
              <w:spacing w:after="0"/>
              <w:rPr>
                <w:sz w:val="20"/>
                <w:szCs w:val="20"/>
                <w:color w:val="auto"/>
              </w:rPr>
            </w:pPr>
            <w:r>
              <w:rPr>
                <w:rFonts w:ascii="Arial" w:cs="Arial" w:eastAsia="Arial" w:hAnsi="Arial"/>
                <w:sz w:val="10"/>
                <w:szCs w:val="10"/>
                <w:color w:val="auto"/>
              </w:rPr>
              <w:t>122.16</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76.96</w:t>
            </w:r>
          </w:p>
        </w:tc>
        <w:tc>
          <w:tcPr>
            <w:tcW w:w="1920" w:type="dxa"/>
            <w:vAlign w:val="bottom"/>
          </w:tcPr>
          <w:p>
            <w:pPr>
              <w:jc w:val="right"/>
              <w:ind w:right="892"/>
              <w:spacing w:after="0"/>
              <w:rPr>
                <w:sz w:val="20"/>
                <w:szCs w:val="20"/>
                <w:color w:val="auto"/>
              </w:rPr>
            </w:pPr>
            <w:r>
              <w:rPr>
                <w:rFonts w:ascii="Arial" w:cs="Arial" w:eastAsia="Arial" w:hAnsi="Arial"/>
                <w:sz w:val="10"/>
                <w:szCs w:val="10"/>
                <w:color w:val="auto"/>
              </w:rPr>
              <w:t>97.33</w:t>
            </w:r>
          </w:p>
        </w:tc>
        <w:tc>
          <w:tcPr>
            <w:tcW w:w="740" w:type="dxa"/>
            <w:vAlign w:val="bottom"/>
          </w:tcPr>
          <w:p>
            <w:pPr>
              <w:jc w:val="right"/>
              <w:ind w:right="212"/>
              <w:spacing w:after="0"/>
              <w:rPr>
                <w:sz w:val="20"/>
                <w:szCs w:val="20"/>
                <w:color w:val="auto"/>
              </w:rPr>
            </w:pPr>
            <w:r>
              <w:rPr>
                <w:rFonts w:ascii="Arial" w:cs="Arial" w:eastAsia="Arial" w:hAnsi="Arial"/>
                <w:sz w:val="10"/>
                <w:szCs w:val="10"/>
                <w:color w:val="auto"/>
              </w:rPr>
              <w:t>111.99</w:t>
            </w:r>
          </w:p>
        </w:tc>
      </w:tr>
      <w:tr>
        <w:trPr>
          <w:trHeight w:val="180"/>
        </w:trPr>
        <w:tc>
          <w:tcPr>
            <w:tcW w:w="2580" w:type="dxa"/>
            <w:vAlign w:val="bottom"/>
          </w:tcPr>
          <w:p>
            <w:pPr>
              <w:ind w:left="220"/>
              <w:spacing w:after="0"/>
              <w:rPr>
                <w:sz w:val="20"/>
                <w:szCs w:val="20"/>
                <w:color w:val="auto"/>
              </w:rPr>
            </w:pPr>
            <w:r>
              <w:rPr>
                <w:rFonts w:ascii="Arial" w:cs="Arial" w:eastAsia="Arial" w:hAnsi="Arial"/>
                <w:sz w:val="10"/>
                <w:szCs w:val="10"/>
                <w:color w:val="auto"/>
              </w:rPr>
              <w:t>Peer Group</w:t>
            </w:r>
          </w:p>
        </w:tc>
        <w:tc>
          <w:tcPr>
            <w:tcW w:w="2000" w:type="dxa"/>
            <w:vAlign w:val="bottom"/>
          </w:tcPr>
          <w:p>
            <w:pPr>
              <w:jc w:val="right"/>
              <w:ind w:right="332"/>
              <w:spacing w:after="0"/>
              <w:rPr>
                <w:sz w:val="20"/>
                <w:szCs w:val="20"/>
                <w:color w:val="auto"/>
              </w:rPr>
            </w:pPr>
            <w:r>
              <w:rPr>
                <w:rFonts w:ascii="Arial" w:cs="Arial" w:eastAsia="Arial" w:hAnsi="Arial"/>
                <w:sz w:val="10"/>
                <w:szCs w:val="10"/>
                <w:color w:val="auto"/>
              </w:rPr>
              <w:t>100.00</w:t>
            </w:r>
          </w:p>
        </w:tc>
        <w:tc>
          <w:tcPr>
            <w:tcW w:w="1220" w:type="dxa"/>
            <w:vAlign w:val="bottom"/>
          </w:tcPr>
          <w:p>
            <w:pPr>
              <w:jc w:val="right"/>
              <w:ind w:right="312"/>
              <w:spacing w:after="0"/>
              <w:rPr>
                <w:sz w:val="20"/>
                <w:szCs w:val="20"/>
                <w:color w:val="auto"/>
              </w:rPr>
            </w:pPr>
            <w:r>
              <w:rPr>
                <w:rFonts w:ascii="Arial" w:cs="Arial" w:eastAsia="Arial" w:hAnsi="Arial"/>
                <w:sz w:val="10"/>
                <w:szCs w:val="10"/>
                <w:color w:val="auto"/>
              </w:rPr>
              <w:t>91.30</w:t>
            </w:r>
          </w:p>
        </w:tc>
        <w:tc>
          <w:tcPr>
            <w:tcW w:w="1240" w:type="dxa"/>
            <w:vAlign w:val="bottom"/>
          </w:tcPr>
          <w:p>
            <w:pPr>
              <w:jc w:val="right"/>
              <w:ind w:right="332"/>
              <w:spacing w:after="0"/>
              <w:rPr>
                <w:sz w:val="20"/>
                <w:szCs w:val="20"/>
                <w:color w:val="auto"/>
              </w:rPr>
            </w:pPr>
            <w:r>
              <w:rPr>
                <w:rFonts w:ascii="Arial" w:cs="Arial" w:eastAsia="Arial" w:hAnsi="Arial"/>
                <w:sz w:val="10"/>
                <w:szCs w:val="10"/>
                <w:color w:val="auto"/>
              </w:rPr>
              <w:t>74.75</w:t>
            </w:r>
          </w:p>
        </w:tc>
        <w:tc>
          <w:tcPr>
            <w:tcW w:w="1100" w:type="dxa"/>
            <w:vAlign w:val="bottom"/>
          </w:tcPr>
          <w:p>
            <w:pPr>
              <w:jc w:val="right"/>
              <w:ind w:right="212"/>
              <w:spacing w:after="0"/>
              <w:rPr>
                <w:sz w:val="20"/>
                <w:szCs w:val="20"/>
                <w:color w:val="auto"/>
              </w:rPr>
            </w:pPr>
            <w:r>
              <w:rPr>
                <w:rFonts w:ascii="Arial" w:cs="Arial" w:eastAsia="Arial" w:hAnsi="Arial"/>
                <w:sz w:val="10"/>
                <w:szCs w:val="10"/>
                <w:color w:val="auto"/>
              </w:rPr>
              <w:t>65.54</w:t>
            </w:r>
          </w:p>
        </w:tc>
        <w:tc>
          <w:tcPr>
            <w:tcW w:w="1920" w:type="dxa"/>
            <w:vAlign w:val="bottom"/>
          </w:tcPr>
          <w:p>
            <w:pPr>
              <w:jc w:val="right"/>
              <w:ind w:right="892"/>
              <w:spacing w:after="0"/>
              <w:rPr>
                <w:sz w:val="20"/>
                <w:szCs w:val="20"/>
                <w:color w:val="auto"/>
              </w:rPr>
            </w:pPr>
            <w:r>
              <w:rPr>
                <w:rFonts w:ascii="Arial" w:cs="Arial" w:eastAsia="Arial" w:hAnsi="Arial"/>
                <w:sz w:val="10"/>
                <w:szCs w:val="10"/>
                <w:color w:val="auto"/>
              </w:rPr>
              <w:t>71.42</w:t>
            </w:r>
          </w:p>
        </w:tc>
        <w:tc>
          <w:tcPr>
            <w:tcW w:w="740" w:type="dxa"/>
            <w:vAlign w:val="bottom"/>
          </w:tcPr>
          <w:p>
            <w:pPr>
              <w:jc w:val="right"/>
              <w:ind w:right="212"/>
              <w:spacing w:after="0"/>
              <w:rPr>
                <w:sz w:val="20"/>
                <w:szCs w:val="20"/>
                <w:color w:val="auto"/>
              </w:rPr>
            </w:pPr>
            <w:r>
              <w:rPr>
                <w:rFonts w:ascii="Arial" w:cs="Arial" w:eastAsia="Arial" w:hAnsi="Arial"/>
                <w:sz w:val="10"/>
                <w:szCs w:val="10"/>
                <w:color w:val="auto"/>
              </w:rPr>
              <w:t>58.48</w:t>
            </w: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January 31, 2011 the last reported sale price of our common stock on the New York Stock Exchange was $13.45 per share and we had approximately 5,558 stockholders of record.</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January 27, 2011, our Board of Directors formally declared a $0.12 per share cash dividend that is payable on March 31, 2011 to stockholders of record as of March 17, 2011.</w:t>
      </w:r>
    </w:p>
    <w:p>
      <w:pPr>
        <w:spacing w:after="0" w:line="114"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2"/>
          <w:szCs w:val="12"/>
          <w:color w:val="auto"/>
        </w:rPr>
        <w:t>Our current dividend policy anticipates the payment of quarterly dividends in the future. Th e declaration and payment of dividends will be at the discretion of our Board of Directors and will be dependent upon our future earnings, financial condition and capital requirements.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87"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December&amp;n bsp;31, 2010, $2,825.9 million of our net assets are restricted from dividend payments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131" w:right="19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without prior approval from the Departments of Insurance in the States where our title insurance subsidiarie s are domiciled. During 2011, our directly owned title insurance subsidiaries can pay dividends or make distributions to us of approximately $76.1 million without prior approval. The limits placed on such subsidiaries’ abilities to pay dividends affect our ability to pay dividends.</w:t>
      </w:r>
    </w:p>
    <w:p>
      <w:pPr>
        <w:spacing w:after="0" w:line="79"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On July 21, 2009, our Board of Directors approved a three-year stock repurchase program under which we can repurchase up to 15 million shares through July 31, 2012. We may make repurchases from time to time in the open market, in block purchases or in privately negotiated transactions, depending on market conditions and other f actors. Since the original commencement of the plan, and through December 31, 2010, we have repurchased a total of 9,958,662 shares for $135.5 million, or an average of $13.61 per share. On January 27, 2011, our Board of Directors approved an increase in the number of shares that may be repurchased under the program, resulting in 10,000,000 shares in the aggregate remaining that may be purchased under the pl an. For more information, see “Liquidity and Capital Resources” in Item 7 of this Form 10-K.</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repurchases of equity securities by FNF during the year ending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tcPr>
          <w:p>
            <w:pPr>
              <w:jc w:val="right"/>
              <w:ind w:right="142"/>
              <w:spacing w:after="0"/>
              <w:rPr>
                <w:sz w:val="20"/>
                <w:szCs w:val="20"/>
                <w:color w:val="auto"/>
              </w:rPr>
            </w:pPr>
            <w:r>
              <w:rPr>
                <w:rFonts w:ascii="Arial" w:cs="Arial" w:eastAsia="Arial" w:hAnsi="Arial"/>
                <w:sz w:val="10"/>
                <w:szCs w:val="10"/>
                <w:b w:val="1"/>
                <w:bCs w:val="1"/>
                <w:color w:val="auto"/>
              </w:rPr>
              <w:t>Total Number of Shares</w:t>
            </w:r>
          </w:p>
        </w:tc>
        <w:tc>
          <w:tcPr>
            <w:tcW w:w="280" w:type="dxa"/>
            <w:vAlign w:val="bottom"/>
          </w:tcPr>
          <w:p>
            <w:pPr>
              <w:spacing w:after="0"/>
              <w:rPr>
                <w:sz w:val="10"/>
                <w:szCs w:val="10"/>
                <w:color w:val="auto"/>
              </w:rPr>
            </w:pPr>
          </w:p>
        </w:tc>
        <w:tc>
          <w:tcPr>
            <w:tcW w:w="1600" w:type="dxa"/>
            <w:vAlign w:val="bottom"/>
          </w:tcPr>
          <w:p>
            <w:pPr>
              <w:jc w:val="right"/>
              <w:ind w:right="52"/>
              <w:spacing w:after="0"/>
              <w:rPr>
                <w:sz w:val="20"/>
                <w:szCs w:val="20"/>
                <w:color w:val="auto"/>
              </w:rPr>
            </w:pPr>
            <w:r>
              <w:rPr>
                <w:rFonts w:ascii="Arial" w:cs="Arial" w:eastAsia="Arial" w:hAnsi="Arial"/>
                <w:sz w:val="10"/>
                <w:szCs w:val="10"/>
                <w:b w:val="1"/>
                <w:bCs w:val="1"/>
                <w:color w:val="auto"/>
              </w:rPr>
              <w:t>Maximum Number of Shares</w:t>
            </w:r>
          </w:p>
        </w:tc>
      </w:tr>
      <w:tr>
        <w:trPr>
          <w:trHeight w:val="99"/>
        </w:trPr>
        <w:tc>
          <w:tcPr>
            <w:tcW w:w="3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jc w:val="right"/>
              <w:ind w:right="122"/>
              <w:spacing w:after="0" w:line="99" w:lineRule="exact"/>
              <w:rPr>
                <w:sz w:val="20"/>
                <w:szCs w:val="20"/>
                <w:color w:val="auto"/>
              </w:rPr>
            </w:pPr>
            <w:r>
              <w:rPr>
                <w:rFonts w:ascii="Arial" w:cs="Arial" w:eastAsia="Arial" w:hAnsi="Arial"/>
                <w:sz w:val="10"/>
                <w:szCs w:val="10"/>
                <w:b w:val="1"/>
                <w:bCs w:val="1"/>
                <w:color w:val="auto"/>
              </w:rPr>
              <w:t>Total Number of Shares</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tcPr>
          <w:p>
            <w:pPr>
              <w:jc w:val="right"/>
              <w:ind w:right="142"/>
              <w:spacing w:after="0" w:line="99" w:lineRule="exact"/>
              <w:rPr>
                <w:sz w:val="20"/>
                <w:szCs w:val="20"/>
                <w:color w:val="auto"/>
              </w:rPr>
            </w:pPr>
            <w:r>
              <w:rPr>
                <w:rFonts w:ascii="Arial" w:cs="Arial" w:eastAsia="Arial" w:hAnsi="Arial"/>
                <w:sz w:val="10"/>
                <w:szCs w:val="10"/>
                <w:b w:val="1"/>
                <w:bCs w:val="1"/>
                <w:color w:val="auto"/>
                <w:w w:val="98"/>
              </w:rPr>
              <w:t>Purchased as Part of Publicly</w:t>
            </w:r>
          </w:p>
        </w:tc>
        <w:tc>
          <w:tcPr>
            <w:tcW w:w="280" w:type="dxa"/>
            <w:vAlign w:val="bottom"/>
          </w:tcPr>
          <w:p>
            <w:pPr>
              <w:spacing w:after="0"/>
              <w:rPr>
                <w:sz w:val="8"/>
                <w:szCs w:val="8"/>
                <w:color w:val="auto"/>
              </w:rPr>
            </w:pPr>
          </w:p>
        </w:tc>
        <w:tc>
          <w:tcPr>
            <w:tcW w:w="1600" w:type="dxa"/>
            <w:vAlign w:val="bottom"/>
          </w:tcPr>
          <w:p>
            <w:pPr>
              <w:jc w:val="right"/>
              <w:spacing w:after="0" w:line="99" w:lineRule="exact"/>
              <w:rPr>
                <w:sz w:val="20"/>
                <w:szCs w:val="20"/>
                <w:color w:val="auto"/>
              </w:rPr>
            </w:pPr>
            <w:r>
              <w:rPr>
                <w:rFonts w:ascii="Arial" w:cs="Arial" w:eastAsia="Arial" w:hAnsi="Arial"/>
                <w:sz w:val="10"/>
                <w:szCs w:val="10"/>
                <w:b w:val="1"/>
                <w:bCs w:val="1"/>
                <w:color w:val="auto"/>
                <w:w w:val="87"/>
              </w:rPr>
              <w:t>that May Yet Be Purchased Under the</w:t>
            </w:r>
          </w:p>
        </w:tc>
      </w:tr>
      <w:tr>
        <w:trPr>
          <w:trHeight w:val="128"/>
        </w:trPr>
        <w:tc>
          <w:tcPr>
            <w:tcW w:w="380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Period</w:t>
            </w:r>
          </w:p>
        </w:tc>
        <w:tc>
          <w:tcPr>
            <w:tcW w:w="280" w:type="dxa"/>
            <w:vAlign w:val="bottom"/>
          </w:tcPr>
          <w:p>
            <w:pPr>
              <w:spacing w:after="0"/>
              <w:rPr>
                <w:sz w:val="11"/>
                <w:szCs w:val="11"/>
                <w:color w:val="auto"/>
              </w:rPr>
            </w:pPr>
          </w:p>
        </w:tc>
        <w:tc>
          <w:tcPr>
            <w:tcW w:w="158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Purchased</w:t>
            </w:r>
          </w:p>
        </w:tc>
        <w:tc>
          <w:tcPr>
            <w:tcW w:w="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87"/>
              </w:rPr>
              <w:t>Average Price Paid per Share</w:t>
            </w:r>
          </w:p>
        </w:tc>
        <w:tc>
          <w:tcPr>
            <w:tcW w:w="280" w:type="dxa"/>
            <w:vAlign w:val="bottom"/>
          </w:tcPr>
          <w:p>
            <w:pPr>
              <w:spacing w:after="0"/>
              <w:rPr>
                <w:sz w:val="11"/>
                <w:szCs w:val="11"/>
                <w:color w:val="auto"/>
              </w:rPr>
            </w:pPr>
          </w:p>
        </w:tc>
        <w:tc>
          <w:tcPr>
            <w:tcW w:w="160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w w:val="96"/>
              </w:rPr>
              <w:t>Announced Plans or Programs</w:t>
            </w:r>
          </w:p>
        </w:tc>
        <w:tc>
          <w:tcPr>
            <w:tcW w:w="280" w:type="dxa"/>
            <w:vAlign w:val="bottom"/>
          </w:tcPr>
          <w:p>
            <w:pPr>
              <w:spacing w:after="0"/>
              <w:rPr>
                <w:sz w:val="11"/>
                <w:szCs w:val="11"/>
                <w:color w:val="auto"/>
              </w:rPr>
            </w:pPr>
          </w:p>
        </w:tc>
        <w:tc>
          <w:tcPr>
            <w:tcW w:w="160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Plans or Programs (1)</w:t>
            </w:r>
          </w:p>
        </w:tc>
      </w:tr>
      <w:tr>
        <w:trPr>
          <w:trHeight w:val="173"/>
        </w:trPr>
        <w:tc>
          <w:tcPr>
            <w:tcW w:w="3800" w:type="dxa"/>
            <w:vAlign w:val="bottom"/>
          </w:tcPr>
          <w:p>
            <w:pPr>
              <w:ind w:left="220"/>
              <w:spacing w:after="0"/>
              <w:rPr>
                <w:sz w:val="20"/>
                <w:szCs w:val="20"/>
                <w:color w:val="auto"/>
              </w:rPr>
            </w:pPr>
            <w:r>
              <w:rPr>
                <w:rFonts w:ascii="Arial" w:cs="Arial" w:eastAsia="Arial" w:hAnsi="Arial"/>
                <w:sz w:val="12"/>
                <w:szCs w:val="12"/>
                <w:color w:val="auto"/>
              </w:rPr>
              <w:t>1/1/2010 - 1/31/2010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859,866</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700" w:type="dxa"/>
            <w:vAlign w:val="bottom"/>
            <w:gridSpan w:val="2"/>
          </w:tcPr>
          <w:p>
            <w:pPr>
              <w:ind w:left="540"/>
              <w:spacing w:after="0"/>
              <w:rPr>
                <w:sz w:val="20"/>
                <w:szCs w:val="20"/>
                <w:color w:val="auto"/>
              </w:rPr>
            </w:pPr>
            <w:r>
              <w:rPr>
                <w:rFonts w:ascii="Arial" w:cs="Arial" w:eastAsia="Arial" w:hAnsi="Arial"/>
                <w:sz w:val="12"/>
                <w:szCs w:val="12"/>
                <w:color w:val="auto"/>
              </w:rPr>
              <w:t>13.46&lt; /div&gt;</w:t>
            </w: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859,866</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12,845,734</w:t>
            </w:r>
          </w:p>
        </w:tc>
      </w:tr>
      <w:tr>
        <w:trPr>
          <w:trHeight w:val="162"/>
        </w:trPr>
        <w:tc>
          <w:tcPr>
            <w:tcW w:w="3800" w:type="dxa"/>
            <w:vAlign w:val="bottom"/>
          </w:tcPr>
          <w:p>
            <w:pPr>
              <w:ind w:left="220"/>
              <w:spacing w:after="0"/>
              <w:rPr>
                <w:sz w:val="20"/>
                <w:szCs w:val="20"/>
                <w:color w:val="auto"/>
              </w:rPr>
            </w:pPr>
            <w:r>
              <w:rPr>
                <w:rFonts w:ascii="Arial" w:cs="Arial" w:eastAsia="Arial" w:hAnsi="Arial"/>
                <w:sz w:val="12"/>
                <w:szCs w:val="12"/>
                <w:color w:val="auto"/>
              </w:rPr>
              <w:t>2/1/2010 - 2/28/2010</w:t>
            </w:r>
          </w:p>
        </w:tc>
        <w:tc>
          <w:tcPr>
            <w:tcW w:w="280" w:type="dxa"/>
            <w:vAlign w:val="bottom"/>
          </w:tcPr>
          <w:p>
            <w:pPr>
              <w:spacing w:after="0"/>
              <w:rPr>
                <w:sz w:val="14"/>
                <w:szCs w:val="14"/>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12,845,734</w:t>
            </w:r>
          </w:p>
        </w:tc>
      </w:tr>
      <w:tr>
        <w:trPr>
          <w:trHeight w:val="180"/>
        </w:trPr>
        <w:tc>
          <w:tcPr>
            <w:tcW w:w="3800" w:type="dxa"/>
            <w:vAlign w:val="bottom"/>
          </w:tcPr>
          <w:p>
            <w:pPr>
              <w:ind w:left="220"/>
              <w:spacing w:after="0"/>
              <w:rPr>
                <w:sz w:val="20"/>
                <w:szCs w:val="20"/>
                <w:color w:val="auto"/>
              </w:rPr>
            </w:pPr>
            <w:r>
              <w:rPr>
                <w:rFonts w:ascii="Arial" w:cs="Arial" w:eastAsia="Arial" w:hAnsi="Arial"/>
                <w:sz w:val="12"/>
                <w:szCs w:val="12"/>
                <w:color w:val="auto"/>
              </w:rPr>
              <w:t>3/1/2010 - 3/31/2010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31,200</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Arial" w:cs="Arial" w:eastAsia="Arial" w:hAnsi="Arial"/>
                <w:sz w:val="12"/>
                <w:szCs w:val="12"/>
                <w:color w:val="auto"/>
              </w:rPr>
              <w:t>13.81</w:t>
            </w:r>
          </w:p>
        </w:tc>
        <w:tc>
          <w:tcPr>
            <w:tcW w:w="280" w:type="dxa"/>
            <w:vAlign w:val="bottom"/>
          </w:tcPr>
          <w:p>
            <w:pPr>
              <w:spacing w:after="0"/>
              <w:rPr>
                <w:sz w:val="15"/>
                <w:szCs w:val="15"/>
                <w:color w:val="auto"/>
              </w:rPr>
            </w:pP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31,200</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12,814,534</w:t>
            </w:r>
          </w:p>
        </w:tc>
      </w:tr>
      <w:tr>
        <w:trPr>
          <w:trHeight w:val="180"/>
        </w:trPr>
        <w:tc>
          <w:tcPr>
            <w:tcW w:w="3800" w:type="dxa"/>
            <w:vAlign w:val="bottom"/>
          </w:tcPr>
          <w:p>
            <w:pPr>
              <w:ind w:left="220"/>
              <w:spacing w:after="0"/>
              <w:rPr>
                <w:sz w:val="20"/>
                <w:szCs w:val="20"/>
                <w:color w:val="auto"/>
              </w:rPr>
            </w:pPr>
            <w:r>
              <w:rPr>
                <w:rFonts w:ascii="Arial" w:cs="Arial" w:eastAsia="Arial" w:hAnsi="Arial"/>
                <w:sz w:val="12"/>
                <w:szCs w:val="12"/>
                <w:color w:val="auto"/>
              </w:rPr>
              <w:t>4/1/2010 - 4/30/2010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12,814,534</w:t>
            </w:r>
          </w:p>
        </w:tc>
      </w:tr>
      <w:tr>
        <w:trPr>
          <w:trHeight w:val="180"/>
        </w:trPr>
        <w:tc>
          <w:tcPr>
            <w:tcW w:w="3800" w:type="dxa"/>
            <w:vAlign w:val="bottom"/>
          </w:tcPr>
          <w:p>
            <w:pPr>
              <w:ind w:left="220"/>
              <w:spacing w:after="0"/>
              <w:rPr>
                <w:sz w:val="20"/>
                <w:szCs w:val="20"/>
                <w:color w:val="auto"/>
              </w:rPr>
            </w:pPr>
            <w:r>
              <w:rPr>
                <w:rFonts w:ascii="Arial" w:cs="Arial" w:eastAsia="Arial" w:hAnsi="Arial"/>
                <w:sz w:val="12"/>
                <w:szCs w:val="12"/>
                <w:color w:val="auto"/>
              </w:rPr>
              <w:t>5/1/2010 - 5/31/2010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56,900</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Arial" w:cs="Arial" w:eastAsia="Arial" w:hAnsi="Arial"/>
                <w:sz w:val="12"/>
                <w:szCs w:val="12"/>
                <w:color w:val="auto"/>
              </w:rPr>
              <w:t>13.93</w:t>
            </w:r>
          </w:p>
        </w:tc>
        <w:tc>
          <w:tcPr>
            <w:tcW w:w="280" w:type="dxa"/>
            <w:vAlign w:val="bottom"/>
          </w:tcPr>
          <w:p>
            <w:pPr>
              <w:spacing w:after="0"/>
              <w:rPr>
                <w:sz w:val="15"/>
                <w:szCs w:val="15"/>
                <w:color w:val="auto"/>
              </w:rPr>
            </w:pP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56,900</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12,757,634</w:t>
            </w:r>
          </w:p>
        </w:tc>
      </w:tr>
      <w:tr>
        <w:trPr>
          <w:trHeight w:val="180"/>
        </w:trPr>
        <w:tc>
          <w:tcPr>
            <w:tcW w:w="3800" w:type="dxa"/>
            <w:vAlign w:val="bottom"/>
          </w:tcPr>
          <w:p>
            <w:pPr>
              <w:ind w:left="220"/>
              <w:spacing w:after="0"/>
              <w:rPr>
                <w:sz w:val="20"/>
                <w:szCs w:val="20"/>
                <w:color w:val="auto"/>
              </w:rPr>
            </w:pPr>
            <w:r>
              <w:rPr>
                <w:rFonts w:ascii="Arial" w:cs="Arial" w:eastAsia="Arial" w:hAnsi="Arial"/>
                <w:sz w:val="12"/>
                <w:szCs w:val="12"/>
                <w:color w:val="auto"/>
              </w:rPr>
              <w:t>6/1/2010 - 6/30/2010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1,476,700</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Arial" w:cs="Arial" w:eastAsia="Arial" w:hAnsi="Arial"/>
                <w:sz w:val="12"/>
                <w:szCs w:val="12"/>
                <w:color w:val="auto"/>
              </w:rPr>
              <w:t>13.52</w:t>
            </w:r>
          </w:p>
        </w:tc>
        <w:tc>
          <w:tcPr>
            <w:tcW w:w="280" w:type="dxa"/>
            <w:vAlign w:val="bottom"/>
          </w:tcPr>
          <w:p>
            <w:pPr>
              <w:spacing w:after="0"/>
              <w:rPr>
                <w:sz w:val="15"/>
                <w:szCs w:val="15"/>
                <w:color w:val="auto"/>
              </w:rPr>
            </w:pP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1,476,700</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11,280,934</w:t>
            </w:r>
          </w:p>
        </w:tc>
      </w:tr>
      <w:tr>
        <w:trPr>
          <w:trHeight w:val="180"/>
        </w:trPr>
        <w:tc>
          <w:tcPr>
            <w:tcW w:w="3800" w:type="dxa"/>
            <w:vAlign w:val="bottom"/>
          </w:tcPr>
          <w:p>
            <w:pPr>
              <w:ind w:left="220"/>
              <w:spacing w:after="0"/>
              <w:rPr>
                <w:sz w:val="20"/>
                <w:szCs w:val="20"/>
                <w:color w:val="auto"/>
              </w:rPr>
            </w:pPr>
            <w:r>
              <w:rPr>
                <w:rFonts w:ascii="Arial" w:cs="Arial" w:eastAsia="Arial" w:hAnsi="Arial"/>
                <w:sz w:val="12"/>
                <w:szCs w:val="12"/>
                <w:color w:val="auto"/>
              </w:rPr>
              <w:t>7/1/2010 - 7/31/2010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400,000</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Arial" w:cs="Arial" w:eastAsia="Arial" w:hAnsi="Arial"/>
                <w:sz w:val="12"/>
                <w:szCs w:val="12"/>
                <w:color w:val="auto"/>
              </w:rPr>
              <w:t>12.94</w:t>
            </w:r>
          </w:p>
        </w:tc>
        <w:tc>
          <w:tcPr>
            <w:tcW w:w="280" w:type="dxa"/>
            <w:vAlign w:val="bottom"/>
          </w:tcPr>
          <w:p>
            <w:pPr>
              <w:spacing w:after="0"/>
              <w:rPr>
                <w:sz w:val="15"/>
                <w:szCs w:val="15"/>
                <w:color w:val="auto"/>
              </w:rPr>
            </w:pP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400,000</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10,880,934</w:t>
            </w:r>
          </w:p>
        </w:tc>
      </w:tr>
      <w:tr>
        <w:trPr>
          <w:trHeight w:val="180"/>
        </w:trPr>
        <w:tc>
          <w:tcPr>
            <w:tcW w:w="3800" w:type="dxa"/>
            <w:vAlign w:val="bottom"/>
          </w:tcPr>
          <w:p>
            <w:pPr>
              <w:ind w:left="220"/>
              <w:spacing w:after="0"/>
              <w:rPr>
                <w:sz w:val="20"/>
                <w:szCs w:val="20"/>
                <w:color w:val="auto"/>
              </w:rPr>
            </w:pPr>
            <w:r>
              <w:rPr>
                <w:rFonts w:ascii="Arial" w:cs="Arial" w:eastAsia="Arial" w:hAnsi="Arial"/>
                <w:sz w:val="12"/>
                <w:szCs w:val="12"/>
                <w:color w:val="auto"/>
              </w:rPr>
              <w:t>8/1/2010 - 8/31/2010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8,496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Arial" w:cs="Arial" w:eastAsia="Arial" w:hAnsi="Arial"/>
                <w:sz w:val="12"/>
                <w:szCs w:val="12"/>
                <w:color w:val="auto"/>
              </w:rPr>
              <w:t>14.02</w:t>
            </w:r>
          </w:p>
        </w:tc>
        <w:tc>
          <w:tcPr>
            <w:tcW w:w="280" w:type="dxa"/>
            <w:vAlign w:val="bottom"/>
          </w:tcPr>
          <w:p>
            <w:pPr>
              <w:spacing w:after="0"/>
              <w:rPr>
                <w:sz w:val="15"/>
                <w:szCs w:val="15"/>
                <w:color w:val="auto"/>
              </w:rPr>
            </w:pP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8,496</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10,872,438</w:t>
            </w:r>
          </w:p>
        </w:tc>
      </w:tr>
      <w:tr>
        <w:trPr>
          <w:trHeight w:val="180"/>
        </w:trPr>
        <w:tc>
          <w:tcPr>
            <w:tcW w:w="3800" w:type="dxa"/>
            <w:vAlign w:val="bottom"/>
          </w:tcPr>
          <w:p>
            <w:pPr>
              <w:ind w:left="220"/>
              <w:spacing w:after="0"/>
              <w:rPr>
                <w:sz w:val="20"/>
                <w:szCs w:val="20"/>
                <w:color w:val="auto"/>
              </w:rPr>
            </w:pPr>
            <w:r>
              <w:rPr>
                <w:rFonts w:ascii="Arial" w:cs="Arial" w:eastAsia="Arial" w:hAnsi="Arial"/>
                <w:sz w:val="12"/>
                <w:szCs w:val="12"/>
                <w:color w:val="auto"/>
              </w:rPr>
              <w:t>9/1/2010 - 9/30/2010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10,872,438</w:t>
            </w:r>
          </w:p>
        </w:tc>
      </w:tr>
      <w:tr>
        <w:trPr>
          <w:trHeight w:val="180"/>
        </w:trPr>
        <w:tc>
          <w:tcPr>
            <w:tcW w:w="3800" w:type="dxa"/>
            <w:vAlign w:val="bottom"/>
          </w:tcPr>
          <w:p>
            <w:pPr>
              <w:ind w:left="220"/>
              <w:spacing w:after="0"/>
              <w:rPr>
                <w:sz w:val="20"/>
                <w:szCs w:val="20"/>
                <w:color w:val="auto"/>
              </w:rPr>
            </w:pPr>
            <w:r>
              <w:rPr>
                <w:rFonts w:ascii="Arial" w:cs="Arial" w:eastAsia="Arial" w:hAnsi="Arial"/>
                <w:sz w:val="12"/>
                <w:szCs w:val="12"/>
                <w:color w:val="auto"/>
              </w:rPr>
              <w:t>10/1/2010 - 10/31/2010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1,255,000</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Arial" w:cs="Arial" w:eastAsia="Arial" w:hAnsi="Arial"/>
                <w:sz w:val="12"/>
                <w:szCs w:val="12"/>
                <w:color w:val="auto"/>
              </w:rPr>
              <w:t>13.21</w:t>
            </w:r>
          </w:p>
        </w:tc>
        <w:tc>
          <w:tcPr>
            <w:tcW w:w="280" w:type="dxa"/>
            <w:vAlign w:val="bottom"/>
          </w:tcPr>
          <w:p>
            <w:pPr>
              <w:spacing w:after="0"/>
              <w:rPr>
                <w:sz w:val="15"/>
                <w:szCs w:val="15"/>
                <w:color w:val="auto"/>
              </w:rPr>
            </w:pP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1,255,000</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9,617,438</w:t>
            </w:r>
          </w:p>
        </w:tc>
      </w:tr>
      <w:tr>
        <w:trPr>
          <w:trHeight w:val="180"/>
        </w:trPr>
        <w:tc>
          <w:tcPr>
            <w:tcW w:w="3800" w:type="dxa"/>
            <w:vAlign w:val="bottom"/>
          </w:tcPr>
          <w:p>
            <w:pPr>
              <w:ind w:left="220"/>
              <w:spacing w:after="0"/>
              <w:rPr>
                <w:sz w:val="20"/>
                <w:szCs w:val="20"/>
                <w:color w:val="auto"/>
              </w:rPr>
            </w:pPr>
            <w:r>
              <w:rPr>
                <w:rFonts w:ascii="Arial" w:cs="Arial" w:eastAsia="Arial" w:hAnsi="Arial"/>
                <w:sz w:val="12"/>
                <w:szCs w:val="12"/>
                <w:color w:val="auto"/>
              </w:rPr>
              <w:t>11/1/2010 - 11/30/2010</w:t>
            </w:r>
          </w:p>
        </w:tc>
        <w:tc>
          <w:tcPr>
            <w:tcW w:w="280" w:type="dxa"/>
            <w:vAlign w:val="bottom"/>
          </w:tcPr>
          <w:p>
            <w:pPr>
              <w:spacing w:after="0"/>
              <w:rPr>
                <w:sz w:val="15"/>
                <w:szCs w:val="15"/>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2,376,100</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Arial" w:cs="Arial" w:eastAsia="Arial" w:hAnsi="Arial"/>
                <w:sz w:val="12"/>
                <w:szCs w:val="12"/>
                <w:color w:val="auto"/>
              </w:rPr>
              <w:t>13.68</w:t>
            </w:r>
          </w:p>
        </w:tc>
        <w:tc>
          <w:tcPr>
            <w:tcW w:w="280" w:type="dxa"/>
            <w:vAlign w:val="bottom"/>
          </w:tcPr>
          <w:p>
            <w:pPr>
              <w:spacing w:after="0"/>
              <w:rPr>
                <w:sz w:val="15"/>
                <w:szCs w:val="15"/>
                <w:color w:val="auto"/>
              </w:rPr>
            </w:pP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2,376,100</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7,241,338</w:t>
            </w:r>
          </w:p>
        </w:tc>
      </w:tr>
      <w:tr>
        <w:trPr>
          <w:trHeight w:val="189"/>
        </w:trPr>
        <w:tc>
          <w:tcPr>
            <w:tcW w:w="3800" w:type="dxa"/>
            <w:vAlign w:val="bottom"/>
          </w:tcPr>
          <w:p>
            <w:pPr>
              <w:ind w:left="220"/>
              <w:spacing w:after="0"/>
              <w:rPr>
                <w:sz w:val="20"/>
                <w:szCs w:val="20"/>
                <w:color w:val="auto"/>
              </w:rPr>
            </w:pPr>
            <w:r>
              <w:rPr>
                <w:rFonts w:ascii="Arial" w:cs="Arial" w:eastAsia="Arial" w:hAnsi="Arial"/>
                <w:sz w:val="12"/>
                <w:szCs w:val="12"/>
                <w:color w:val="auto"/>
              </w:rPr>
              <w:t>12/1/2010 - 12/31/2010</w:t>
            </w:r>
          </w:p>
        </w:tc>
        <w:tc>
          <w:tcPr>
            <w:tcW w:w="280" w:type="dxa"/>
            <w:vAlign w:val="bottom"/>
          </w:tcPr>
          <w:p>
            <w:pPr>
              <w:spacing w:after="0"/>
              <w:rPr>
                <w:sz w:val="16"/>
                <w:szCs w:val="16"/>
                <w:color w:val="auto"/>
              </w:rPr>
            </w:pPr>
          </w:p>
        </w:tc>
        <w:tc>
          <w:tcPr>
            <w:tcW w:w="158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2,200,000</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201"/>
              <w:spacing w:after="0"/>
              <w:rPr>
                <w:sz w:val="20"/>
                <w:szCs w:val="20"/>
                <w:color w:val="auto"/>
              </w:rPr>
            </w:pPr>
            <w:r>
              <w:rPr>
                <w:rFonts w:ascii="Arial" w:cs="Arial" w:eastAsia="Arial" w:hAnsi="Arial"/>
                <w:sz w:val="12"/>
                <w:szCs w:val="12"/>
                <w:color w:val="auto"/>
              </w:rPr>
              <w:t>13.85</w:t>
            </w:r>
          </w:p>
        </w:tc>
        <w:tc>
          <w:tcPr>
            <w:tcW w:w="280" w:type="dxa"/>
            <w:vAlign w:val="bottom"/>
          </w:tcPr>
          <w:p>
            <w:pPr>
              <w:spacing w:after="0"/>
              <w:rPr>
                <w:sz w:val="16"/>
                <w:szCs w:val="16"/>
                <w:color w:val="auto"/>
              </w:rPr>
            </w:pPr>
          </w:p>
        </w:tc>
        <w:tc>
          <w:tcPr>
            <w:tcW w:w="160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2,200,000</w:t>
            </w:r>
          </w:p>
        </w:tc>
        <w:tc>
          <w:tcPr>
            <w:tcW w:w="1880" w:type="dxa"/>
            <w:vAlign w:val="bottom"/>
            <w:gridSpan w:val="2"/>
          </w:tcPr>
          <w:p>
            <w:pPr>
              <w:jc w:val="right"/>
              <w:ind w:right="212"/>
              <w:spacing w:after="0"/>
              <w:rPr>
                <w:sz w:val="20"/>
                <w:szCs w:val="20"/>
                <w:color w:val="auto"/>
              </w:rPr>
            </w:pPr>
            <w:r>
              <w:rPr>
                <w:rFonts w:ascii="Arial" w:cs="Arial" w:eastAsia="Arial" w:hAnsi="Arial"/>
                <w:sz w:val="12"/>
                <w:szCs w:val="12"/>
                <w:color w:val="auto"/>
              </w:rPr>
              <w:t>5,041,338</w:t>
            </w:r>
          </w:p>
        </w:tc>
      </w:tr>
      <w:tr>
        <w:trPr>
          <w:trHeight w:val="160"/>
        </w:trPr>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jc w:val="right"/>
              <w:ind w:right="182"/>
              <w:spacing w:after="0"/>
              <w:rPr>
                <w:sz w:val="20"/>
                <w:szCs w:val="20"/>
                <w:color w:val="auto"/>
              </w:rPr>
            </w:pPr>
            <w:r>
              <w:rPr>
                <w:rFonts w:ascii="Arial" w:cs="Arial" w:eastAsia="Arial" w:hAnsi="Arial"/>
                <w:sz w:val="12"/>
                <w:szCs w:val="12"/>
                <w:color w:val="auto"/>
              </w:rPr>
              <w:t>8,664,262</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201"/>
              <w:spacing w:after="0"/>
              <w:rPr>
                <w:sz w:val="20"/>
                <w:szCs w:val="20"/>
                <w:color w:val="auto"/>
              </w:rPr>
            </w:pPr>
            <w:r>
              <w:rPr>
                <w:rFonts w:ascii="Arial" w:cs="Arial" w:eastAsia="Arial" w:hAnsi="Arial"/>
                <w:sz w:val="12"/>
                <w:szCs w:val="12"/>
                <w:color w:val="auto"/>
              </w:rPr>
              <w:t>13.57</w:t>
            </w:r>
          </w:p>
        </w:tc>
        <w:tc>
          <w:tcPr>
            <w:tcW w:w="280" w:type="dxa"/>
            <w:vAlign w:val="bottom"/>
          </w:tcPr>
          <w:p>
            <w:pPr>
              <w:spacing w:after="0"/>
              <w:rPr>
                <w:sz w:val="13"/>
                <w:szCs w:val="13"/>
                <w:color w:val="auto"/>
              </w:rPr>
            </w:pPr>
          </w:p>
        </w:tc>
        <w:tc>
          <w:tcPr>
            <w:tcW w:w="1600" w:type="dxa"/>
            <w:vAlign w:val="bottom"/>
          </w:tcPr>
          <w:p>
            <w:pPr>
              <w:jc w:val="right"/>
              <w:ind w:right="202"/>
              <w:spacing w:after="0"/>
              <w:rPr>
                <w:sz w:val="20"/>
                <w:szCs w:val="20"/>
                <w:color w:val="auto"/>
              </w:rPr>
            </w:pPr>
            <w:r>
              <w:rPr>
                <w:rFonts w:ascii="Arial" w:cs="Arial" w:eastAsia="Arial" w:hAnsi="Arial"/>
                <w:sz w:val="12"/>
                <w:szCs w:val="12"/>
                <w:color w:val="auto"/>
              </w:rPr>
              <w:t>8,664,262</w:t>
            </w: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r>
    </w:tbl>
    <w:p>
      <w:pPr>
        <w:spacing w:after="0" w:line="333"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_______________________________________________</w:t>
      </w:r>
    </w:p>
    <w:p>
      <w:pPr>
        <w:spacing w:after="0" w:line="114" w:lineRule="exact"/>
        <w:rPr>
          <w:sz w:val="20"/>
          <w:szCs w:val="20"/>
          <w:color w:val="auto"/>
        </w:rPr>
      </w:pPr>
    </w:p>
    <w:p>
      <w:pPr>
        <w:ind w:left="620" w:hanging="176"/>
        <w:spacing w:after="0"/>
        <w:tabs>
          <w:tab w:leader="none" w:pos="620" w:val="left"/>
        </w:tabs>
        <w:numPr>
          <w:ilvl w:val="0"/>
          <w:numId w:val="19"/>
        </w:numPr>
        <w:rPr>
          <w:rFonts w:ascii="Arial" w:cs="Arial" w:eastAsia="Arial" w:hAnsi="Arial"/>
          <w:sz w:val="10"/>
          <w:szCs w:val="10"/>
          <w:color w:val="auto"/>
        </w:rPr>
      </w:pPr>
      <w:r>
        <w:rPr>
          <w:rFonts w:ascii="Arial" w:cs="Arial" w:eastAsia="Arial" w:hAnsi="Arial"/>
          <w:sz w:val="10"/>
          <w:szCs w:val="10"/>
          <w:color w:val="auto"/>
        </w:rPr>
        <w:t>Maximum number of shares that may yet be purchased under the plans or programs as of December 31, 2010 do not include the additional shares approved on January 27, 2011, increasing the aggregate number of shares yet to</w:t>
      </w:r>
    </w:p>
    <w:p>
      <w:pPr>
        <w:spacing w:after="0" w:line="37" w:lineRule="exact"/>
        <w:rPr>
          <w:rFonts w:ascii="Arial" w:cs="Arial" w:eastAsia="Arial" w:hAnsi="Arial"/>
          <w:sz w:val="10"/>
          <w:szCs w:val="10"/>
          <w:color w:val="auto"/>
        </w:rPr>
      </w:pPr>
    </w:p>
    <w:p>
      <w:pPr>
        <w:ind w:left="5100"/>
        <w:spacing w:after="0"/>
        <w:rPr>
          <w:rFonts w:ascii="Arial" w:cs="Arial" w:eastAsia="Arial" w:hAnsi="Arial"/>
          <w:sz w:val="10"/>
          <w:szCs w:val="10"/>
          <w:color w:val="auto"/>
        </w:rPr>
      </w:pPr>
      <w:r>
        <w:rPr>
          <w:rFonts w:ascii="Arial" w:cs="Arial" w:eastAsia="Arial" w:hAnsi="Arial"/>
          <w:sz w:val="12"/>
          <w:szCs w:val="12"/>
          <w:color w:val="auto"/>
        </w:rPr>
        <w:t>be purchased to 10,000,000 shares.</w:t>
      </w:r>
    </w:p>
    <w:p>
      <w:pPr>
        <w:spacing w:after="0" w:line="137"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i w:val="1"/>
          <w:iCs w:val="1"/>
          <w:color w:val="auto"/>
        </w:rPr>
        <w:t>Selected Financial Data</w:t>
      </w:r>
    </w:p>
    <w:p>
      <w:pPr>
        <w:spacing w:after="0" w:line="118" w:lineRule="exact"/>
        <w:rPr>
          <w:sz w:val="20"/>
          <w:szCs w:val="20"/>
          <w:color w:val="auto"/>
        </w:rPr>
      </w:pPr>
    </w:p>
    <w:p>
      <w:pPr>
        <w:jc w:val="both"/>
        <w:ind w:right="20" w:firstLine="180"/>
        <w:spacing w:after="0" w:line="323" w:lineRule="auto"/>
        <w:rPr>
          <w:sz w:val="20"/>
          <w:szCs w:val="20"/>
          <w:color w:val="auto"/>
        </w:rPr>
      </w:pPr>
      <w:r>
        <w:rPr>
          <w:rFonts w:ascii="Arial" w:cs="Arial" w:eastAsia="Arial" w:hAnsi="Arial"/>
          <w:sz w:val="11"/>
          <w:szCs w:val="11"/>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2010&lt; font style="font-family:inherit;font-size:10pt;background-color:#ffffff;"&gt; presentation.</w:t>
      </w:r>
    </w:p>
    <w:p>
      <w:pPr>
        <w:spacing w:after="0" w:line="119" w:lineRule="exact"/>
        <w:rPr>
          <w:sz w:val="20"/>
          <w:szCs w:val="20"/>
          <w:color w:val="auto"/>
        </w:rPr>
      </w:pPr>
    </w:p>
    <w:p>
      <w:pPr>
        <w:jc w:val="both"/>
        <w:ind w:firstLine="126"/>
        <w:spacing w:after="0" w:line="290" w:lineRule="auto"/>
        <w:rPr>
          <w:sz w:val="20"/>
          <w:szCs w:val="20"/>
          <w:color w:val="auto"/>
        </w:rPr>
      </w:pPr>
      <w:r>
        <w:rPr>
          <w:rFonts w:ascii="Arial" w:cs="Arial" w:eastAsia="Arial" w:hAnsi="Arial"/>
          <w:sz w:val="11"/>
          <w:szCs w:val="11"/>
          <w:color w:val="auto"/>
        </w:rPr>
        <w:t>Prior to October 24, 2006, we were known as Fidelity National Title Group, Inc. (“FNT”) and were a majority-owned subsidiary of another publicly traded company, also called Fidelity National Financial, Inc. (“Old FNF”). On October 24, 2006, Old FNF transferred certain assets to us in return for the issuance of 45,265,956 shares of our common stock to Old FNF. Old FNF then distributed to its shareholders all of its shares of our common stock, making FNT a standalone public company (the “2006 Distribution”). On November 9, 2006, Old FNF was then merged with and into another of its subsidi aries, Fidelity National Information Services, Inc. (“FIS”), after which we changed our name to Fidelity National Financial, Inc. (“FNF”). On November 10, 2006, our common stock began trading on the New York Stock Exchange under the trading symbol “FNF.”</w:t>
      </w:r>
    </w:p>
    <w:p>
      <w:pPr>
        <w:spacing w:after="0" w:line="7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Acquisitions among entities under common control such as Old FNF’s 2006 contribution of assets to us in connection with the 2006 Distribution are not considered business combinations and are accounted for at historical cost in accordance with generally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80"/>
          </w:cols>
          <w:pgMar w:left="220" w:top="131" w:right="199" w:bottom="1440" w:gutter="0" w:footer="0" w:header="0"/>
        </w:sectPr>
      </w:pPr>
    </w:p>
    <w:bookmarkStart w:id="23" w:name="page24"/>
    <w:bookmarkEnd w:id="23"/>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5"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accepted accounting principles on exchanges of ownership interests between enterprises under common control. Furthermore, the substance of that asset contribution, the 2006 Distribution and the Old FNF-FIS merger is effectively a reverse spin-off of FIS by Old FNF in accordance with the FASB’s guidance on accounting for reverse spinoffs. Accordingly, the historical financial statements of Old FNF became those of FNF. As a result, the data shown below for periods or dates prior to October 24, 2006, the date the 2006 Distribution was completed, are the data of Old FNF, including the results of both FIS and us as subsidiaries of Old FNF. Following completion of the 2006 Distribution, however, the criteria to account for FIS as discontinued operations as prescribed by the FASB’s guidance on accounting for the impairment or disposal of long-lived assets were not met. This is primarily due to our continuing involvement with and significant influence over FIS subsequent to the merger of Old FNF and FIS through common board members, common senior management and continuing business relationships. As a result, for periods prior to October 24, 2006, FIS continues to be included in our consolidated financial statements.</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57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jc w:val="center"/>
              <w:ind w:left="24"/>
              <w:spacing w:after="0"/>
              <w:rPr>
                <w:sz w:val="20"/>
                <w:szCs w:val="20"/>
                <w:color w:val="auto"/>
              </w:rPr>
            </w:pPr>
            <w:r>
              <w:rPr>
                <w:rFonts w:ascii="Arial" w:cs="Arial" w:eastAsia="Arial" w:hAnsi="Arial"/>
                <w:sz w:val="10"/>
                <w:szCs w:val="10"/>
                <w:b w:val="1"/>
                <w:bCs w:val="1"/>
                <w:color w:val="auto"/>
                <w:w w:val="86"/>
              </w:rPr>
              <w:t>Year Ended December 31,</w:t>
            </w: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2009(1)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w w:val="86"/>
              </w:rPr>
              <w:t>2008(2)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w w:val="98"/>
              </w:rPr>
              <w:t>2007(3)</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2006(4)</w:t>
            </w:r>
          </w:p>
        </w:tc>
        <w:tc>
          <w:tcPr>
            <w:tcW w:w="0" w:type="dxa"/>
            <w:vAlign w:val="bottom"/>
          </w:tcPr>
          <w:p>
            <w:pPr>
              <w:spacing w:after="0"/>
              <w:rPr>
                <w:sz w:val="1"/>
                <w:szCs w:val="1"/>
                <w:color w:val="auto"/>
              </w:rPr>
            </w:pPr>
          </w:p>
        </w:tc>
      </w:tr>
      <w:tr>
        <w:trPr>
          <w:trHeight w:val="124"/>
        </w:trPr>
        <w:tc>
          <w:tcPr>
            <w:tcW w:w="5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40" w:type="dxa"/>
            <w:vAlign w:val="bottom"/>
            <w:gridSpan w:val="6"/>
          </w:tcPr>
          <w:p>
            <w:pPr>
              <w:jc w:val="center"/>
              <w:spacing w:after="0"/>
              <w:rPr>
                <w:sz w:val="20"/>
                <w:szCs w:val="20"/>
                <w:color w:val="auto"/>
              </w:rPr>
            </w:pPr>
            <w:r>
              <w:rPr>
                <w:rFonts w:ascii="Arial" w:cs="Arial" w:eastAsia="Arial" w:hAnsi="Arial"/>
                <w:sz w:val="10"/>
                <w:szCs w:val="10"/>
                <w:b w:val="1"/>
                <w:bCs w:val="1"/>
                <w:color w:val="auto"/>
                <w:w w:val="84"/>
              </w:rPr>
              <w:t>(Dollars in millions, except per share)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Data:</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760" w:type="dxa"/>
            <w:vAlign w:val="bottom"/>
          </w:tcPr>
          <w:p>
            <w:pPr>
              <w:ind w:left="20"/>
              <w:spacing w:after="0"/>
              <w:rPr>
                <w:sz w:val="20"/>
                <w:szCs w:val="20"/>
                <w:color w:val="auto"/>
              </w:rPr>
            </w:pPr>
            <w:r>
              <w:rPr>
                <w:rFonts w:ascii="Arial" w:cs="Arial" w:eastAsia="Arial" w:hAnsi="Arial"/>
                <w:sz w:val="12"/>
                <w:szCs w:val="12"/>
                <w:color w:val="auto"/>
              </w:rPr>
              <w:t>Revenue</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5,740.3</w:t>
            </w:r>
          </w:p>
        </w:tc>
        <w:tc>
          <w:tcPr>
            <w:tcW w:w="100" w:type="dxa"/>
            <w:vAlign w:val="bottom"/>
          </w:tcPr>
          <w:p>
            <w:pPr>
              <w:spacing w:after="0"/>
              <w:rPr>
                <w:sz w:val="14"/>
                <w:szCs w:val="14"/>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5,828.4</w:t>
            </w:r>
          </w:p>
        </w:tc>
        <w:tc>
          <w:tcPr>
            <w:tcW w:w="4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4,251.2</w:t>
            </w:r>
          </w:p>
        </w:tc>
        <w:tc>
          <w:tcPr>
            <w:tcW w:w="12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5,465.6</w:t>
            </w: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9,434.4</w:t>
            </w:r>
          </w:p>
        </w:tc>
        <w:tc>
          <w:tcPr>
            <w:tcW w:w="0" w:type="dxa"/>
            <w:vAlign w:val="bottom"/>
          </w:tcPr>
          <w:p>
            <w:pPr>
              <w:spacing w:after="0"/>
              <w:rPr>
                <w:sz w:val="1"/>
                <w:szCs w:val="1"/>
                <w:color w:val="auto"/>
              </w:rPr>
            </w:pPr>
          </w:p>
        </w:tc>
      </w:tr>
      <w:tr>
        <w:trPr>
          <w:trHeight w:val="178"/>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lef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60" w:type="dxa"/>
            <w:vAlign w:val="bottom"/>
          </w:tcPr>
          <w:p>
            <w:pPr>
              <w:ind w:left="180"/>
              <w:spacing w:after="0"/>
              <w:rPr>
                <w:sz w:val="20"/>
                <w:szCs w:val="20"/>
                <w:color w:val="auto"/>
              </w:rPr>
            </w:pPr>
            <w:r>
              <w:rPr>
                <w:rFonts w:ascii="Arial" w:cs="Arial" w:eastAsia="Arial" w:hAnsi="Arial"/>
                <w:sz w:val="12"/>
                <w:szCs w:val="12"/>
                <w:color w:val="auto"/>
              </w:rPr>
              <w:t>Personnel costs</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1,649.8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1,322.0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1,668.6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3,225.3</w:t>
            </w:r>
          </w:p>
        </w:tc>
        <w:tc>
          <w:tcPr>
            <w:tcW w:w="0" w:type="dxa"/>
            <w:vAlign w:val="bottom"/>
          </w:tcPr>
          <w:p>
            <w:pPr>
              <w:spacing w:after="0"/>
              <w:rPr>
                <w:sz w:val="1"/>
                <w:szCs w:val="1"/>
                <w:color w:val="auto"/>
              </w:rPr>
            </w:pPr>
          </w:p>
        </w:tc>
      </w:tr>
      <w:tr>
        <w:trPr>
          <w:trHeight w:val="162"/>
        </w:trPr>
        <w:tc>
          <w:tcPr>
            <w:tcW w:w="5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&lt;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operating expenses</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1,269.6</w:t>
            </w: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1,343.5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1,179.8</w:t>
            </w:r>
          </w:p>
        </w:tc>
        <w:tc>
          <w:tcPr>
            <w:tcW w:w="120" w:type="dxa"/>
            <w:vAlign w:val="bottom"/>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1,078.8</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/div&gt;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2,075.0</w:t>
            </w:r>
          </w:p>
        </w:tc>
        <w:tc>
          <w:tcPr>
            <w:tcW w:w="0" w:type="dxa"/>
            <w:vAlign w:val="bottom"/>
          </w:tcPr>
          <w:p>
            <w:pPr>
              <w:spacing w:after="0"/>
              <w:rPr>
                <w:sz w:val="1"/>
                <w:szCs w:val="1"/>
                <w:color w:val="auto"/>
              </w:rPr>
            </w:pPr>
          </w:p>
        </w:tc>
      </w:tr>
      <w:tr>
        <w:trPr>
          <w:trHeight w:val="162"/>
        </w:trPr>
        <w:tc>
          <w:tcPr>
            <w:tcW w:w="5760" w:type="dxa"/>
            <w:vAlign w:val="bottom"/>
            <w:vMerge w:val="restart"/>
          </w:tcPr>
          <w:p>
            <w:pPr>
              <w:ind w:left="180"/>
              <w:spacing w:after="0"/>
              <w:rPr>
                <w:sz w:val="20"/>
                <w:szCs w:val="20"/>
                <w:color w:val="auto"/>
              </w:rPr>
            </w:pPr>
            <w:r>
              <w:rPr>
                <w:rFonts w:ascii="Arial" w:cs="Arial" w:eastAsia="Arial" w:hAnsi="Arial"/>
                <w:sz w:val="12"/>
                <w:szCs w:val="12"/>
                <w:color w:val="auto"/>
              </w:rPr>
              <w:t>Agent commissions</w:t>
            </w: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1,758.7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41"/>
              <w:spacing w:after="0"/>
              <w:rPr>
                <w:sz w:val="20"/>
                <w:szCs w:val="20"/>
                <w:color w:val="auto"/>
              </w:rPr>
            </w:pPr>
            <w:r>
              <w:rPr>
                <w:rFonts w:ascii="Arial" w:cs="Arial" w:eastAsia="Arial" w:hAnsi="Arial"/>
                <w:sz w:val="12"/>
                <w:szCs w:val="12"/>
                <w:color w:val="auto"/>
              </w:rPr>
              <w:t>1,951.7</w:t>
            </w:r>
          </w:p>
        </w:tc>
        <w:tc>
          <w:tcPr>
            <w:tcW w:w="120" w:type="dxa"/>
            <w:vAlign w:val="bottom"/>
          </w:tcPr>
          <w:p>
            <w:pPr>
              <w:spacing w:after="0"/>
              <w:rPr>
                <w:sz w:val="14"/>
                <w:szCs w:val="14"/>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color w:val="auto"/>
                <w:w w:val="97"/>
              </w:rPr>
              <w:t>&lt; /td&gt;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1,218.0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1,698.2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2"/>
                <w:szCs w:val="12"/>
                <w:color w:val="auto"/>
              </w:rPr>
              <w:t>2,035.4</w:t>
            </w:r>
          </w:p>
        </w:tc>
        <w:tc>
          <w:tcPr>
            <w:tcW w:w="0" w:type="dxa"/>
            <w:vAlign w:val="bottom"/>
          </w:tcPr>
          <w:p>
            <w:pPr>
              <w:spacing w:after="0"/>
              <w:rPr>
                <w:sz w:val="1"/>
                <w:szCs w:val="1"/>
                <w:color w:val="auto"/>
              </w:rPr>
            </w:pPr>
          </w:p>
        </w:tc>
      </w:tr>
      <w:tr>
        <w:trPr>
          <w:trHeight w:val="153"/>
        </w:trPr>
        <w:tc>
          <w:tcPr>
            <w:tcW w:w="57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w:t>
            </w:r>
          </w:p>
        </w:tc>
        <w:tc>
          <w:tcPr>
            <w:tcW w:w="1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109.2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122.1</w:t>
            </w:r>
          </w:p>
        </w:tc>
        <w:tc>
          <w:tcPr>
            <w:tcW w:w="1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460.8</w:t>
            </w:r>
          </w:p>
        </w:tc>
        <w:tc>
          <w:tcPr>
            <w:tcW w:w="0" w:type="dxa"/>
            <w:vAlign w:val="bottom"/>
          </w:tcPr>
          <w:p>
            <w:pPr>
              <w:spacing w:after="0"/>
              <w:rPr>
                <w:sz w:val="1"/>
                <w:szCs w:val="1"/>
                <w:color w:val="auto"/>
              </w:rPr>
            </w:pPr>
          </w:p>
        </w:tc>
      </w:tr>
      <w:tr>
        <w:trPr>
          <w:trHeight w:val="171"/>
        </w:trPr>
        <w:tc>
          <w:tcPr>
            <w:tcW w:w="5760" w:type="dxa"/>
            <w:vAlign w:val="bottom"/>
          </w:tcPr>
          <w:p>
            <w:pPr>
              <w:ind w:left="180"/>
              <w:spacing w:after="0"/>
              <w:rPr>
                <w:sz w:val="20"/>
                <w:szCs w:val="20"/>
                <w:color w:val="auto"/>
              </w:rPr>
            </w:pPr>
            <w:r>
              <w:rPr>
                <w:rFonts w:ascii="Arial" w:cs="Arial" w:eastAsia="Arial" w:hAnsi="Arial"/>
                <w:sz w:val="12"/>
                <w:szCs w:val="12"/>
                <w:color w:val="auto"/>
              </w:rPr>
              <w:t>Provision for claim losses</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color w:val="auto"/>
              </w:rPr>
              <w:t>392.6</w:t>
            </w:r>
          </w:p>
        </w:tc>
        <w:tc>
          <w:tcPr>
            <w:tcW w:w="460" w:type="dxa"/>
            <w:vAlign w:val="bottom"/>
            <w:gridSpan w:val="2"/>
          </w:tcPr>
          <w:p>
            <w:pPr>
              <w:ind w:left="140"/>
              <w:spacing w:after="0"/>
              <w:rPr>
                <w:sz w:val="20"/>
                <w:szCs w:val="20"/>
                <w:color w:val="auto"/>
              </w:rPr>
            </w:pPr>
            <w:r>
              <w:rPr>
                <w:rFonts w:ascii="Arial" w:cs="Arial" w:eastAsia="Arial" w:hAnsi="Arial"/>
                <w:sz w:val="12"/>
                <w:szCs w:val="12"/>
                <w:color w:val="auto"/>
                <w:w w:val="99"/>
              </w:rPr>
              <w:t>630.4</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653.9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486.3</w:t>
            </w: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36.7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58.6</w:t>
            </w:r>
          </w:p>
        </w:tc>
        <w:tc>
          <w:tcPr>
            <w:tcW w:w="12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52.9</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210.0</w:t>
            </w:r>
          </w:p>
        </w:tc>
        <w:tc>
          <w:tcPr>
            <w:tcW w:w="0" w:type="dxa"/>
            <w:vAlign w:val="bottom"/>
          </w:tcPr>
          <w:p>
            <w:pPr>
              <w:spacing w:after="0"/>
              <w:rPr>
                <w:sz w:val="1"/>
                <w:szCs w:val="1"/>
                <w:color w:val="auto"/>
              </w:rPr>
            </w:pPr>
          </w:p>
        </w:tc>
      </w:tr>
      <w:tr>
        <w:trPr>
          <w:trHeight w:val="169"/>
        </w:trPr>
        <w:tc>
          <w:tcPr>
            <w:tcW w:w="57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5,177.9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5,483.5</w:t>
            </w:r>
          </w:p>
        </w:tc>
        <w:tc>
          <w:tcPr>
            <w:tcW w:w="1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4,530.9</w:t>
            </w:r>
          </w:p>
        </w:tc>
        <w:tc>
          <w:tcPr>
            <w:tcW w:w="1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5,280.3</w:t>
            </w:r>
          </w:p>
        </w:tc>
        <w:tc>
          <w:tcPr>
            <w:tcW w:w="100" w:type="dxa"/>
            <w:vAlign w:val="bottom"/>
            <w:tcBorders>
              <w:top w:val="single" w:sz="8" w:color="auto"/>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8,492.8</w:t>
            </w:r>
          </w:p>
        </w:tc>
        <w:tc>
          <w:tcPr>
            <w:tcW w:w="0" w:type="dxa"/>
            <w:vAlign w:val="bottom"/>
          </w:tcPr>
          <w:p>
            <w:pPr>
              <w:spacing w:after="0"/>
              <w:rPr>
                <w:sz w:val="1"/>
                <w:szCs w:val="1"/>
                <w:color w:val="auto"/>
              </w:rPr>
            </w:pPr>
          </w:p>
        </w:tc>
      </w:tr>
      <w:tr>
        <w:trPr>
          <w:trHeight w:val="178"/>
        </w:trPr>
        <w:tc>
          <w:tcPr>
            <w:tcW w:w="57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Earnings (loss) before income taxes, equity in (loss) earnings of unconsolidated affiliates, and noncontrolling interest</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562.4</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344.9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(279.7)</w:t>
            </w:r>
          </w:p>
        </w:tc>
        <w:tc>
          <w:tcPr>
            <w:tcW w:w="12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941.6</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 (benefit)</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185.6</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106.8</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(119.9)</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50.3</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350.9</w:t>
            </w:r>
          </w:p>
        </w:tc>
        <w:tc>
          <w:tcPr>
            <w:tcW w:w="0" w:type="dxa"/>
            <w:vAlign w:val="bottom"/>
          </w:tcPr>
          <w:p>
            <w:pPr>
              <w:spacing w:after="0"/>
              <w:rPr>
                <w:sz w:val="1"/>
                <w:szCs w:val="1"/>
                <w:color w:val="auto"/>
              </w:rPr>
            </w:pPr>
          </w:p>
        </w:tc>
      </w:tr>
      <w:tr>
        <w:trPr>
          <w:trHeight w:val="178"/>
        </w:trPr>
        <w:tc>
          <w:tcPr>
            <w:tcW w:w="5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(loss) before equity in (loss) earnings of unconsolidated affiliates</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376.8</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238.1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(159.8)</w:t>
            </w:r>
          </w:p>
        </w:tc>
        <w:tc>
          <w:tcPr>
            <w:tcW w:w="12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590.7</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Equity in (loss) earnings of unconsolidated affiliates</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(11.7)</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(13.4)</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8"/>
        </w:trPr>
        <w:tc>
          <w:tcPr>
            <w:tcW w:w="5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(loss) from continu ing operations, net of tax</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375.6</w:t>
            </w:r>
          </w:p>
        </w:tc>
        <w:tc>
          <w:tcPr>
            <w:tcW w:w="10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226.4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(173.2)</w:t>
            </w:r>
          </w:p>
        </w:tc>
        <w:tc>
          <w:tcPr>
            <w:tcW w:w="12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592.4</w:t>
            </w:r>
          </w:p>
        </w:tc>
        <w:tc>
          <w:tcPr>
            <w:tcW w:w="0" w:type="dxa"/>
            <w:vAlign w:val="bottom"/>
          </w:tcPr>
          <w:p>
            <w:pPr>
              <w:spacing w:after="0"/>
              <w:rPr>
                <w:sz w:val="1"/>
                <w:szCs w:val="1"/>
                <w:color w:val="auto"/>
              </w:rPr>
            </w:pPr>
          </w:p>
        </w:tc>
      </w:tr>
      <w:tr>
        <w:trPr>
          <w:trHeight w:val="171"/>
        </w:trPr>
        <w:tc>
          <w:tcPr>
            <w:tcW w:w="5760" w:type="dxa"/>
            <w:vAlign w:val="bottom"/>
          </w:tcPr>
          <w:p>
            <w:pPr>
              <w:ind w:left="20"/>
              <w:spacing w:after="0"/>
              <w:rPr>
                <w:sz w:val="20"/>
                <w:szCs w:val="20"/>
                <w:color w:val="auto"/>
              </w:rPr>
            </w:pPr>
            <w:r>
              <w:rPr>
                <w:rFonts w:ascii="Arial" w:cs="Arial" w:eastAsia="Arial" w:hAnsi="Arial"/>
                <w:sz w:val="12"/>
                <w:szCs w:val="12"/>
                <w:color w:val="auto"/>
              </w:rPr>
              <w:t>Net loss from discontinued operations, net of tax</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(6.0)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earnings (loss)</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375.6</w:t>
            </w:r>
          </w:p>
        </w:tc>
        <w:tc>
          <w:tcPr>
            <w:tcW w:w="10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224.5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(183.2)</w:t>
            </w:r>
          </w:p>
        </w:tc>
        <w:tc>
          <w:tcPr>
            <w:tcW w:w="12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129.8</w:t>
            </w:r>
          </w:p>
        </w:tc>
        <w:tc>
          <w:tcPr>
            <w:tcW w:w="10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592.4</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net earnings (loss) attributable to noncon trolling interests</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(4.2)</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154.6</w:t>
            </w:r>
          </w:p>
        </w:tc>
        <w:tc>
          <w:tcPr>
            <w:tcW w:w="0" w:type="dxa"/>
            <w:vAlign w:val="bottom"/>
          </w:tcPr>
          <w:p>
            <w:pPr>
              <w:spacing w:after="0"/>
              <w:rPr>
                <w:sz w:val="1"/>
                <w:szCs w:val="1"/>
                <w:color w:val="auto"/>
              </w:rPr>
            </w:pPr>
          </w:p>
        </w:tc>
      </w:tr>
      <w:tr>
        <w:trPr>
          <w:trHeight w:val="18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earnings (loss) attributable to FNF common shareholders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370.1</w:t>
            </w:r>
          </w:p>
        </w:tc>
        <w:tc>
          <w:tcPr>
            <w:tcW w:w="1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right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222.3</w:t>
            </w:r>
          </w:p>
        </w:tc>
        <w:tc>
          <w:tcPr>
            <w:tcW w:w="1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(179.0)</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129.8</w:t>
            </w: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437.8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67" w:lineRule="exact"/>
        <w:rPr>
          <w:sz w:val="20"/>
          <w:szCs w:val="20"/>
          <w:color w:val="auto"/>
        </w:rPr>
      </w:pPr>
    </w:p>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169545</wp:posOffset>
            </wp:positionV>
            <wp:extent cx="1143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p>
    <w:p>
      <w:pPr>
        <w:spacing w:after="0" w:line="199"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7"/>
              </w:rPr>
              <w:t>Year Ended December 31,</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r>
        <w:trPr>
          <w:trHeight w:val="169"/>
        </w:trPr>
        <w:tc>
          <w:tcPr>
            <w:tcW w:w="4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2010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2009(1)</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6"/>
              </w:rPr>
              <w:t>2008(2)</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2007(3)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2006(4)</w:t>
            </w:r>
          </w:p>
        </w:tc>
        <w:tc>
          <w:tcPr>
            <w:tcW w:w="140" w:type="dxa"/>
            <w:vAlign w:val="bottom"/>
            <w:tcBorders>
              <w:bottom w:val="single" w:sz="8" w:color="auto"/>
            </w:tcBorders>
          </w:tcPr>
          <w:p>
            <w:pPr>
              <w:spacing w:after="0"/>
              <w:rPr>
                <w:sz w:val="14"/>
                <w:szCs w:val="14"/>
                <w:color w:val="auto"/>
              </w:rPr>
            </w:pPr>
          </w:p>
        </w:tc>
      </w:tr>
      <w:tr>
        <w:trPr>
          <w:trHeight w:val="124"/>
        </w:trPr>
        <w:tc>
          <w:tcPr>
            <w:tcW w:w="4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6"/>
          </w:tcPr>
          <w:p>
            <w:pPr>
              <w:jc w:val="center"/>
              <w:ind w:right="340"/>
              <w:spacing w:after="0"/>
              <w:rPr>
                <w:sz w:val="20"/>
                <w:szCs w:val="20"/>
                <w:color w:val="auto"/>
              </w:rPr>
            </w:pPr>
            <w:r>
              <w:rPr>
                <w:rFonts w:ascii="Arial" w:cs="Arial" w:eastAsia="Arial" w:hAnsi="Arial"/>
                <w:sz w:val="10"/>
                <w:szCs w:val="10"/>
                <w:b w:val="1"/>
                <w:bCs w:val="1"/>
                <w:color w:val="auto"/>
                <w:w w:val="85"/>
              </w:rPr>
              <w:t>(Dollars in millions, except per share)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Per Share Data (5):</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2"/>
                <w:szCs w:val="12"/>
                <w:color w:val="auto"/>
              </w:rPr>
              <w:t>Basic net earnings (loss) per share attributable to FNF common shareholders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0.99</w:t>
            </w:r>
          </w:p>
        </w:tc>
        <w:tc>
          <w:tcPr>
            <w:tcW w:w="24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1"/>
              <w:spacing w:after="0"/>
              <w:rPr>
                <w:sz w:val="20"/>
                <w:szCs w:val="20"/>
                <w:color w:val="auto"/>
              </w:rPr>
            </w:pPr>
            <w:r>
              <w:rPr>
                <w:rFonts w:ascii="Arial" w:cs="Arial" w:eastAsia="Arial" w:hAnsi="Arial"/>
                <w:sz w:val="12"/>
                <w:szCs w:val="12"/>
                <w:color w:val="auto"/>
              </w:rPr>
              <w:t>(0.85)</w:t>
            </w:r>
          </w:p>
        </w:tc>
        <w:tc>
          <w:tcPr>
            <w:tcW w:w="5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0.60</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Arial" w:cs="Arial" w:eastAsia="Arial" w:hAnsi="Arial"/>
                <w:sz w:val="12"/>
                <w:szCs w:val="12"/>
                <w:color w:val="auto"/>
              </w:rPr>
              <w:t>2.40</w:t>
            </w:r>
          </w:p>
        </w:tc>
      </w:tr>
      <w:tr>
        <w:trPr>
          <w:trHeight w:val="18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Weighted average shares outstanding, basic basis (5)</w:t>
            </w:r>
          </w:p>
        </w:tc>
        <w:tc>
          <w:tcPr>
            <w:tcW w:w="3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226.2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224.7</w:t>
            </w: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210.0</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216.6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182.0</w:t>
            </w:r>
          </w:p>
        </w:tc>
        <w:tc>
          <w:tcPr>
            <w:tcW w:w="140" w:type="dxa"/>
            <w:vAlign w:val="bottom"/>
            <w:tcBorders>
              <w:top w:val="single" w:sz="8" w:color="auto"/>
            </w:tcBorders>
          </w:tcPr>
          <w:p>
            <w:pPr>
              <w:spacing w:after="0"/>
              <w:rPr>
                <w:sz w:val="15"/>
                <w:szCs w:val="15"/>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2"/>
                <w:szCs w:val="12"/>
                <w:color w:val="auto"/>
              </w:rPr>
              <w:t>Diluted net earnings (loss) per share attributable to FNF common shareholders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0.97</w:t>
            </w:r>
          </w:p>
        </w:tc>
        <w:tc>
          <w:tcPr>
            <w:tcW w:w="24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1"/>
              <w:spacing w:after="0"/>
              <w:rPr>
                <w:sz w:val="20"/>
                <w:szCs w:val="20"/>
                <w:color w:val="auto"/>
              </w:rPr>
            </w:pPr>
            <w:r>
              <w:rPr>
                <w:rFonts w:ascii="Arial" w:cs="Arial" w:eastAsia="Arial" w:hAnsi="Arial"/>
                <w:sz w:val="12"/>
                <w:szCs w:val="12"/>
                <w:color w:val="auto"/>
              </w:rPr>
              <w:t>(0.85)</w:t>
            </w:r>
          </w:p>
        </w:tc>
        <w:tc>
          <w:tcPr>
            <w:tcW w:w="5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0.59</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Arial" w:cs="Arial" w:eastAsia="Arial" w:hAnsi="Arial"/>
                <w:sz w:val="12"/>
                <w:szCs w:val="12"/>
                <w:color w:val="auto"/>
              </w:rPr>
              <w:t>2.39</w:t>
            </w:r>
          </w:p>
        </w:tc>
      </w:tr>
      <w:tr>
        <w:trPr>
          <w:trHeight w:val="18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Weighted average shares outstanding, diluted basis (5)</w:t>
            </w:r>
          </w:p>
        </w:tc>
        <w:tc>
          <w:tcPr>
            <w:tcW w:w="3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2 29.3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228.5</w:t>
            </w: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210.0</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182.9</w:t>
            </w:r>
          </w:p>
        </w:tc>
        <w:tc>
          <w:tcPr>
            <w:tcW w:w="140" w:type="dxa"/>
            <w:vAlign w:val="bottom"/>
            <w:tcBorders>
              <w:top w:val="single" w:sz="8" w:color="auto"/>
            </w:tcBorders>
            <w:shd w:val="clear" w:color="auto" w:fill="CCEEFF"/>
          </w:tcPr>
          <w:p>
            <w:pPr>
              <w:spacing w:after="0"/>
              <w:rPr>
                <w:sz w:val="15"/>
                <w:szCs w:val="15"/>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2"/>
                <w:szCs w:val="12"/>
                <w:color w:val="auto"/>
              </w:rPr>
              <w:t>Dividends declared per share</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0.69</w:t>
            </w:r>
          </w:p>
        </w:tc>
        <w:tc>
          <w:tcPr>
            <w:tcW w:w="1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0.60</w:t>
            </w:r>
          </w:p>
        </w:tc>
        <w:tc>
          <w:tcPr>
            <w:tcW w:w="24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1.05</w:t>
            </w:r>
          </w:p>
        </w:tc>
        <w:tc>
          <w:tcPr>
            <w:tcW w:w="5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1.20</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ind w:left="580"/>
              <w:spacing w:after="0"/>
              <w:rPr>
                <w:sz w:val="20"/>
                <w:szCs w:val="20"/>
                <w:color w:val="auto"/>
              </w:rPr>
            </w:pPr>
            <w:r>
              <w:rPr>
                <w:rFonts w:ascii="Arial" w:cs="Arial" w:eastAsia="Arial" w:hAnsi="Arial"/>
                <w:sz w:val="12"/>
                <w:szCs w:val="12"/>
                <w:color w:val="auto"/>
              </w:rPr>
              <w:t>1.17</w:t>
            </w: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Sheet Data:</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2"/>
                <w:szCs w:val="12"/>
                <w:color w:val="auto"/>
              </w:rPr>
              <w:t>Investments (6)</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4,358.5</w:t>
            </w:r>
          </w:p>
        </w:tc>
        <w:tc>
          <w:tcPr>
            <w:tcW w:w="10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4,685.4</w:t>
            </w:r>
          </w:p>
        </w:tc>
        <w:tc>
          <w:tcPr>
            <w:tcW w:w="100" w:type="dxa"/>
            <w:vAlign w:val="bottom"/>
          </w:tcPr>
          <w:p>
            <w:pPr>
              <w:spacing w:after="0"/>
              <w:rPr>
                <w:sz w:val="14"/>
                <w:szCs w:val="14"/>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4,376.5</w:t>
            </w:r>
          </w:p>
        </w:tc>
        <w:tc>
          <w:tcPr>
            <w:tcW w:w="5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4,101.8</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4,121.8</w:t>
            </w:r>
          </w:p>
        </w:tc>
        <w:tc>
          <w:tcPr>
            <w:tcW w:w="140" w:type="dxa"/>
            <w:vAlign w:val="bottom"/>
          </w:tcPr>
          <w:p>
            <w:pPr>
              <w:spacing w:after="0"/>
              <w:rPr>
                <w:sz w:val="14"/>
                <w:szCs w:val="14"/>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(7)</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580.8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315.3</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569.6</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676.4</w:t>
            </w:r>
          </w:p>
        </w:tc>
        <w:tc>
          <w:tcPr>
            <w:tcW w:w="140" w:type="dxa"/>
            <w:vAlign w:val="bottom"/>
            <w:shd w:val="clear" w:color="auto" w:fill="CCEEFF"/>
          </w:tcPr>
          <w:p>
            <w:pPr>
              <w:spacing w:after="0"/>
              <w:rPr>
                <w:sz w:val="16"/>
                <w:szCs w:val="16"/>
                <w:color w:val="auto"/>
              </w:rPr>
            </w:pPr>
          </w:p>
        </w:tc>
      </w:tr>
      <w:tr>
        <w:trPr>
          <w:trHeight w:val="180"/>
        </w:trPr>
        <w:tc>
          <w:tcPr>
            <w:tcW w:w="470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3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7,887.5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7,934.4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8,368.2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7,587.8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7,259.6</w:t>
            </w:r>
          </w:p>
        </w:tc>
        <w:tc>
          <w:tcPr>
            <w:tcW w:w="140" w:type="dxa"/>
            <w:vAlign w:val="bottom"/>
          </w:tcPr>
          <w:p>
            <w:pPr>
              <w:spacing w:after="0"/>
              <w:rPr>
                <w:sz w:val="15"/>
                <w:szCs w:val="15"/>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Notes payable</w:t>
            </w:r>
          </w:p>
        </w:tc>
        <w:tc>
          <w:tcPr>
            <w:tcW w:w="3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952.0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861.9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1,350.8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1,167.7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491.2</w:t>
            </w:r>
          </w:p>
        </w:tc>
        <w:tc>
          <w:tcPr>
            <w:tcW w:w="140" w:type="dxa"/>
            <w:vAlign w:val="bottom"/>
            <w:shd w:val="clear" w:color="auto" w:fill="CCEEFF"/>
          </w:tcPr>
          <w:p>
            <w:pPr>
              <w:spacing w:after="0"/>
              <w:rPr>
                <w:sz w:val="15"/>
                <w:szCs w:val="15"/>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2"/>
                <w:szCs w:val="12"/>
                <w:color w:val="auto"/>
              </w:rPr>
              <w:t>Reserve for claim losses (8)</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2,272.7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2,541.4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2,738.6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1,419.9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1,220.6</w:t>
            </w:r>
          </w:p>
        </w:tc>
        <w:tc>
          <w:tcPr>
            <w:tcW w:w="140" w:type="dxa"/>
            <w:vAlign w:val="bottom"/>
          </w:tcPr>
          <w:p>
            <w:pPr>
              <w:spacing w:after="0"/>
              <w:rPr>
                <w:sz w:val="14"/>
                <w:szCs w:val="14"/>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3,444.4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3,344.9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2,856.8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3,298.0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3,530.4</w:t>
            </w:r>
          </w:p>
        </w:tc>
        <w:tc>
          <w:tcPr>
            <w:tcW w:w="140" w:type="dxa"/>
            <w:vAlign w:val="bottom"/>
          </w:tcPr>
          <w:p>
            <w:pPr>
              <w:spacing w:after="0"/>
              <w:rPr>
                <w:sz w:val="16"/>
                <w:szCs w:val="16"/>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2"/>
                <w:szCs w:val="12"/>
                <w:color w:val="auto"/>
              </w:rPr>
              <w:t>Book value per share (9)</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15.39</w:t>
            </w:r>
          </w:p>
        </w:tc>
        <w:tc>
          <w:tcPr>
            <w:tcW w:w="10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14.53</w:t>
            </w:r>
          </w:p>
        </w:tc>
        <w:tc>
          <w:tcPr>
            <w:tcW w:w="100" w:type="dxa"/>
            <w:vAlign w:val="bottom"/>
          </w:tcPr>
          <w:p>
            <w:pPr>
              <w:spacing w:after="0"/>
              <w:rPr>
                <w:sz w:val="14"/>
                <w:szCs w:val="14"/>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13.29</w:t>
            </w:r>
          </w:p>
        </w:tc>
        <w:tc>
          <w:tcPr>
            <w:tcW w:w="5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15.48</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15.94</w:t>
            </w:r>
          </w:p>
        </w:tc>
        <w:tc>
          <w:tcPr>
            <w:tcW w:w="140" w:type="dxa"/>
            <w:vAlign w:val="bottom"/>
          </w:tcPr>
          <w:p>
            <w:pPr>
              <w:spacing w:after="0"/>
              <w:rPr>
                <w:sz w:val="14"/>
                <w:szCs w:val="14"/>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2"/>
                <w:szCs w:val="12"/>
                <w:color w:val="auto"/>
              </w:rPr>
              <w:t>Orders opened by direct title operations</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2,385,300</w:t>
            </w: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2,611,400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1,860,400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2,259,800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3,146,200</w:t>
            </w:r>
          </w:p>
        </w:tc>
        <w:tc>
          <w:tcPr>
            <w:tcW w:w="140" w:type="dxa"/>
            <w:vAlign w:val="bottom"/>
          </w:tcPr>
          <w:p>
            <w:pPr>
              <w:spacing w:after="0"/>
              <w:rPr>
                <w:sz w:val="14"/>
                <w:szCs w:val="14"/>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2"/>
                <w:szCs w:val="12"/>
                <w:color w:val="auto"/>
              </w:rPr>
              <w:t>Orders closed by direct title operations</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1,574,300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1,792,000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1,121,200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1,434,800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2,051,500</w:t>
            </w:r>
          </w:p>
        </w:tc>
        <w:tc>
          <w:tcPr>
            <w:tcW w:w="140" w:type="dxa"/>
            <w:vAlign w:val="bottom"/>
            <w:shd w:val="clear" w:color="auto" w:fill="CCEEFF"/>
          </w:tcPr>
          <w:p>
            <w:pPr>
              <w:spacing w:after="0"/>
              <w:rPr>
                <w:sz w:val="16"/>
                <w:szCs w:val="16"/>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2"/>
                <w:szCs w:val="12"/>
                <w:color w:val="auto"/>
              </w:rPr>
              <w:t>Provision for title insurance claim losses as a percent of title insurance premiums (10)</w:t>
            </w:r>
          </w:p>
        </w:tc>
        <w:tc>
          <w:tcPr>
            <w:tcW w:w="32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18.2</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w w:val="93"/>
              </w:rPr>
              <w:t>13.2%</w:t>
            </w:r>
          </w:p>
        </w:tc>
        <w:tc>
          <w:tcPr>
            <w:tcW w:w="88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2"/>
                <w:szCs w:val="12"/>
                <w:color w:val="auto"/>
              </w:rPr>
              <w:t>7.5%</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Title related revenue (10):</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0"/>
        </w:trPr>
        <w:tc>
          <w:tcPr>
            <w:tcW w:w="4700" w:type="dxa"/>
            <w:vAlign w:val="bottom"/>
          </w:tcPr>
          <w:p>
            <w:pPr>
              <w:ind w:left="20"/>
              <w:spacing w:after="0"/>
              <w:rPr>
                <w:sz w:val="20"/>
                <w:szCs w:val="20"/>
                <w:color w:val="auto"/>
              </w:rPr>
            </w:pPr>
            <w:r>
              <w:rPr>
                <w:rFonts w:ascii="Arial" w:cs="Arial" w:eastAsia="Arial" w:hAnsi="Arial"/>
                <w:sz w:val="12"/>
                <w:szCs w:val="12"/>
                <w:color w:val="auto"/>
              </w:rPr>
              <w:t>Percentage direct operations</w:t>
            </w:r>
          </w:p>
        </w:tc>
        <w:tc>
          <w:tcPr>
            <w:tcW w:w="3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55.0%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53.6%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58.7%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580"/>
              <w:spacing w:after="0"/>
              <w:rPr>
                <w:sz w:val="20"/>
                <w:szCs w:val="20"/>
                <w:color w:val="auto"/>
              </w:rPr>
            </w:pPr>
            <w:r>
              <w:rPr>
                <w:rFonts w:ascii="Arial" w:cs="Arial" w:eastAsia="Arial" w:hAnsi="Arial"/>
                <w:sz w:val="12"/>
                <w:szCs w:val="12"/>
                <w:color w:val="auto"/>
                <w:w w:val="93"/>
              </w:rPr>
              <w:t>53.7%</w:t>
            </w: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Percentage agency operations</w:t>
            </w:r>
          </w:p>
        </w:tc>
        <w:tc>
          <w:tcPr>
            <w:tcW w:w="3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w w:val="93"/>
              </w:rPr>
              <w:t>46.3%</w:t>
            </w:r>
          </w:p>
        </w:tc>
      </w:tr>
    </w:tbl>
    <w:p>
      <w:pPr>
        <w:spacing w:after="0" w:line="162" w:lineRule="exact"/>
        <w:rPr>
          <w:sz w:val="20"/>
          <w:szCs w:val="20"/>
          <w:color w:val="auto"/>
        </w:rPr>
      </w:pPr>
    </w:p>
    <w:p>
      <w:pPr>
        <w:ind w:left="428" w:hanging="428"/>
        <w:spacing w:after="0" w:line="323" w:lineRule="auto"/>
        <w:tabs>
          <w:tab w:leader="none" w:pos="428" w:val="left"/>
        </w:tabs>
        <w:numPr>
          <w:ilvl w:val="0"/>
          <w:numId w:val="20"/>
        </w:numPr>
        <w:rPr>
          <w:rFonts w:ascii="Arial" w:cs="Arial" w:eastAsia="Arial" w:hAnsi="Arial"/>
          <w:sz w:val="11"/>
          <w:szCs w:val="11"/>
          <w:color w:val="auto"/>
        </w:rPr>
      </w:pPr>
      <w:r>
        <w:rPr>
          <w:rFonts w:ascii="Arial" w:cs="Arial" w:eastAsia="Arial" w:hAnsi="Arial"/>
          <w:sz w:val="11"/>
          <w:szCs w:val="11"/>
          <w:color w:val="auto"/>
        </w:rPr>
        <w:t>Our financial results for the year ended December 31, 2009, include a decrease to our provision for claim losses of $74.4 million ($47.1 million net of income taxes) as a result of favorable claim loss development on prior policy years, offset by an increase to the provision for claim losses of $63.2 million ($40.0 million net of income taxes) as a result of unfavorable developments in the third quarter on a previously recorded insurance receivable.</w:t>
      </w:r>
    </w:p>
    <w:p>
      <w:pPr>
        <w:spacing w:after="0" w:line="118" w:lineRule="exact"/>
        <w:rPr>
          <w:rFonts w:ascii="Arial" w:cs="Arial" w:eastAsia="Arial" w:hAnsi="Arial"/>
          <w:sz w:val="11"/>
          <w:szCs w:val="11"/>
          <w:color w:val="auto"/>
        </w:rPr>
      </w:pPr>
    </w:p>
    <w:p>
      <w:pPr>
        <w:ind w:left="468" w:right="20" w:hanging="252"/>
        <w:spacing w:after="0" w:line="276" w:lineRule="auto"/>
        <w:tabs>
          <w:tab w:leader="none" w:pos="468" w:val="left"/>
        </w:tabs>
        <w:numPr>
          <w:ilvl w:val="1"/>
          <w:numId w:val="20"/>
        </w:numPr>
        <w:rPr>
          <w:rFonts w:ascii="Arial" w:cs="Arial" w:eastAsia="Arial" w:hAnsi="Arial"/>
          <w:sz w:val="12"/>
          <w:szCs w:val="12"/>
          <w:color w:val="auto"/>
        </w:rPr>
      </w:pPr>
      <w:r>
        <w:rPr>
          <w:rFonts w:ascii="Arial" w:cs="Arial" w:eastAsia="Arial" w:hAnsi="Arial"/>
          <w:sz w:val="12"/>
          <w:szCs w:val="12"/>
          <w:color w:val="auto"/>
        </w:rPr>
        <w:t>Our financial results for the year ended December 31, 2008, include a charge to our provision for claim losses of $261.6 million ($154.1 million net of income taxes) which we recorded as a result of adverse claim loss development on prior policy years.</w:t>
      </w:r>
    </w:p>
    <w:p>
      <w:pPr>
        <w:spacing w:after="0" w:line="141" w:lineRule="exact"/>
        <w:rPr>
          <w:rFonts w:ascii="Arial" w:cs="Arial" w:eastAsia="Arial" w:hAnsi="Arial"/>
          <w:sz w:val="12"/>
          <w:szCs w:val="12"/>
          <w:color w:val="auto"/>
        </w:rPr>
      </w:pPr>
    </w:p>
    <w:p>
      <w:pPr>
        <w:ind w:left="468" w:hanging="252"/>
        <w:spacing w:after="0" w:line="276" w:lineRule="auto"/>
        <w:tabs>
          <w:tab w:leader="none" w:pos="468" w:val="left"/>
        </w:tabs>
        <w:numPr>
          <w:ilvl w:val="1"/>
          <w:numId w:val="20"/>
        </w:numPr>
        <w:rPr>
          <w:rFonts w:ascii="Arial" w:cs="Arial" w:eastAsia="Arial" w:hAnsi="Arial"/>
          <w:sz w:val="12"/>
          <w:szCs w:val="12"/>
          <w:color w:val="auto"/>
        </w:rPr>
      </w:pPr>
      <w:r>
        <w:rPr>
          <w:rFonts w:ascii="Arial" w:cs="Arial" w:eastAsia="Arial" w:hAnsi="Arial"/>
          <w:sz w:val="12"/>
          <w:szCs w:val="12"/>
          <w:color w:val="auto"/>
        </w:rPr>
        <w:t>Our financial results for the year ended December 31, 2007, include charges to our provision for claim losses totaling $217.2 million ($159.5 million net of income taxes) which we recorded as a result of adverse claim loss development on prior policy years.</w:t>
      </w:r>
    </w:p>
    <w:p>
      <w:pPr>
        <w:spacing w:after="0" w:line="141" w:lineRule="exact"/>
        <w:rPr>
          <w:rFonts w:ascii="Arial" w:cs="Arial" w:eastAsia="Arial" w:hAnsi="Arial"/>
          <w:sz w:val="12"/>
          <w:szCs w:val="12"/>
          <w:color w:val="auto"/>
        </w:rPr>
      </w:pPr>
    </w:p>
    <w:p>
      <w:pPr>
        <w:ind w:left="208" w:firstLine="8"/>
        <w:spacing w:after="0" w:line="323" w:lineRule="auto"/>
        <w:tabs>
          <w:tab w:leader="none" w:pos="408" w:val="left"/>
        </w:tabs>
        <w:numPr>
          <w:ilvl w:val="1"/>
          <w:numId w:val="20"/>
        </w:numPr>
        <w:rPr>
          <w:rFonts w:ascii="Arial" w:cs="Arial" w:eastAsia="Arial" w:hAnsi="Arial"/>
          <w:sz w:val="11"/>
          <w:szCs w:val="11"/>
          <w:color w:val="auto"/>
        </w:rPr>
      </w:pPr>
      <w:r>
        <w:rPr>
          <w:rFonts w:ascii="Arial" w:cs="Arial" w:eastAsia="Arial" w:hAnsi="Arial"/>
          <w:sz w:val="11"/>
          <w:szCs w:val="11"/>
          <w:color w:val="auto"/>
        </w:rPr>
        <w:t>&amp;Beginning October 24, 2006, the date on which the 2006 Distribution was completed, our financial results no longer include the results of FIS. The operations of FIS continue to be included in our results for periods prior to nbsp; October 24, 2006. In addition, FIS’s financial results for 2006 include the results of operations of Certegy Inc. (“Certegy”) since February 1, 2006, the date on which Certegy was acquired by FIS.</w:t>
      </w:r>
    </w:p>
    <w:p>
      <w:pPr>
        <w:spacing w:after="0" w:line="118" w:lineRule="exact"/>
        <w:rPr>
          <w:rFonts w:ascii="Arial" w:cs="Arial" w:eastAsia="Arial" w:hAnsi="Arial"/>
          <w:sz w:val="11"/>
          <w:szCs w:val="11"/>
          <w:color w:val="auto"/>
        </w:rPr>
      </w:pPr>
    </w:p>
    <w:p>
      <w:pPr>
        <w:ind w:left="468" w:hanging="252"/>
        <w:spacing w:after="0"/>
        <w:tabs>
          <w:tab w:leader="none" w:pos="468" w:val="left"/>
        </w:tabs>
        <w:numPr>
          <w:ilvl w:val="1"/>
          <w:numId w:val="20"/>
        </w:numPr>
        <w:rPr>
          <w:rFonts w:ascii="Arial" w:cs="Arial" w:eastAsia="Arial" w:hAnsi="Arial"/>
          <w:sz w:val="12"/>
          <w:szCs w:val="12"/>
          <w:color w:val="auto"/>
        </w:rPr>
      </w:pPr>
      <w:r>
        <w:rPr>
          <w:rFonts w:ascii="Arial" w:cs="Arial" w:eastAsia="Arial" w:hAnsi="Arial"/>
          <w:sz w:val="12"/>
          <w:szCs w:val="12"/>
          <w:color w:val="auto"/>
        </w:rPr>
        <w:t>Weighted average shares outstanding as of December 31, 2009 includes 18,170,000 shares that were issued as part of an equity offering by the Company on April 20, 2009.</w:t>
      </w:r>
    </w:p>
    <w:p>
      <w:pPr>
        <w:spacing w:after="0" w:line="177" w:lineRule="exact"/>
        <w:rPr>
          <w:rFonts w:ascii="Arial" w:cs="Arial" w:eastAsia="Arial" w:hAnsi="Arial"/>
          <w:sz w:val="12"/>
          <w:szCs w:val="12"/>
          <w:color w:val="auto"/>
        </w:rPr>
      </w:pPr>
    </w:p>
    <w:p>
      <w:pPr>
        <w:jc w:val="both"/>
        <w:ind w:left="468" w:hanging="252"/>
        <w:spacing w:after="0" w:line="263" w:lineRule="auto"/>
        <w:tabs>
          <w:tab w:leader="none" w:pos="468" w:val="left"/>
        </w:tabs>
        <w:numPr>
          <w:ilvl w:val="1"/>
          <w:numId w:val="20"/>
        </w:numPr>
        <w:rPr>
          <w:rFonts w:ascii="Arial" w:cs="Arial" w:eastAsia="Arial" w:hAnsi="Arial"/>
          <w:sz w:val="12"/>
          <w:szCs w:val="12"/>
          <w:color w:val="auto"/>
        </w:rPr>
      </w:pPr>
      <w:r>
        <w:rPr>
          <w:rFonts w:ascii="Arial" w:cs="Arial" w:eastAsia="Arial" w:hAnsi="Arial"/>
          <w:sz w:val="12"/>
          <w:szCs w:val="12"/>
          <w:color w:val="auto"/>
        </w:rPr>
        <w:t>Investments as of December 31, 2010, 2009, 2008, 2007, and 2006, include securities pledged to secure trust deposits of $252.1 million, $288.7 million, $382.6 million, $513.8 million, and $696.8 million, respectively. Investments as of December 31, 2010, 2009, 2008, 2007, and 2006 include securities pledged relating to our securities lending program of $9.1 million, $25.6 million, $103.6 million, $264.2 million and $305.3 million, respectively.</w:t>
      </w:r>
    </w:p>
    <w:p>
      <w:pPr>
        <w:sectPr>
          <w:pgSz w:w="11900" w:h="16838" w:orient="portrait"/>
          <w:cols w:equalWidth="0" w:num="1">
            <w:col w:w="11488"/>
          </w:cols>
          <w:pgMar w:left="212" w:top="149" w:right="199" w:bottom="1440" w:gutter="0" w:footer="0" w:header="0"/>
        </w:sectPr>
      </w:pPr>
    </w:p>
    <w:p>
      <w:pPr>
        <w:spacing w:after="0" w:line="144"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8"/>
          </w:cols>
          <w:pgMar w:left="212" w:top="149" w:right="199" w:bottom="1440" w:gutter="0" w:footer="0" w:header="0"/>
          <w:type w:val="continuous"/>
        </w:sectPr>
      </w:pPr>
    </w:p>
    <w:bookmarkStart w:id="24" w:name="page25"/>
    <w:bookmarkEnd w:id="2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48" w:lineRule="exact"/>
        <w:rPr>
          <w:sz w:val="20"/>
          <w:szCs w:val="20"/>
          <w:color w:val="auto"/>
        </w:rPr>
      </w:pPr>
    </w:p>
    <w:p>
      <w:pPr>
        <w:jc w:val="both"/>
        <w:ind w:left="460" w:hanging="252"/>
        <w:spacing w:after="0" w:line="263"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Cash and cash equivalents as of December 31, 2010, 2009, 2008, 2007, and 2006 include cash pledged to secure trust deposits of $146.2 million, $96.8 million, $109.6 million, $193.5 million, and $228.5 million, respectively. Cash and cash equivalents as of December 31, 2010, 2009, 2008, 2007 and 2006 include cash pledged relating to our securities lending program of $9.4 million, $26.5 million, $107.6 million, $271.8 million, and $316.0 million, respectively.</w:t>
      </w:r>
    </w:p>
    <w:p>
      <w:pPr>
        <w:spacing w:after="0" w:line="144" w:lineRule="exact"/>
        <w:rPr>
          <w:rFonts w:ascii="Arial" w:cs="Arial" w:eastAsia="Arial" w:hAnsi="Arial"/>
          <w:sz w:val="12"/>
          <w:szCs w:val="12"/>
          <w:color w:val="auto"/>
        </w:rPr>
      </w:pPr>
    </w:p>
    <w:p>
      <w:pPr>
        <w:ind w:left="5100" w:hanging="123"/>
        <w:spacing w:after="0"/>
        <w:tabs>
          <w:tab w:leader="none" w:pos="5100" w:val="left"/>
        </w:tabs>
        <w:numPr>
          <w:ilvl w:val="1"/>
          <w:numId w:val="21"/>
        </w:numPr>
        <w:rPr>
          <w:rFonts w:ascii="Arial" w:cs="Arial" w:eastAsia="Arial" w:hAnsi="Arial"/>
          <w:sz w:val="14"/>
          <w:szCs w:val="14"/>
          <w:color w:val="auto"/>
        </w:rPr>
      </w:pPr>
      <w:r>
        <w:rPr>
          <w:rFonts w:ascii="Arial" w:cs="Arial" w:eastAsia="Arial" w:hAnsi="Arial"/>
          <w:sz w:val="14"/>
          <w:szCs w:val="14"/>
          <w:color w:val="auto"/>
        </w:rPr>
        <w:t>td style="width:48px;"&gt;</w:t>
      </w:r>
    </w:p>
    <w:p>
      <w:pPr>
        <w:spacing w:after="0" w:line="16" w:lineRule="exact"/>
        <w:rPr>
          <w:rFonts w:ascii="Arial" w:cs="Arial" w:eastAsia="Arial" w:hAnsi="Arial"/>
          <w:sz w:val="14"/>
          <w:szCs w:val="14"/>
          <w:color w:val="auto"/>
        </w:rPr>
      </w:pPr>
    </w:p>
    <w:p>
      <w:pPr>
        <w:jc w:val="both"/>
        <w:ind w:left="460" w:hanging="252"/>
        <w:spacing w:after="0" w:line="253"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As a result of favorable title insurance claim loss development on prior policy years, we recorded a credit in 2009 totaling $74.4 million, or $47.1 million net of income taxes, to our provision for claims losses. As a result of adverse title insurance claim loss development on prior policy years, we recorded charges in 2008 totaling $261.6 million, or $154.1 million net of income taxes, and in 2007 totaling $217.2 million, or $159.5 million net of income taxes, to our provision for claim losses. These credits/charges were recorded in addition to our average provision for claim losses of 7.3%, 8.5% and 7.5% for the years ended December 31, 2009, 2008, and 2007, respectively.</w:t>
      </w:r>
    </w:p>
    <w:p>
      <w:pPr>
        <w:spacing w:after="0" w:line="155" w:lineRule="exact"/>
        <w:rPr>
          <w:rFonts w:ascii="Arial" w:cs="Arial" w:eastAsia="Arial" w:hAnsi="Arial"/>
          <w:sz w:val="12"/>
          <w:szCs w:val="12"/>
          <w:color w:val="auto"/>
        </w:rPr>
      </w:pPr>
    </w:p>
    <w:p>
      <w:pPr>
        <w:ind w:left="460" w:hanging="252"/>
        <w:spacing w:after="0"/>
        <w:tabs>
          <w:tab w:leader="none" w:pos="4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Book value per share is calculated as equity at December 31 of each year presented divided by actual shares outstanding at December 31 of each year presented.</w:t>
      </w:r>
    </w:p>
    <w:p>
      <w:pPr>
        <w:spacing w:after="0" w:line="177" w:lineRule="exact"/>
        <w:rPr>
          <w:rFonts w:ascii="Arial" w:cs="Arial" w:eastAsia="Arial" w:hAnsi="Arial"/>
          <w:sz w:val="12"/>
          <w:szCs w:val="12"/>
          <w:color w:val="auto"/>
        </w:rPr>
      </w:pPr>
    </w:p>
    <w:p>
      <w:pPr>
        <w:ind w:left="540" w:hanging="332"/>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Includes title insurance premiums and escrow, title-related and other fees.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Selected Quarterly Financial Data (Unaudited)</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Selected quarterly financial data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1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Quarter Ended</w:t>
            </w:r>
          </w:p>
        </w:tc>
        <w:tc>
          <w:tcPr>
            <w:tcW w:w="1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r>
        <w:trPr>
          <w:trHeight w:val="169"/>
        </w:trPr>
        <w:tc>
          <w:tcPr>
            <w:tcW w:w="5160" w:type="dxa"/>
            <w:vAlign w:val="bottom"/>
          </w:tcPr>
          <w:p>
            <w:pPr>
              <w:spacing w:after="0"/>
              <w:rPr>
                <w:sz w:val="14"/>
                <w:szCs w:val="14"/>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0"/>
                <w:szCs w:val="10"/>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w w:val="94"/>
              </w:rPr>
              <w:t>September 30,(1)</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rPr>
              <w:t>December 31,</w:t>
            </w:r>
          </w:p>
        </w:tc>
      </w:tr>
      <w:tr>
        <w:trPr>
          <w:trHeight w:val="124"/>
        </w:trPr>
        <w:tc>
          <w:tcPr>
            <w:tcW w:w="5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0" w:type="dxa"/>
            <w:vAlign w:val="bottom"/>
            <w:gridSpan w:val="3"/>
          </w:tcPr>
          <w:p>
            <w:pPr>
              <w:jc w:val="right"/>
              <w:ind w:right="801"/>
              <w:spacing w:after="0"/>
              <w:rPr>
                <w:sz w:val="20"/>
                <w:szCs w:val="20"/>
                <w:color w:val="auto"/>
              </w:rPr>
            </w:pPr>
            <w:r>
              <w:rPr>
                <w:rFonts w:ascii="Arial" w:cs="Arial" w:eastAsia="Arial" w:hAnsi="Arial"/>
                <w:sz w:val="10"/>
                <w:szCs w:val="10"/>
                <w:b w:val="1"/>
                <w:bCs w:val="1"/>
                <w:color w:val="auto"/>
              </w:rPr>
              <w:t>(In millions, except per share data)</w:t>
            </w: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84"/>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2010</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5160" w:type="dxa"/>
            <w:vAlign w:val="bottom"/>
          </w:tcPr>
          <w:p>
            <w:pPr>
              <w:ind w:left="20"/>
              <w:spacing w:after="0"/>
              <w:rPr>
                <w:sz w:val="20"/>
                <w:szCs w:val="20"/>
                <w:color w:val="auto"/>
              </w:rPr>
            </w:pPr>
            <w:r>
              <w:rPr>
                <w:rFonts w:ascii="Arial" w:cs="Arial" w:eastAsia="Arial" w:hAnsi="Arial"/>
                <w:sz w:val="12"/>
                <w:szCs w:val="12"/>
                <w:color w:val="auto"/>
              </w:rPr>
              <w:t>Revenue</w:t>
            </w:r>
          </w:p>
        </w:tc>
        <w:tc>
          <w:tcPr>
            <w:tcW w:w="1000" w:type="dxa"/>
            <w:vAlign w:val="bottom"/>
          </w:tcPr>
          <w:p>
            <w:pPr>
              <w:ind w:left="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00"/>
              <w:spacing w:after="0"/>
              <w:rPr>
                <w:sz w:val="20"/>
                <w:szCs w:val="20"/>
                <w:color w:val="auto"/>
              </w:rPr>
            </w:pPr>
            <w:r>
              <w:rPr>
                <w:rFonts w:ascii="Arial" w:cs="Arial" w:eastAsia="Arial" w:hAnsi="Arial"/>
                <w:sz w:val="12"/>
                <w:szCs w:val="12"/>
                <w:color w:val="auto"/>
                <w:w w:val="89"/>
              </w:rPr>
              <w:t>1,213.4</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1,495.5</w:t>
            </w:r>
          </w:p>
        </w:tc>
        <w:tc>
          <w:tcPr>
            <w:tcW w:w="4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1,424.5</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1,606.9</w:t>
            </w:r>
          </w:p>
        </w:tc>
        <w:tc>
          <w:tcPr>
            <w:tcW w:w="120" w:type="dxa"/>
            <w:vAlign w:val="bottom"/>
          </w:tcPr>
          <w:p>
            <w:pPr>
              <w:spacing w:after="0"/>
              <w:rPr>
                <w:sz w:val="14"/>
                <w:szCs w:val="14"/>
                <w:color w:val="auto"/>
              </w:rPr>
            </w:pPr>
          </w:p>
        </w:tc>
      </w:tr>
      <w:tr>
        <w:trPr>
          <w:trHeight w:val="162"/>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Earnings from continuing operations before income taxes, equity in loss of unconsolidated affiliates, and</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1"/>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noncontrolling interest</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42.9</w:t>
            </w: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213.1</w:t>
            </w: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127.5</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178.9</w:t>
            </w:r>
          </w:p>
        </w:tc>
      </w:tr>
      <w:tr>
        <w:trPr>
          <w:trHeight w:val="171"/>
        </w:trPr>
        <w:tc>
          <w:tcPr>
            <w:tcW w:w="5160" w:type="dxa"/>
            <w:vAlign w:val="bottom"/>
          </w:tcPr>
          <w:p>
            <w:pPr>
              <w:ind w:left="20"/>
              <w:spacing w:after="0"/>
              <w:rPr>
                <w:sz w:val="20"/>
                <w:szCs w:val="20"/>
                <w:color w:val="auto"/>
              </w:rPr>
            </w:pPr>
            <w:r>
              <w:rPr>
                <w:rFonts w:ascii="Arial" w:cs="Arial" w:eastAsia="Arial" w:hAnsi="Arial"/>
                <w:sz w:val="12"/>
                <w:szCs w:val="12"/>
                <w:color w:val="auto"/>
              </w:rPr>
              <w:t>Net earnings attributabl e to Fidelity National Financial, Inc. common shareholders</w:t>
            </w:r>
          </w:p>
        </w:tc>
        <w:tc>
          <w:tcPr>
            <w:tcW w:w="1000" w:type="dxa"/>
            <w:vAlign w:val="bottom"/>
          </w:tcPr>
          <w:p>
            <w:pPr>
              <w:spacing w:after="0"/>
              <w:rPr>
                <w:sz w:val="14"/>
                <w:szCs w:val="14"/>
                <w:color w:val="auto"/>
              </w:rPr>
            </w:pPr>
          </w:p>
        </w:tc>
        <w:tc>
          <w:tcPr>
            <w:tcW w:w="540" w:type="dxa"/>
            <w:vAlign w:val="bottom"/>
          </w:tcPr>
          <w:p>
            <w:pPr>
              <w:jc w:val="right"/>
              <w:ind w:right="100"/>
              <w:spacing w:after="0"/>
              <w:rPr>
                <w:sz w:val="20"/>
                <w:szCs w:val="20"/>
                <w:color w:val="auto"/>
              </w:rPr>
            </w:pPr>
            <w:r>
              <w:rPr>
                <w:rFonts w:ascii="Arial" w:cs="Arial" w:eastAsia="Arial" w:hAnsi="Arial"/>
                <w:sz w:val="12"/>
                <w:szCs w:val="12"/>
                <w:color w:val="auto"/>
              </w:rPr>
              <w:t>16.5</w:t>
            </w:r>
          </w:p>
        </w:tc>
        <w:tc>
          <w:tcPr>
            <w:tcW w:w="400" w:type="dxa"/>
            <w:vAlign w:val="bottom"/>
          </w:tcPr>
          <w:p>
            <w:pPr>
              <w:spacing w:after="0"/>
              <w:rPr>
                <w:sz w:val="14"/>
                <w:szCs w:val="14"/>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139.6</w:t>
            </w:r>
          </w:p>
        </w:tc>
        <w:tc>
          <w:tcPr>
            <w:tcW w:w="4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83.2</w:t>
            </w:r>
          </w:p>
        </w:tc>
        <w:tc>
          <w:tcPr>
            <w:tcW w:w="3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130.8</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Basic earnings per share attributable to Fidelity National Financial, Inc. common shareholders</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0.07</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0.61</w:t>
            </w: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0.37</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0.58</w:t>
            </w:r>
          </w:p>
        </w:tc>
      </w:tr>
      <w:tr>
        <w:trPr>
          <w:trHeight w:val="171"/>
        </w:trPr>
        <w:tc>
          <w:tcPr>
            <w:tcW w:w="5160" w:type="dxa"/>
            <w:vAlign w:val="bottom"/>
          </w:tcPr>
          <w:p>
            <w:pPr>
              <w:ind w:left="20"/>
              <w:spacing w:after="0"/>
              <w:rPr>
                <w:sz w:val="20"/>
                <w:szCs w:val="20"/>
                <w:color w:val="auto"/>
              </w:rPr>
            </w:pPr>
            <w:r>
              <w:rPr>
                <w:rFonts w:ascii="Arial" w:cs="Arial" w:eastAsia="Arial" w:hAnsi="Arial"/>
                <w:sz w:val="12"/>
                <w:szCs w:val="12"/>
                <w:color w:val="auto"/>
              </w:rPr>
              <w:t>Diluted earning s per share attributable to Fidelity National Financial, Inc. common shareholders</w:t>
            </w:r>
          </w:p>
        </w:tc>
        <w:tc>
          <w:tcPr>
            <w:tcW w:w="1000" w:type="dxa"/>
            <w:vAlign w:val="bottom"/>
          </w:tcPr>
          <w:p>
            <w:pPr>
              <w:spacing w:after="0"/>
              <w:rPr>
                <w:sz w:val="14"/>
                <w:szCs w:val="14"/>
                <w:color w:val="auto"/>
              </w:rPr>
            </w:pPr>
          </w:p>
        </w:tc>
        <w:tc>
          <w:tcPr>
            <w:tcW w:w="540" w:type="dxa"/>
            <w:vAlign w:val="bottom"/>
          </w:tcPr>
          <w:p>
            <w:pPr>
              <w:jc w:val="right"/>
              <w:ind w:right="100"/>
              <w:spacing w:after="0"/>
              <w:rPr>
                <w:sz w:val="20"/>
                <w:szCs w:val="20"/>
                <w:color w:val="auto"/>
              </w:rPr>
            </w:pPr>
            <w:r>
              <w:rPr>
                <w:rFonts w:ascii="Arial" w:cs="Arial" w:eastAsia="Arial" w:hAnsi="Arial"/>
                <w:sz w:val="12"/>
                <w:szCs w:val="12"/>
                <w:color w:val="auto"/>
              </w:rPr>
              <w:t>0.07</w:t>
            </w:r>
          </w:p>
        </w:tc>
        <w:tc>
          <w:tcPr>
            <w:tcW w:w="400" w:type="dxa"/>
            <w:vAlign w:val="bottom"/>
          </w:tcPr>
          <w:p>
            <w:pPr>
              <w:spacing w:after="0"/>
              <w:rPr>
                <w:sz w:val="14"/>
                <w:szCs w:val="14"/>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0.61</w:t>
            </w:r>
          </w:p>
        </w:tc>
        <w:tc>
          <w:tcPr>
            <w:tcW w:w="4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0.36</w:t>
            </w:r>
          </w:p>
        </w:tc>
        <w:tc>
          <w:tcPr>
            <w:tcW w:w="3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0.58&lt; /div&gt;</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paid per share</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0.15</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0.18</w:t>
            </w: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0.18</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0.18</w:t>
            </w:r>
          </w:p>
        </w:tc>
      </w:tr>
      <w:tr>
        <w:trPr>
          <w:trHeight w:val="171"/>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2009</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1,346.5</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1,559.5</w:t>
            </w:r>
          </w:p>
        </w:tc>
        <w:tc>
          <w:tcPr>
            <w:tcW w:w="4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1,467.2</w:t>
            </w:r>
          </w:p>
        </w:tc>
        <w:tc>
          <w:tcPr>
            <w:tcW w:w="3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1,455.2</w:t>
            </w:r>
          </w:p>
        </w:tc>
        <w:tc>
          <w:tcPr>
            <w:tcW w:w="120" w:type="dxa"/>
            <w:vAlign w:val="bottom"/>
            <w:shd w:val="clear" w:color="auto" w:fill="CCEEFF"/>
          </w:tcPr>
          <w:p>
            <w:pPr>
              <w:spacing w:after="0"/>
              <w:rPr>
                <w:sz w:val="16"/>
                <w:szCs w:val="16"/>
                <w:color w:val="auto"/>
              </w:rPr>
            </w:pPr>
          </w:p>
        </w:tc>
      </w:tr>
      <w:tr>
        <w:trPr>
          <w:trHeight w:val="153"/>
        </w:trPr>
        <w:tc>
          <w:tcPr>
            <w:tcW w:w="5160" w:type="dxa"/>
            <w:vAlign w:val="bottom"/>
          </w:tcPr>
          <w:p>
            <w:pPr>
              <w:ind w:left="20"/>
              <w:spacing w:after="0"/>
              <w:rPr>
                <w:sz w:val="20"/>
                <w:szCs w:val="20"/>
                <w:color w:val="auto"/>
              </w:rPr>
            </w:pPr>
            <w:r>
              <w:rPr>
                <w:rFonts w:ascii="Arial" w:cs="Arial" w:eastAsia="Arial" w:hAnsi="Arial"/>
                <w:sz w:val="12"/>
                <w:szCs w:val="12"/>
                <w:color w:val="auto"/>
                <w:w w:val="91"/>
              </w:rPr>
              <w:t>Earnings (loss) from continuing operations before income taxes, equity in income (loss) of unconsolidated</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160" w:type="dxa"/>
            <w:vAlign w:val="bottom"/>
          </w:tcPr>
          <w:p>
            <w:pPr>
              <w:ind w:left="20"/>
              <w:spacing w:after="0"/>
              <w:rPr>
                <w:sz w:val="20"/>
                <w:szCs w:val="20"/>
                <w:color w:val="auto"/>
              </w:rPr>
            </w:pPr>
            <w:r>
              <w:rPr>
                <w:rFonts w:ascii="Arial" w:cs="Arial" w:eastAsia="Arial" w:hAnsi="Arial"/>
                <w:sz w:val="12"/>
                <w:szCs w:val="12"/>
                <w:color w:val="auto"/>
              </w:rPr>
              <w:t>affiliates, and noncontrolling interest</w:t>
            </w:r>
          </w:p>
        </w:tc>
        <w:tc>
          <w:tcPr>
            <w:tcW w:w="100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400" w:type="dxa"/>
            <w:vAlign w:val="bottom"/>
          </w:tcPr>
          <w:p>
            <w:pPr>
              <w:spacing w:after="0"/>
              <w:rPr>
                <w:sz w:val="14"/>
                <w:szCs w:val="14"/>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131.7</w:t>
            </w:r>
          </w:p>
        </w:tc>
        <w:tc>
          <w:tcPr>
            <w:tcW w:w="4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108.4</w:t>
            </w:r>
          </w:p>
        </w:tc>
        <w:tc>
          <w:tcPr>
            <w:tcW w:w="3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105.9</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earnings (loss) attributable to Fidelity National Financial, Inc. common shareholders</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92.0</w:t>
            </w: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73.4</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69.3</w:t>
            </w:r>
          </w:p>
        </w:tc>
      </w:tr>
      <w:tr>
        <w:trPr>
          <w:trHeight w:val="171"/>
        </w:trPr>
        <w:tc>
          <w:tcPr>
            <w:tcW w:w="5160" w:type="dxa"/>
            <w:vAlign w:val="bottom"/>
          </w:tcPr>
          <w:p>
            <w:pPr>
              <w:ind w:left="20"/>
              <w:spacing w:after="0"/>
              <w:rPr>
                <w:sz w:val="20"/>
                <w:szCs w:val="20"/>
                <w:color w:val="auto"/>
              </w:rPr>
            </w:pPr>
            <w:r>
              <w:rPr>
                <w:rFonts w:ascii="Arial" w:cs="Arial" w:eastAsia="Arial" w:hAnsi="Arial"/>
                <w:sz w:val="12"/>
                <w:szCs w:val="12"/>
                <w:color w:val="auto"/>
                <w:w w:val="96"/>
              </w:rPr>
              <w:t>Basic earnings (loss) per share attributable to Fidelity National Financial, Inc. common shareholders</w:t>
            </w:r>
          </w:p>
        </w:tc>
        <w:tc>
          <w:tcPr>
            <w:tcW w:w="1000" w:type="dxa"/>
            <w:vAlign w:val="bottom"/>
          </w:tcPr>
          <w:p>
            <w:pPr>
              <w:ind w:left="20"/>
              <w:spacing w:after="0"/>
              <w:rPr>
                <w:sz w:val="20"/>
                <w:szCs w:val="20"/>
                <w:color w:val="auto"/>
              </w:rPr>
            </w:pPr>
            <w:r>
              <w:rPr>
                <w:rFonts w:ascii="Arial" w:cs="Arial" w:eastAsia="Arial" w:hAnsi="Arial"/>
                <w:sz w:val="12"/>
                <w:szCs w:val="12"/>
                <w:color w:val="auto"/>
              </w:rPr>
              <w:t>(0.06</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0.40</w:t>
            </w:r>
          </w:p>
        </w:tc>
        <w:tc>
          <w:tcPr>
            <w:tcW w:w="4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0.32</w:t>
            </w:r>
          </w:p>
        </w:tc>
        <w:tc>
          <w:tcPr>
            <w:tcW w:w="3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0.30</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5"/>
              </w:rPr>
              <w:t>Diluted earnings (loss) per share attributable to Fidelity National Financial, Inc. common shareholders</w:t>
            </w: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(0.06)</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0.40</w:t>
            </w: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0.32</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0.30</w:t>
            </w:r>
          </w:p>
        </w:tc>
      </w:tr>
      <w:tr>
        <w:trPr>
          <w:trHeight w:val="162"/>
        </w:trPr>
        <w:tc>
          <w:tcPr>
            <w:tcW w:w="5160" w:type="dxa"/>
            <w:vAlign w:val="bottom"/>
          </w:tcPr>
          <w:p>
            <w:pPr>
              <w:ind w:left="20"/>
              <w:spacing w:after="0"/>
              <w:rPr>
                <w:sz w:val="20"/>
                <w:szCs w:val="20"/>
                <w:color w:val="auto"/>
              </w:rPr>
            </w:pPr>
            <w:r>
              <w:rPr>
                <w:rFonts w:ascii="Arial" w:cs="Arial" w:eastAsia="Arial" w:hAnsi="Arial"/>
                <w:sz w:val="12"/>
                <w:szCs w:val="12"/>
                <w:color w:val="auto"/>
              </w:rPr>
              <w:t>Dividends paid per share</w:t>
            </w:r>
          </w:p>
        </w:tc>
        <w:tc>
          <w:tcPr>
            <w:tcW w:w="1000" w:type="dxa"/>
            <w:vAlign w:val="bottom"/>
          </w:tcPr>
          <w:p>
            <w:pPr>
              <w:spacing w:after="0"/>
              <w:rPr>
                <w:sz w:val="14"/>
                <w:szCs w:val="14"/>
                <w:color w:val="auto"/>
              </w:rPr>
            </w:pPr>
          </w:p>
        </w:tc>
        <w:tc>
          <w:tcPr>
            <w:tcW w:w="540" w:type="dxa"/>
            <w:vAlign w:val="bottom"/>
          </w:tcPr>
          <w:p>
            <w:pPr>
              <w:jc w:val="right"/>
              <w:ind w:right="100"/>
              <w:spacing w:after="0"/>
              <w:rPr>
                <w:sz w:val="20"/>
                <w:szCs w:val="20"/>
                <w:color w:val="auto"/>
              </w:rPr>
            </w:pPr>
            <w:r>
              <w:rPr>
                <w:rFonts w:ascii="Arial" w:cs="Arial" w:eastAsia="Arial" w:hAnsi="Arial"/>
                <w:sz w:val="12"/>
                <w:szCs w:val="12"/>
                <w:color w:val="auto"/>
              </w:rPr>
              <w:t>0.15</w:t>
            </w:r>
          </w:p>
        </w:tc>
        <w:tc>
          <w:tcPr>
            <w:tcW w:w="400" w:type="dxa"/>
            <w:vAlign w:val="bottom"/>
          </w:tcPr>
          <w:p>
            <w:pPr>
              <w:spacing w:after="0"/>
              <w:rPr>
                <w:sz w:val="14"/>
                <w:szCs w:val="14"/>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0.15</w:t>
            </w:r>
          </w:p>
        </w:tc>
        <w:tc>
          <w:tcPr>
            <w:tcW w:w="440" w:type="dxa"/>
            <w:vAlign w:val="bottom"/>
          </w:tcPr>
          <w:p>
            <w:pPr>
              <w:spacing w:after="0"/>
              <w:rPr>
                <w:sz w:val="14"/>
                <w:szCs w:val="1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0.15</w:t>
            </w:r>
          </w:p>
        </w:tc>
        <w:tc>
          <w:tcPr>
            <w:tcW w:w="3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0.15</w:t>
            </w:r>
          </w:p>
        </w:tc>
      </w:tr>
    </w:tbl>
    <w:p>
      <w:pPr>
        <w:spacing w:after="0" w:line="81" w:lineRule="exact"/>
        <w:rPr>
          <w:sz w:val="20"/>
          <w:szCs w:val="20"/>
          <w:color w:val="auto"/>
        </w:rPr>
      </w:pPr>
    </w:p>
    <w:p>
      <w:pPr>
        <w:ind w:left="5680" w:right="2220" w:hanging="5472"/>
        <w:spacing w:after="0" w:line="527" w:lineRule="auto"/>
        <w:tabs>
          <w:tab w:leader="none" w:pos="475"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Includes a reduction of the loss provision of $74.4 million ($47.1 million net of income taxes) and a loss provision charge of $63.2 million ($40.0 million net of income taxes) in 2009. 24</w:t>
      </w:r>
    </w:p>
    <w:p>
      <w:pPr>
        <w:sectPr>
          <w:pgSz w:w="11900" w:h="16838" w:orient="portrait"/>
          <w:cols w:equalWidth="0" w:num="1">
            <w:col w:w="11480"/>
          </w:cols>
          <w:pgMar w:left="220" w:top="149" w:right="19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4"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i w:val="1"/>
          <w:iCs w:val="1"/>
          <w:color w:val="auto"/>
        </w:rPr>
        <w:t>Management's Discussion and Analysis of Financial Condition and Results of Operations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discussion should be read in conjunction with the Consolidated Financial Statements and the Notes thereto and Selected Financial Data included elsewhere in this Form 10-K.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are a holding company that through our subsidiaries provides title insurance, mortgage services, specialty insurance and information services. We are the nation's largest title insurance company through our title insurance underwriters — Fidelity National Title, Chicago Title, Commonwealth Land Title, and Alamo Title — which collectively issued more title insurance policies in 2009 than any other title company in the United States. We also provide flood insurance, personal lines insurance, and home warranty insurance through our specialty insurance subsidiaries. We own a minority interest in Ceridian Corporation ("Ceridian"), a leading provider of global human resourc es, payroll, benefits and payment solutions. We also own a minority interest in Remy International, Inc. (“Remy”), a leading global vehicular parts designer, manufacturer, remanufacturer, marketer and distributor of aftermarket and original equipment electrical components for automobiles, light trucks, heavy-duty trucks and other vehicles.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We currently have three reporting segments as follows:</w:t>
      </w:r>
    </w:p>
    <w:p>
      <w:pPr>
        <w:spacing w:after="0" w:line="114" w:lineRule="exact"/>
        <w:rPr>
          <w:sz w:val="20"/>
          <w:szCs w:val="20"/>
          <w:color w:val="auto"/>
        </w:rPr>
      </w:pPr>
    </w:p>
    <w:p>
      <w:pPr>
        <w:ind w:left="420" w:hanging="212"/>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Fidelity National Title Group. </w:t>
      </w:r>
      <w:r>
        <w:rPr>
          <w:rFonts w:ascii="Arial" w:cs="Arial" w:eastAsia="Arial" w:hAnsi="Arial"/>
          <w:sz w:val="12"/>
          <w:szCs w:val="12"/>
          <w:color w:val="auto"/>
        </w:rPr>
        <w:t>This segment consists of the operations of our title insurance underwriters and related businesses. This segment provides core title insurance and escrow and other title-related services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collection and trust activities, trustee’s sales guarantees, recordings and reconveyances.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Specialty Insurance. </w:t>
      </w:r>
      <w:r>
        <w:rPr>
          <w:rFonts w:ascii="Arial" w:cs="Arial" w:eastAsia="Arial" w:hAnsi="Arial"/>
          <w:sz w:val="12"/>
          <w:szCs w:val="12"/>
          <w:color w:val="auto"/>
        </w:rPr>
        <w:t>This segment consists of certain subsidiaries that issue flood, home warranty, homeowners’, automobile and other personal lines insurance policies.</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Corporate and Other. </w:t>
      </w:r>
      <w:r>
        <w:rPr>
          <w:rFonts w:ascii="Arial" w:cs="Arial" w:eastAsia="Arial" w:hAnsi="Arial"/>
          <w:sz w:val="12"/>
          <w:szCs w:val="12"/>
          <w:color w:val="auto"/>
        </w:rPr>
        <w:t>This segment consists of the operations of the parent holding company, certain other unallocated corporate overhead expenses, other smaller operations, and our s hare in the operations of certain investments</w:t>
      </w:r>
      <w:r>
        <w:rPr>
          <w:rFonts w:ascii="Arial" w:cs="Arial" w:eastAsia="Arial" w:hAnsi="Arial"/>
          <w:sz w:val="12"/>
          <w:szCs w:val="12"/>
          <w:i w:val="1"/>
          <w:iCs w:val="1"/>
          <w:color w:val="auto"/>
        </w:rPr>
        <w:t xml:space="preserve"> </w:t>
      </w:r>
      <w:r>
        <w:rPr>
          <w:rFonts w:ascii="Arial" w:cs="Arial" w:eastAsia="Arial" w:hAnsi="Arial"/>
          <w:sz w:val="12"/>
          <w:szCs w:val="12"/>
          <w:color w:val="auto"/>
        </w:rPr>
        <w:t>in minority-owned affiliates, including Ceridian and Remy.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2010, we completed a project to reduce the number of our title insurance underwriters in order to eliminate certain legal, operating and oversight costs associated with operating multiple separate and independent underwriters. Our remaining four principal title insurance underwriters are Fidelity National Title, Chicago Title, Commonwealth Land Title, and Alamo Title. Security Union Title and Ticor Title were merged into Chicago Title. Lawyers Title was merged into Fidelity National Title.</w:t>
      </w:r>
    </w:p>
    <w:p>
      <w:pPr>
        <w:spacing w:after="0" w:line="12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On May 28, 2010, we completed the sale of our 32% interest in Sedgwick, our minority-owned affiliate that provides claims management services to large corporate and public sector entities, to a group of private equity funds. We received approximately $225.6 million in proceeds, of which $32.0 million is held in an indemnity escrow, for our ownership interest, resulting in a pre-tax gain of approximately $98.4 million.</w:t>
      </w:r>
    </w:p>
    <w:p>
      <w:pPr>
        <w:spacing w:after="0" w:line="115"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On May 5, 2010, we completed an offering of $300.0 million in aggregate principal amount of our 6.60% notes due May 2017 (the "notes"), pursuant to an effective registration statement previously filed with the Securities and Exchange Commission. The notes were priced at 99.897% of par to yield 6.61% annual interest. As such we recorded a discount of $0.3 million, which is netted against the $300.0 million aggregate principal amount of notes. The discount is amortized to May 2017 when the notes mature. We received net proceeds of $297.3 million, after expenses, which were used to repay outstanding borrowings under our credit agreement. Interest is payable semi-annually.</w:t>
      </w:r>
    </w:p>
    <w:p>
      <w:pPr>
        <w:spacing w:after="0" w:line="105"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Effective March 5, 2010, we entered into an agreement to amend and extend our credit agreement dated September 12, 2006 (the “Credit Agreement”) with Bank of America, N.A. as administrative agent and swing line lender (the “Administrative Agent”), and the other financial institutions party thereto, and an agreement to change the aggregate size of the credit facility under the Credit Agreement. These agreements reduced the total size of the credit facility from $1.1 billion to $951.2 million, with an option to increase the size of the credit facility to $1.1 billion, and created a new tranche, representing $925.0 million of the total credit facility, with an extended maturity date of March 5, 2013. Pricing for the new tranche is based on an applicable margin between 110 basis points to 190 basis points over LIBOR, depending on the senior debt ratings of FNF, and is at 150 basis points over LIBOR as of December 31, 2010.</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 Party Transactions</w:t>
      </w:r>
    </w:p>
    <w:p>
      <w:pPr>
        <w:spacing w:after="0" w:line="82"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color w:val="auto"/>
        </w:rPr>
        <w:t>Our financial statements reflect transactions with Fidelity National Information Services ("FIS"), which is a related party, and with Lender Processing Services ("LPS") through March 15, 2009, which was a related party until th at date. See note A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131" w:right="199" w:bottom="1440" w:gutter="0" w:footer="0" w:header="0"/>
        </w:sectPr>
      </w:pPr>
    </w:p>
    <w:bookmarkStart w:id="26" w:name="page27"/>
    <w:bookmarkEnd w:id="26"/>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Notes to Consolidated Financial Statements.</w:t>
      </w:r>
    </w:p>
    <w:p>
      <w:pPr>
        <w:spacing w:after="0" w:line="146" w:lineRule="exact"/>
        <w:rPr>
          <w:sz w:val="20"/>
          <w:szCs w:val="20"/>
          <w:color w:val="auto"/>
        </w:rPr>
      </w:pPr>
    </w:p>
    <w:p>
      <w:pPr>
        <w:ind w:left="28"/>
        <w:spacing w:after="0"/>
        <w:rPr>
          <w:sz w:val="20"/>
          <w:szCs w:val="20"/>
          <w:color w:val="auto"/>
        </w:rPr>
      </w:pPr>
      <w:r>
        <w:rPr>
          <w:rFonts w:ascii="Arial" w:cs="Arial" w:eastAsia="Arial" w:hAnsi="Arial"/>
          <w:sz w:val="12"/>
          <w:szCs w:val="12"/>
          <w:b w:val="1"/>
          <w:bCs w:val="1"/>
          <w:color w:val="auto"/>
        </w:rPr>
        <w:t>Business Trends and Conditions</w:t>
      </w:r>
    </w:p>
    <w:p>
      <w:pPr>
        <w:spacing w:after="0" w:line="118" w:lineRule="exact"/>
        <w:rPr>
          <w:sz w:val="20"/>
          <w:szCs w:val="20"/>
          <w:color w:val="auto"/>
        </w:rPr>
      </w:pPr>
    </w:p>
    <w:p>
      <w:pPr>
        <w:ind w:left="28"/>
        <w:spacing w:after="0"/>
        <w:rPr>
          <w:sz w:val="20"/>
          <w:szCs w:val="20"/>
          <w:color w:val="auto"/>
        </w:rPr>
      </w:pPr>
      <w:r>
        <w:rPr>
          <w:rFonts w:ascii="Arial" w:cs="Arial" w:eastAsia="Arial" w:hAnsi="Arial"/>
          <w:sz w:val="12"/>
          <w:szCs w:val="12"/>
          <w:b w:val="1"/>
          <w:bCs w:val="1"/>
          <w:i w:val="1"/>
          <w:iCs w:val="1"/>
          <w:color w:val="auto"/>
        </w:rPr>
        <w:t>Fidelity National Title Group</w:t>
      </w:r>
    </w:p>
    <w:p>
      <w:pPr>
        <w:spacing w:after="0" w:line="114" w:lineRule="exact"/>
        <w:rPr>
          <w:sz w:val="20"/>
          <w:szCs w:val="20"/>
          <w:color w:val="auto"/>
        </w:rPr>
      </w:pPr>
    </w:p>
    <w:p>
      <w:pPr>
        <w:jc w:val="both"/>
        <w:ind w:left="8" w:right="20" w:firstLine="216"/>
        <w:spacing w:after="0" w:line="290" w:lineRule="auto"/>
        <w:rPr>
          <w:sz w:val="20"/>
          <w:szCs w:val="20"/>
          <w:color w:val="auto"/>
        </w:rPr>
      </w:pPr>
      <w:r>
        <w:rPr>
          <w:rFonts w:ascii="Arial" w:cs="Arial" w:eastAsia="Arial" w:hAnsi="Arial"/>
          <w:sz w:val="11"/>
          <w:szCs w:val="11"/>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experienced declines in many parts of the country over the past several years, and these trends appear likely to continue. Declines in the level of real estate activity or the average price of real estate sales are likely to adversely affect our title insurance revenues. The volume of refinancing transactions in particular and mortgage originations in general declined over the past five years from 2005 and prior levels, resulting in reduction of revenues in some of our businesses.</w:t>
      </w:r>
    </w:p>
    <w:p>
      <w:pPr>
        <w:spacing w:after="0" w:line="73" w:lineRule="exact"/>
        <w:rPr>
          <w:sz w:val="20"/>
          <w:szCs w:val="20"/>
          <w:color w:val="auto"/>
        </w:rPr>
      </w:pPr>
    </w:p>
    <w:p>
      <w:pPr>
        <w:ind w:left="208"/>
        <w:spacing w:after="0"/>
        <w:rPr>
          <w:sz w:val="20"/>
          <w:szCs w:val="20"/>
          <w:color w:val="auto"/>
        </w:rPr>
      </w:pPr>
      <w:r>
        <w:rPr>
          <w:rFonts w:ascii="Arial" w:cs="Arial" w:eastAsia="Arial" w:hAnsi="Arial"/>
          <w:sz w:val="12"/>
          <w:szCs w:val="12"/>
          <w:color w:val="auto"/>
        </w:rPr>
        <w:t>We have found that residential real estate activity generally decreases in the following situations:</w:t>
      </w:r>
    </w:p>
    <w:p>
      <w:pPr>
        <w:spacing w:after="0" w:line="114" w:lineRule="exact"/>
        <w:rPr>
          <w:sz w:val="20"/>
          <w:szCs w:val="20"/>
          <w:color w:val="auto"/>
        </w:rPr>
      </w:pPr>
    </w:p>
    <w:p>
      <w:pPr>
        <w:ind w:left="428" w:hanging="212"/>
        <w:spacing w:after="0"/>
        <w:tabs>
          <w:tab w:leader="none" w:pos="428" w:val="left"/>
        </w:tabs>
        <w:numPr>
          <w:ilvl w:val="1"/>
          <w:numId w:val="24"/>
        </w:numPr>
        <w:rPr>
          <w:rFonts w:ascii="Arial" w:cs="Arial" w:eastAsia="Arial" w:hAnsi="Arial"/>
          <w:sz w:val="12"/>
          <w:szCs w:val="12"/>
          <w:color w:val="auto"/>
        </w:rPr>
      </w:pPr>
      <w:r>
        <w:rPr>
          <w:rFonts w:ascii="Arial" w:cs="Arial" w:eastAsia="Arial" w:hAnsi="Arial"/>
          <w:sz w:val="12"/>
          <w:szCs w:val="12"/>
          <w:color w:val="auto"/>
        </w:rPr>
        <w:t>when mortgage interest rates are high or increasing;</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1"/>
          <w:numId w:val="24"/>
        </w:numPr>
        <w:rPr>
          <w:rFonts w:ascii="Arial" w:cs="Arial" w:eastAsia="Arial" w:hAnsi="Arial"/>
          <w:sz w:val="12"/>
          <w:szCs w:val="12"/>
          <w:color w:val="auto"/>
        </w:rPr>
      </w:pPr>
      <w:r>
        <w:rPr>
          <w:rFonts w:ascii="Arial" w:cs="Arial" w:eastAsia="Arial" w:hAnsi="Arial"/>
          <w:sz w:val="12"/>
          <w:szCs w:val="12"/>
          <w:color w:val="auto"/>
        </w:rPr>
        <w:t>when the mortgage funding supply is limited; and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when the United States economy is weak, including high unemployment levels.</w:t>
      </w:r>
    </w:p>
    <w:p>
      <w:pPr>
        <w:spacing w:after="0" w:line="114" w:lineRule="exact"/>
        <w:rPr>
          <w:sz w:val="20"/>
          <w:szCs w:val="20"/>
          <w:color w:val="auto"/>
        </w:rPr>
      </w:pPr>
    </w:p>
    <w:p>
      <w:pPr>
        <w:jc w:val="both"/>
        <w:ind w:left="8" w:firstLine="216"/>
        <w:spacing w:after="0" w:line="280" w:lineRule="auto"/>
        <w:rPr>
          <w:sz w:val="20"/>
          <w:szCs w:val="20"/>
          <w:color w:val="auto"/>
        </w:rPr>
      </w:pPr>
      <w:r>
        <w:rPr>
          <w:rFonts w:ascii="Arial" w:cs="Arial" w:eastAsia="Arial" w:hAnsi="Arial"/>
          <w:sz w:val="11"/>
          <w:szCs w:val="11"/>
          <w:color w:val="auto"/>
        </w:rPr>
        <w:t>Because these factors can change dramatically, revenue levels in the title insurance industry can also change dramatically. For example, from January 2001 through June 2004, the Federal Reserve decreased interest rates by a total of 550 basis points, bringing interest rates down to a low level and increasing the volume of residential real estate purchases and refinance activity. From June 2004 through September 2007, the Federal Reserve incre ased interest rates by a total of 425 basis points. In 2007, as interest rates on adjustable rate mortgages reset to higher rates, foreclosures on subprime mortgage loans increased to record levels. This resulted in a significant decrease in levels of available mortgage funding as investors became wary of the risk associated with investing in subprime mortgage loans. In addition, tighter lending standards and a bearish outlook on the real estate environment caused potential home buyers to become reluctant to purchase homes. In 2008, the increase in foreclosure activity, which had previously been limited to the subprime mortgage market, became more widespread as borrowers encountered difficulties in attempting to refinance their adjustable rate mortgages. In the last three years, the high mortgage delinquency and default rates caused negative operating results at a number of banks and financial institutions and, as a result, significantly reduced the level of lending activity. Multiple banks have failed over the past three years and others may fail in the future, further reducing the capacity of the mortgage industry to make loans. As a result of these factors, our title insurance order counts and revenues have decreased substantially over the past four years, as compared to levels prior to 2007.</w:t>
      </w:r>
    </w:p>
    <w:p>
      <w:pPr>
        <w:spacing w:after="0" w:line="44" w:lineRule="exact"/>
        <w:rPr>
          <w:sz w:val="20"/>
          <w:szCs w:val="20"/>
          <w:color w:val="auto"/>
        </w:rPr>
      </w:pPr>
    </w:p>
    <w:p>
      <w:pPr>
        <w:jc w:val="both"/>
        <w:ind w:left="8" w:firstLine="257"/>
        <w:spacing w:after="0" w:line="259" w:lineRule="auto"/>
        <w:rPr>
          <w:sz w:val="20"/>
          <w:szCs w:val="20"/>
          <w:color w:val="auto"/>
        </w:rPr>
      </w:pPr>
      <w:r>
        <w:rPr>
          <w:rFonts w:ascii="Arial" w:cs="Arial" w:eastAsia="Arial" w:hAnsi="Arial"/>
          <w:sz w:val="12"/>
          <w:szCs w:val="12"/>
          <w:color w:val="auto"/>
        </w:rPr>
        <w:t>Since December of 2008, the Federal Reserve has held interest rates at 0.0%-0.25%, and has indicated that rates will stay at this level for the foreseeable future. This action by the Federal Reserve, along with other government programs designed to increase liquidity in the mortgage markets, resulted in a significant increase in our refinance order volumes in December 2008 and continued to positively affect our revenues through the first nine months of 2009. In the fourth quarter of 2009 and through 2010, we again experienced a decline in order vo lumes. Mortgage interest rates remained at historically low levels throughout the first nine months of 2010 and have begun to increase in the fourth quarter of 2010 and the first quarter of 2011.</w:t>
      </w:r>
    </w:p>
    <w:p>
      <w:pPr>
        <w:spacing w:after="0" w:line="53" w:lineRule="exact"/>
        <w:rPr>
          <w:sz w:val="20"/>
          <w:szCs w:val="20"/>
          <w:color w:val="auto"/>
        </w:rPr>
      </w:pPr>
    </w:p>
    <w:p>
      <w:pPr>
        <w:jc w:val="both"/>
        <w:ind w:left="8" w:right="20" w:firstLine="216"/>
        <w:spacing w:after="0" w:line="263" w:lineRule="auto"/>
        <w:rPr>
          <w:sz w:val="20"/>
          <w:szCs w:val="20"/>
          <w:color w:val="auto"/>
        </w:rPr>
      </w:pPr>
      <w:r>
        <w:rPr>
          <w:rFonts w:ascii="Arial" w:cs="Arial" w:eastAsia="Arial" w:hAnsi="Arial"/>
          <w:sz w:val="12"/>
          <w:szCs w:val="12"/>
          <w:color w:val="auto"/>
        </w:rPr>
        <w:t>According to the MBA, U.S. mortgage originations (including refinancings) were approximately $1.5 trillion, $2.0 trillion and $1.5 trillion in 2010, 2009 and 2008, respectively. The MBA’s Mortgage Finance Forecast currently estimates an approximately $1.0 tri llion mortgage origination market for 2011, which would be a decrease of 33.3% from 2010. The MBA forecasts that the 33.3% decrease will result almost entirely from decreased refinance activity with a slight offset by increased purchase activity.</w:t>
      </w:r>
    </w:p>
    <w:p>
      <w:pPr>
        <w:spacing w:after="0" w:line="51" w:lineRule="exact"/>
        <w:rPr>
          <w:sz w:val="20"/>
          <w:szCs w:val="20"/>
          <w:color w:val="auto"/>
        </w:rPr>
      </w:pPr>
    </w:p>
    <w:p>
      <w:pPr>
        <w:jc w:val="both"/>
        <w:ind w:left="8" w:firstLine="246"/>
        <w:spacing w:after="0" w:line="283" w:lineRule="auto"/>
        <w:rPr>
          <w:sz w:val="20"/>
          <w:szCs w:val="20"/>
          <w:color w:val="auto"/>
        </w:rPr>
      </w:pPr>
      <w:r>
        <w:rPr>
          <w:rFonts w:ascii="Arial" w:cs="Arial" w:eastAsia="Arial" w:hAnsi="Arial"/>
          <w:sz w:val="11"/>
          <w:szCs w:val="11"/>
          <w:color w:val="auto"/>
        </w:rPr>
        <w:t>Several pieces of legislation were enacted to address the struggling mortgage market and the current economic and financial environment. One of these programs, the American Recovery and Reinvestment Act of 2009 (“ARRA”), passed on February 17, 2009, is a $787 billion stimulus package, that provided an array of types of relief for homebuyers, such as an $8,000 tax credit that became available to first-time homebuyers for the purchase of a principal residence on or after January 1, 2009 and before December 1, 2009. On November 6, 2009, the President signed into law an extension of the first-time homebuyer credit to persons who signed a purchase contract by Ap ril 30, 2010 and closed the purchase by June 30, 2010. This extension also expanded the program to provide a $6,500 credit for buyers who have owned and lived in their current home for at least five of the past eight years. On June 30, 2010, the deadline to close the purchase was extended to September 30, 2010. The first-time homebuyers tax credit program expired at the end of the third quarter. We believe these measures had a positive impact on our order volumes in 2009 and through the first half of 2010; however, the end of the programs may adversely affect our future results of operations.</w:t>
      </w:r>
    </w:p>
    <w:p>
      <w:pPr>
        <w:spacing w:after="0" w:line="42" w:lineRule="exact"/>
        <w:rPr>
          <w:sz w:val="20"/>
          <w:szCs w:val="20"/>
          <w:color w:val="auto"/>
        </w:rPr>
      </w:pPr>
    </w:p>
    <w:p>
      <w:pPr>
        <w:ind w:left="168"/>
        <w:spacing w:after="0"/>
        <w:rPr>
          <w:sz w:val="20"/>
          <w:szCs w:val="20"/>
          <w:color w:val="auto"/>
        </w:rPr>
      </w:pPr>
      <w:r>
        <w:rPr>
          <w:rFonts w:ascii="Arial" w:cs="Arial" w:eastAsia="Arial" w:hAnsi="Arial"/>
          <w:sz w:val="12"/>
          <w:szCs w:val="12"/>
          <w:color w:val="auto"/>
        </w:rPr>
        <w:t>Our revenues in future periods will continue to be subject to these and other factors which are beyond our control and, as a result , are likely to fluctuate.</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8"/>
          </w:cols>
          <w:pgMar w:left="212" w:top="131" w:right="199" w:bottom="1440" w:gutter="0" w:footer="0" w:header="0"/>
        </w:sectPr>
      </w:pPr>
    </w:p>
    <w:bookmarkStart w:id="27" w:name="page28"/>
    <w:bookmarkEnd w:id="2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22"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On July 21, 2010, the Dodd-Frank Wall Street Reform and Consumer Protection Act was enacted and signed into law. The new legislation was designed to improve supervision and regulation of financial firms and financial markets, protect consumers and investors from financial abuse, provide the government with tools to manage a financial crisis and improve international regulato ry standards and international cooperation. A new federal bureau was created and charged with writing and enforcing regulations to achieve these goals. Also part of the act was the creation of the Federal Insurance Office which will be responsible for monitoring aspects of the U.S. insurance industry, historically primarily the responsibility of various states’ departments of insurance. Regulations implementing the act have not yet impacted our business, but are continuing to be developed. As a result, we are uncertain to what degree this legislation may affect our business in the future.</w:t>
      </w:r>
    </w:p>
    <w:p>
      <w:pPr>
        <w:spacing w:after="0" w:line="5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A number of lenders imposed freezes on foreclosures in some or all states as they reviewed their foreclosure practices. We do not believe, however, that these foreclosure moratoria have had or will have a material adverse impact on our business. Further, we do not believe that we are exposed to significant losses resulting from faulty foreclosure practices, to the extent that they exist. Our title insurance underwriters issue title policies on real estate owned properties to new purchasers and lenders to those purchasers. We believe that these policies will not result in additional claims exposure to us because the new owners and their lenders would have the rights of good faith purchasers which should not be affected by potential defects in documentation. Additionally, even if a court sets aside a foreclosure due to a defect in documentation, the foreclosing lender would be required to return to our insureds all funds obtained from them, resulting in no loss under the title insurance policy. Further, we believe that under current law and the rights we have under our policies, we would have the right to seek recovery from the foreclosing lender in the event of a failure to comply with state laws or local practices in connection with a foreclosure.</w:t>
      </w:r>
    </w:p>
    <w:p>
      <w:pPr>
        <w:spacing w:after="0" w:line="5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Because commercial real estate transactions tend to be driven more by supply and demand for commercial space and occupancy rates in a particular area rather than by macroeconomic events, our commercial real estate title insurance business can generate revenues which are not dependent on the industry cycles discussed above. However, from 2007 to 2009 we experienced a significant decrease in our average commercial fee per file, which we believe was due, in part, to a decrease in the number of closings of larger deals due to difficulties or delays in obtaining financing. During 2010, we again saw an increase in fee per file on commercial transactions, which may indicate an improvement in availability of financing in the commercial markets.</w:t>
      </w:r>
    </w:p>
    <w:p>
      <w:pPr>
        <w:spacing w:after="0" w:line="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In the past four years, we have seen a divergence from these historical trends with orders being negatively affected by a reduction in the availability of financing, rising default levels, and falling home values causing an overall downward trend in home sales. In addition we have noted short term fluctuations through recent years in resale and refinance transactio ns as a result of changes in interest rates and the implementation and subsequent expiration of government programs designed to stimulate the real estate market.</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Specialty Insurance</w:t>
      </w:r>
    </w:p>
    <w:p>
      <w:pPr>
        <w:spacing w:after="0" w:line="7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specialty insurance business participates in the U.S. National Flood Insurance Program (“NFIP”), which was recently extended to September 30, 2011. We earn fees under that program for settling flood claims and administering the program. We serve as administrator and processor in our flood insurance business, and bear none of the underwriting or claims risk. The U.S. federal government is guarant or of flood insurance coverage written under the NFIP and bears the underwriting risk. Revenues from our flood insurance business are impacted by the volume and magnitude of claims processed as well as the volume and rates for policies written. For example, when a large number of claims are processed as a result of a natural disaster, such as a hurricane, we experience an increase in the fees that we receive for settling the claims.</w:t>
      </w:r>
    </w:p>
    <w:p>
      <w:pPr>
        <w:spacing w:after="0" w:line="5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Revenues from our personal lines insurance and home warranty businesses are impacted by the level of residential real estate purchase activity in the U.S. and the general state of the economy as well as our market share. In recent years, our homeowners’ insurance business has tightened underwriting standards and eliminated unprofitable agents and territories, a strategy which we believe will benefit us in the long term.</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Critical Accounting Estimates</w:t>
      </w:r>
    </w:p>
    <w:p>
      <w:pPr>
        <w:spacing w:after="0" w:line="82"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 atements for a more detailed description of the significant accounting policies that have been followed in preparing our Consolidated Financial Statements.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131" w:right="1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22"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i w:val="1"/>
          <w:iCs w:val="1"/>
          <w:color w:val="auto"/>
        </w:rPr>
        <w:t>Reserve for Claim Losses.</w:t>
      </w:r>
      <w:r>
        <w:rPr>
          <w:rFonts w:ascii="Arial" w:cs="Arial" w:eastAsia="Arial" w:hAnsi="Arial"/>
          <w:sz w:val="11"/>
          <w:szCs w:val="11"/>
          <w:color w:val="auto"/>
        </w:rPr>
        <w:t>&amp; nbsp; Title companies issue two types of policies, owner's and lender's policies, since both the new owner and the lender in real estate transactions want to know that their interest in the property is insured</w:t>
      </w:r>
      <w:r>
        <w:rPr>
          <w:rFonts w:ascii="Arial" w:cs="Arial" w:eastAsia="Arial" w:hAnsi="Arial"/>
          <w:sz w:val="11"/>
          <w:szCs w:val="11"/>
          <w:i w:val="1"/>
          <w:iCs w:val="1"/>
          <w:color w:val="auto"/>
        </w:rPr>
        <w:t xml:space="preserve"> </w:t>
      </w:r>
      <w:r>
        <w:rPr>
          <w:rFonts w:ascii="Arial" w:cs="Arial" w:eastAsia="Arial" w:hAnsi="Arial"/>
          <w:sz w:val="11"/>
          <w:szCs w:val="11"/>
          <w:color w:val="auto"/>
        </w:rPr>
        <w:t>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from time to time, we do incur losses in excess of policy limits. While most non-title forms of insurance, including property and casualty, provide for the assumption of risk of loss arising out of unforeseen future events, title insurance serves to protect the policyholder from risk of loss from events that predate the issuance of the policy.</w:t>
      </w:r>
    </w:p>
    <w:p>
      <w:pPr>
        <w:spacing w:after="0" w:line="111"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9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reserve for claim losses includes reserves for known claims (“PLR”)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table below summarizes our reserves for known claims and incurred but not reported claims related to title insurance.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540" w:type="dxa"/>
            <w:vAlign w:val="bottom"/>
          </w:tcPr>
          <w:p>
            <w:pPr>
              <w:spacing w:after="0"/>
              <w:rPr>
                <w:sz w:val="10"/>
                <w:szCs w:val="10"/>
                <w:color w:val="auto"/>
              </w:rPr>
            </w:pPr>
          </w:p>
        </w:tc>
        <w:tc>
          <w:tcPr>
            <w:tcW w:w="540" w:type="dxa"/>
            <w:vAlign w:val="bottom"/>
            <w:gridSpan w:val="2"/>
          </w:tcPr>
          <w:p>
            <w:pPr>
              <w:ind w:left="240"/>
              <w:spacing w:after="0"/>
              <w:rPr>
                <w:sz w:val="20"/>
                <w:szCs w:val="20"/>
                <w:color w:val="auto"/>
              </w:rPr>
            </w:pPr>
            <w:r>
              <w:rPr>
                <w:rFonts w:ascii="Arial" w:cs="Arial" w:eastAsia="Arial" w:hAnsi="Arial"/>
                <w:sz w:val="10"/>
                <w:szCs w:val="10"/>
                <w:b w:val="1"/>
                <w:bCs w:val="1"/>
                <w:color w:val="auto"/>
              </w:rPr>
              <w:t>As of</w:t>
            </w: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0"/>
                <w:szCs w:val="10"/>
                <w:color w:val="auto"/>
                <w:w w:val="87"/>
              </w:rPr>
              <w:t>As of</w:t>
            </w: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84"/>
        </w:trPr>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December 31, 2010</w:t>
            </w: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6"/>
              </w:rPr>
              <w:t>December 31, 2009</w:t>
            </w: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tcPr>
          <w:p>
            <w:pPr>
              <w:spacing w:after="0"/>
              <w:rPr>
                <w:sz w:val="16"/>
                <w:szCs w:val="16"/>
                <w:color w:val="auto"/>
              </w:rPr>
            </w:pPr>
          </w:p>
        </w:tc>
      </w:tr>
      <w:tr>
        <w:trPr>
          <w:trHeight w:val="120"/>
        </w:trPr>
        <w:tc>
          <w:tcPr>
            <w:tcW w:w="4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9"/>
              </w:rPr>
              <w:t>(In millions)</w:t>
            </w: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79"/>
        </w:trPr>
        <w:tc>
          <w:tcPr>
            <w:tcW w:w="4540" w:type="dxa"/>
            <w:vAlign w:val="bottom"/>
          </w:tcPr>
          <w:p>
            <w:pPr>
              <w:ind w:left="220"/>
              <w:spacing w:after="0"/>
              <w:rPr>
                <w:sz w:val="20"/>
                <w:szCs w:val="20"/>
                <w:color w:val="auto"/>
              </w:rPr>
            </w:pPr>
            <w:r>
              <w:rPr>
                <w:rFonts w:ascii="Arial" w:cs="Arial" w:eastAsia="Arial" w:hAnsi="Arial"/>
                <w:sz w:val="12"/>
                <w:szCs w:val="12"/>
                <w:color w:val="auto"/>
              </w:rPr>
              <w:t>PLR</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344.8</w:t>
            </w:r>
          </w:p>
        </w:tc>
        <w:tc>
          <w:tcPr>
            <w:tcW w:w="280" w:type="dxa"/>
            <w:vAlign w:val="bottom"/>
          </w:tcPr>
          <w:p>
            <w:pPr>
              <w:spacing w:after="0"/>
              <w:rPr>
                <w:sz w:val="15"/>
                <w:szCs w:val="15"/>
                <w:color w:val="auto"/>
              </w:rPr>
            </w:pPr>
          </w:p>
        </w:tc>
        <w:tc>
          <w:tcPr>
            <w:tcW w:w="1040" w:type="dxa"/>
            <w:vAlign w:val="bottom"/>
          </w:tcPr>
          <w:p>
            <w:pPr>
              <w:jc w:val="right"/>
              <w:ind w:right="543"/>
              <w:spacing w:after="0"/>
              <w:rPr>
                <w:sz w:val="20"/>
                <w:szCs w:val="20"/>
                <w:color w:val="auto"/>
              </w:rPr>
            </w:pPr>
            <w:r>
              <w:rPr>
                <w:rFonts w:ascii="Arial" w:cs="Arial" w:eastAsia="Arial" w:hAnsi="Arial"/>
                <w:sz w:val="12"/>
                <w:szCs w:val="12"/>
                <w:color w:val="auto"/>
              </w:rPr>
              <w:t>15.6</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5"/>
              <w:spacing w:after="0"/>
              <w:rPr>
                <w:sz w:val="20"/>
                <w:szCs w:val="20"/>
                <w:color w:val="auto"/>
              </w:rPr>
            </w:pPr>
            <w:r>
              <w:rPr>
                <w:rFonts w:ascii="Arial" w:cs="Arial" w:eastAsia="Arial" w:hAnsi="Arial"/>
                <w:sz w:val="12"/>
                <w:szCs w:val="12"/>
                <w:color w:val="auto"/>
              </w:rPr>
              <w:t>358.5</w:t>
            </w:r>
          </w:p>
        </w:tc>
        <w:tc>
          <w:tcPr>
            <w:tcW w:w="280" w:type="dxa"/>
            <w:vAlign w:val="bottom"/>
          </w:tcPr>
          <w:p>
            <w:pPr>
              <w:spacing w:after="0"/>
              <w:rPr>
                <w:sz w:val="15"/>
                <w:szCs w:val="15"/>
                <w:color w:val="auto"/>
              </w:rPr>
            </w:pPr>
          </w:p>
        </w:tc>
        <w:tc>
          <w:tcPr>
            <w:tcW w:w="1040" w:type="dxa"/>
            <w:vAlign w:val="bottom"/>
          </w:tcPr>
          <w:p>
            <w:pPr>
              <w:jc w:val="right"/>
              <w:ind w:right="43"/>
              <w:spacing w:after="0"/>
              <w:rPr>
                <w:sz w:val="20"/>
                <w:szCs w:val="20"/>
                <w:color w:val="auto"/>
              </w:rPr>
            </w:pPr>
            <w:r>
              <w:rPr>
                <w:rFonts w:ascii="Arial" w:cs="Arial" w:eastAsia="Arial" w:hAnsi="Arial"/>
                <w:sz w:val="12"/>
                <w:szCs w:val="12"/>
                <w:color w:val="auto"/>
              </w:rPr>
              <w:t>14.4</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IBNR</w:t>
            </w:r>
          </w:p>
        </w:tc>
        <w:tc>
          <w:tcPr>
            <w:tcW w:w="3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1,866.1</w:t>
            </w:r>
          </w:p>
        </w:tc>
        <w:tc>
          <w:tcPr>
            <w:tcW w:w="2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84.4</w:t>
            </w:r>
          </w:p>
        </w:tc>
        <w:tc>
          <w:tcPr>
            <w:tcW w:w="22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2"/>
                <w:szCs w:val="12"/>
                <w:color w:val="auto"/>
              </w:rPr>
              <w:t>2,130.3</w:t>
            </w:r>
          </w:p>
        </w:tc>
        <w:tc>
          <w:tcPr>
            <w:tcW w:w="2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85.6</w:t>
            </w:r>
          </w:p>
        </w:tc>
        <w:tc>
          <w:tcPr>
            <w:tcW w:w="240" w:type="dxa"/>
            <w:vAlign w:val="bottom"/>
            <w:tcBorders>
              <w:bottom w:val="single" w:sz="8" w:color="auto"/>
            </w:tcBorders>
            <w:shd w:val="clear" w:color="auto" w:fill="CCEEFF"/>
          </w:tcPr>
          <w:p>
            <w:pPr>
              <w:spacing w:after="0"/>
              <w:rPr>
                <w:sz w:val="16"/>
                <w:szCs w:val="16"/>
                <w:color w:val="auto"/>
              </w:rPr>
            </w:pPr>
          </w:p>
        </w:tc>
      </w:tr>
      <w:tr>
        <w:trPr>
          <w:trHeight w:val="165"/>
        </w:trPr>
        <w:tc>
          <w:tcPr>
            <w:tcW w:w="4540" w:type="dxa"/>
            <w:vAlign w:val="bottom"/>
          </w:tcPr>
          <w:p>
            <w:pPr>
              <w:ind w:left="220"/>
              <w:spacing w:after="0"/>
              <w:rPr>
                <w:sz w:val="20"/>
                <w:szCs w:val="20"/>
                <w:color w:val="auto"/>
              </w:rPr>
            </w:pPr>
            <w:r>
              <w:rPr>
                <w:rFonts w:ascii="Arial" w:cs="Arial" w:eastAsia="Arial" w:hAnsi="Arial"/>
                <w:sz w:val="12"/>
                <w:szCs w:val="12"/>
                <w:color w:val="auto"/>
              </w:rPr>
              <w:t>Total Reserve</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2,210.9</w:t>
            </w:r>
          </w:p>
        </w:tc>
        <w:tc>
          <w:tcPr>
            <w:tcW w:w="280" w:type="dxa"/>
            <w:vAlign w:val="bottom"/>
          </w:tcPr>
          <w:p>
            <w:pPr>
              <w:spacing w:after="0"/>
              <w:rPr>
                <w:sz w:val="14"/>
                <w:szCs w:val="14"/>
                <w:color w:val="auto"/>
              </w:rPr>
            </w:pPr>
          </w:p>
        </w:tc>
        <w:tc>
          <w:tcPr>
            <w:tcW w:w="1040" w:type="dxa"/>
            <w:vAlign w:val="bottom"/>
          </w:tcPr>
          <w:p>
            <w:pPr>
              <w:jc w:val="right"/>
              <w:ind w:right="63"/>
              <w:spacing w:after="0"/>
              <w:rPr>
                <w:sz w:val="20"/>
                <w:szCs w:val="20"/>
                <w:color w:val="auto"/>
              </w:rPr>
            </w:pPr>
            <w:r>
              <w:rPr>
                <w:rFonts w:ascii="Arial" w:cs="Arial" w:eastAsia="Arial" w:hAnsi="Arial"/>
                <w:sz w:val="12"/>
                <w:szCs w:val="12"/>
                <w:color w:val="auto"/>
              </w:rPr>
              <w:t>100.0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5"/>
              <w:spacing w:after="0"/>
              <w:rPr>
                <w:sz w:val="20"/>
                <w:szCs w:val="20"/>
                <w:color w:val="auto"/>
              </w:rPr>
            </w:pPr>
            <w:r>
              <w:rPr>
                <w:rFonts w:ascii="Arial" w:cs="Arial" w:eastAsia="Arial" w:hAnsi="Arial"/>
                <w:sz w:val="12"/>
                <w:szCs w:val="12"/>
                <w:color w:val="auto"/>
              </w:rPr>
              <w:t>2,488.8</w:t>
            </w:r>
          </w:p>
        </w:tc>
        <w:tc>
          <w:tcPr>
            <w:tcW w:w="28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2"/>
                <w:szCs w:val="12"/>
                <w:color w:val="auto"/>
              </w:rPr>
              <w:t>100.0</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32"/>
        </w:trPr>
        <w:tc>
          <w:tcPr>
            <w:tcW w:w="4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r>
    </w:tbl>
    <w:p>
      <w:pPr>
        <w:spacing w:after="0" w:line="13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Although most claims against title insurance policies are reported relatively soon after the policy has been issued, claims may be reported many years later. Historically, approximately 60% of cla ims are paid within 5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33"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Our process for recording our reserves for claim losses begins with analysis of our loss provision rate. We forecast ultimate losses for each policy year based upon examination of historical policy year loss emergence (development) and adjustment of the emergence patterns to reflect policy year differences in the effects of various influences on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premiums. This loss provision rate is set to provide for losses on current year policies, but due to development of prior years and our long claim duration, it periodically includes minor amounts of estimated adverse or positive development on prior years' policies. Any significant adjustments made to the loss reserves relating to the comparison to our act uarial analysis are made in addition to this loss provision rate. We have been recording our periodic loss provision rate at 6.8%, 7.3% and 8.5% of title premiums in 2010, 2009 and 2008, respectively, with 6.0%, 7.3% and 8.5% relating to the respective year. In 2010, adverse development of $30.4 million or 0.8% of 2010 premiums was accounted for in the loss provision rate. 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range of reasonable estimates provided by the actuarial calculation. This process resulted in us recording additional adjustments to our stated loss provision in 2009 and 2008, as noted below.</w:t>
      </w:r>
    </w:p>
    <w:p>
      <w:pPr>
        <w:spacing w:after="0" w:line="11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Due to the uncertainty inherent in the process and to the judgment used by both management and our actuary, our ultimate liability may be greater or less than our carried reserves. If the recorded amount is within the actuarial range but not at the central</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131" w:right="199" w:bottom="1440" w:gutter="0" w:footer="0" w:header="0"/>
        </w:sectPr>
      </w:pPr>
    </w:p>
    <w:bookmarkStart w:id="29" w:name="page30"/>
    <w:bookmarkEnd w:id="29"/>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estimate, we assess the position within the actuarial range by analysis of other factors in order to determine that the recorded amount is our best estimate. These factors, which are more qualitative than quantitative, can change from period to period, and include items such as current trends in the real estate industry (which we can assess, but for which there is a time lag in the development of the data used by our actuary), any adjustments from the actuarial estimates needed for the effects of unusually large or small claims, improvements in our claims management processes, and other cost saving measures. If the recorded amount is not within a reasonable range of our actuary's central estimate, we would record a charge or credit and reassess the loss provision rate on a go forward basis. We will continue to reassess the provision to be recorded in future periods consistent with this methodology.</w:t>
      </w:r>
    </w:p>
    <w:p>
      <w:pPr>
        <w:spacing w:after="0" w:line="10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As of December 31, 2010, the recorded reserve for title insurance claims losses was $2.21 billion. Excluding the fair value adjustment relating to the acquisition of the LFG Underwriters in 2008, the recorded reserves were $2.17 billion which was approximately $208.0 million below the central estimate provided by our internal actuary, but within the provided actuarial range of $2.15 billion to $2.6 billion. We also retained a third party actuarial firm with experience in the title industry to perform an independent analysis of our reserve for title claim losses. The report provided by this third party actuary had a central estimate of approximately $2.16 billion (with a range from $1.94 billion to $2.37 billion) or $15.0 million below our rec orded reserves. Our recorded reserves for title claim losses fell within the actuarial range of both of these analyses. We believe that our recorded reserves are reasonable and represent our best estimate. In reaching this conclusion, we considered the following qualitative factors.</w:t>
      </w:r>
    </w:p>
    <w:p>
      <w:pPr>
        <w:spacing w:after="0" w:line="12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development in 2010 that resulted in our recorded reserves being at the low end of the range of our actuarial estimate was primarily caused by the actual claims paid in 2010 being greater than expected claims paid in our actuarial model. These payments primarily related to the high volume policy years in the mid-2000s, particularly the 2005-2007 policy years. We believe that this development related to both the fact that these policy years have high er loss ratios and that the reporting of these claims has been accelerated. In addition, due to the volatility of claims payment experience, we have seen expansion of the actuarial range of estimated losses from the central estimate. The reasons for the higher loss payments and payment acceleration are as follows:</w:t>
      </w:r>
    </w:p>
    <w:p>
      <w:pPr>
        <w:spacing w:after="0" w:line="125" w:lineRule="exact"/>
        <w:rPr>
          <w:sz w:val="20"/>
          <w:szCs w:val="20"/>
          <w:color w:val="auto"/>
        </w:rPr>
      </w:pPr>
    </w:p>
    <w:p>
      <w:pPr>
        <w:ind w:left="800" w:hanging="376"/>
        <w:spacing w:after="0"/>
        <w:tabs>
          <w:tab w:leader="none" w:pos="8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Historical high prices for real estate (thus higher policy limits as compared to pre miums earned)</w:t>
      </w:r>
    </w:p>
    <w:p>
      <w:pPr>
        <w:spacing w:after="0" w:line="14" w:lineRule="exact"/>
        <w:rPr>
          <w:rFonts w:ascii="Arial" w:cs="Arial" w:eastAsia="Arial" w:hAnsi="Arial"/>
          <w:sz w:val="12"/>
          <w:szCs w:val="12"/>
          <w:color w:val="auto"/>
        </w:rPr>
      </w:pPr>
    </w:p>
    <w:p>
      <w:pPr>
        <w:ind w:left="800" w:hanging="376"/>
        <w:spacing w:after="0"/>
        <w:tabs>
          <w:tab w:leader="none" w:pos="8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Increased volume of real estate transactions increased likelihood of errors in the closing process</w:t>
      </w:r>
    </w:p>
    <w:p>
      <w:pPr>
        <w:spacing w:after="0" w:line="6" w:lineRule="exact"/>
        <w:rPr>
          <w:rFonts w:ascii="Arial" w:cs="Arial" w:eastAsia="Arial" w:hAnsi="Arial"/>
          <w:sz w:val="12"/>
          <w:szCs w:val="12"/>
          <w:color w:val="auto"/>
        </w:rPr>
      </w:pPr>
    </w:p>
    <w:p>
      <w:pPr>
        <w:ind w:left="800" w:hanging="376"/>
        <w:spacing w:after="0"/>
        <w:tabs>
          <w:tab w:leader="none" w:pos="8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Increased values and volumes increased likelihood of fraudulent transactions</w:t>
      </w:r>
    </w:p>
    <w:p>
      <w:pPr>
        <w:spacing w:after="0" w:line="6" w:lineRule="exact"/>
        <w:rPr>
          <w:rFonts w:ascii="Arial" w:cs="Arial" w:eastAsia="Arial" w:hAnsi="Arial"/>
          <w:sz w:val="12"/>
          <w:szCs w:val="12"/>
          <w:color w:val="auto"/>
        </w:rPr>
      </w:pPr>
    </w:p>
    <w:p>
      <w:pPr>
        <w:ind w:left="800" w:hanging="376"/>
        <w:spacing w:after="0"/>
        <w:tabs>
          <w:tab w:leader="none" w:pos="8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Subsequent declining home equity values resulted in lender losses that would not have been losses had home equity been maintained</w:t>
      </w:r>
    </w:p>
    <w:p>
      <w:pPr>
        <w:spacing w:after="0" w:line="6" w:lineRule="exact"/>
        <w:rPr>
          <w:rFonts w:ascii="Arial" w:cs="Arial" w:eastAsia="Arial" w:hAnsi="Arial"/>
          <w:sz w:val="12"/>
          <w:szCs w:val="12"/>
          <w:color w:val="auto"/>
        </w:rPr>
      </w:pPr>
    </w:p>
    <w:p>
      <w:pPr>
        <w:ind w:left="640" w:hanging="432"/>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Increased foreclosures in 2009 and 2010 resulting in higher litigation costs and acceleration in reporting of claims</w:t>
      </w:r>
    </w:p>
    <w:p>
      <w:pPr>
        <w:spacing w:after="0" w:line="6" w:lineRule="exact"/>
        <w:rPr>
          <w:rFonts w:ascii="Arial" w:cs="Arial" w:eastAsia="Arial" w:hAnsi="Arial"/>
          <w:sz w:val="12"/>
          <w:szCs w:val="12"/>
          <w:color w:val="auto"/>
        </w:rPr>
      </w:pPr>
    </w:p>
    <w:p>
      <w:pPr>
        <w:ind w:left="800" w:hanging="376"/>
        <w:spacing w:after="0"/>
        <w:tabs>
          <w:tab w:leader="none" w:pos="8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Increased exposure to mechanic lien claims from failures of builders and developers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 addition, during the beginning of 2009 we were integrating the claims processing function of the LFG Underwriters which involved closing and consolidation of claims centers and subsequent integration into our existing operations.</w:t>
      </w:r>
    </w:p>
    <w:p>
      <w:pPr>
        <w:spacing w:after="0" w:line="162"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Some traditional actuarial methods, such as paid loss development, are particularly sensitive to distortions in payment activity. We believe that the recent high level of foreclosure activity in 2009 and 2010 noted ab ove is accelerating the reporting of claims, particularly lender claims, thereby increasing paid losses and expenses in 2010. As a result, a paid loss development approach may temporarily overstate ultimate cost projections. We believe that losses and expenses related to this accelerated claims activity, specifically losses relating to lender policies, will have a shorter duration and that expected payments relating to these policy years will eventually return to or perhaps even drop below historical levels. We have also seen positive development relating to the 2009 and 2010 policy years, which we believe is indicative of more stringent underwriting standards by us and the lending industry.</w:t>
      </w:r>
    </w:p>
    <w:p>
      <w:pPr>
        <w:spacing w:after="0" w:line="10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2009, we released $74.4 million of our loss reserves in addition to recording our loss provision rate of 7.3%. The release of excess reserves was due to consideration of positive development in our actuary's analysis of our reserve position in light of lower claim payments in 2009. As of December 31, 2009, our recorded reserve of $2.5 billion was $46.0 million below our actuary's central estimate, which we determined was reasonable and represented our best estimate.</w:t>
      </w:r>
    </w:p>
    <w:p>
      <w:pPr>
        <w:spacing w:after="0" w:line="123"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During 2008, we recorded a charge of $261.6 million in addition to our loss provision rate of 8.5%. The significant development that resulted in the recording of a charge was due to changes in our actuarial model resulting, in part, from adverse claim loss development on prior policy years . Because of continued adverse reported and paid claim trends over the previous six quarters, our actuarial model in the third quarter of 2008 was modified to more heavily weight the 2005 - 2007 years' data on loss experience and to incorporate that data into the assumptions and factors that determine ultimate expected loss experience for all prior calendar years. As of December 31, 2008, our recorded reserve of $2.7 billion (including the LFG Underwriters reserves discussed below) was $16.1 million higher than our actuary's central estimate, which we determined was reasonable and represented our best estimate.</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131" w:right="199" w:bottom="1440" w:gutter="0" w:footer="0" w:header="0"/>
        </w:sectPr>
      </w:pPr>
    </w:p>
    <w:bookmarkStart w:id="30" w:name="page31"/>
    <w:bookmarkEnd w:id="30"/>
    <w:p>
      <w:pPr>
        <w:ind w:left="20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p>
      <w:pPr>
        <w:jc w:val="both"/>
        <w:ind w:left="8" w:firstLine="216"/>
        <w:spacing w:after="0" w:line="257" w:lineRule="auto"/>
        <w:rPr>
          <w:sz w:val="20"/>
          <w:szCs w:val="20"/>
          <w:color w:val="auto"/>
        </w:rPr>
      </w:pPr>
      <w:r>
        <w:rPr>
          <w:rFonts w:ascii="Arial" w:cs="Arial" w:eastAsia="Arial" w:hAnsi="Arial"/>
          <w:sz w:val="12"/>
          <w:szCs w:val="12"/>
          <w:color w:val="auto"/>
        </w:rPr>
        <w:t>In connection with the acquisition of the LFG Underwriters on December 22, 2008, we recorded a reserve for claim losses of $1.1 billion. The acquired reserves were calculated by performing an actuarial analysis which utilized a process similar to FNF’s process described above and then applying an adjustment to the actuarial balance to record the acquired reserves at their estimated fair value as of December 31, 2008. The fair value adjustments were calculated by taking the estimated payment stream of the actu arial reserves and discounting them utilizing the U.S. Treasury Yield Curve. We then applied a discounted risk and profit load to the discounted reserves to estimate the fair value of the claim loss reserves at December 31, 2008. During 2009 we completed our evaluation of the fair value of this claims reserve as of the acquisition date and reduced the balance by $3.1 million to reflect our best estimate of the fair value of the liability.</w:t>
      </w:r>
    </w:p>
    <w:p>
      <w:pPr>
        <w:spacing w:after="0" w:line="9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table below presents our title insurance loss development experience for the past three years.</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2,679.0</w:t>
      </w:r>
    </w:p>
    <w:p>
      <w:pPr>
        <w:spacing w:after="0" w:line="64"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5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2010</w:t>
            </w: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2009</w:t>
            </w: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115"/>
        </w:trPr>
        <w:tc>
          <w:tcPr>
            <w:tcW w:w="6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jc w:val="right"/>
              <w:ind w:right="123"/>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0"/>
        </w:trPr>
        <w:tc>
          <w:tcPr>
            <w:tcW w:w="6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Beginning balance</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2,488.8</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2,679.0</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1,354.1</w:t>
            </w:r>
          </w:p>
        </w:tc>
        <w:tc>
          <w:tcPr>
            <w:tcW w:w="180" w:type="dxa"/>
            <w:vAlign w:val="bottom"/>
            <w:shd w:val="clear" w:color="auto" w:fill="CCEEFF"/>
          </w:tcPr>
          <w:p>
            <w:pPr>
              <w:spacing w:after="0"/>
              <w:rPr>
                <w:sz w:val="15"/>
                <w:szCs w:val="15"/>
                <w:color w:val="auto"/>
              </w:rPr>
            </w:pPr>
          </w:p>
        </w:tc>
      </w:tr>
      <w:tr>
        <w:trPr>
          <w:trHeight w:val="171"/>
        </w:trPr>
        <w:tc>
          <w:tcPr>
            <w:tcW w:w="6580" w:type="dxa"/>
            <w:vAlign w:val="bottom"/>
          </w:tcPr>
          <w:p>
            <w:pPr>
              <w:ind w:left="220"/>
              <w:spacing w:after="0"/>
              <w:rPr>
                <w:sz w:val="20"/>
                <w:szCs w:val="20"/>
                <w:color w:val="auto"/>
              </w:rPr>
            </w:pPr>
            <w:r>
              <w:rPr>
                <w:rFonts w:ascii="Arial" w:cs="Arial" w:eastAsia="Arial" w:hAnsi="Arial"/>
                <w:sz w:val="12"/>
                <w:szCs w:val="12"/>
                <w:color w:val="auto"/>
              </w:rPr>
              <w:t>Reserve assumed/transferred (a)</w:t>
            </w:r>
          </w:p>
        </w:tc>
        <w:tc>
          <w:tcPr>
            <w:tcW w:w="40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(3.1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1,115.8</w:t>
            </w:r>
          </w:p>
        </w:tc>
        <w:tc>
          <w:tcPr>
            <w:tcW w:w="180" w:type="dxa"/>
            <w:vAlign w:val="bottom"/>
          </w:tcPr>
          <w:p>
            <w:pPr>
              <w:spacing w:after="0"/>
              <w:rPr>
                <w:sz w:val="14"/>
                <w:szCs w:val="14"/>
                <w:color w:val="auto"/>
              </w:rPr>
            </w:pPr>
          </w:p>
        </w:tc>
      </w:tr>
      <w:tr>
        <w:trPr>
          <w:trHeight w:val="189"/>
        </w:trPr>
        <w:tc>
          <w:tcPr>
            <w:tcW w:w="6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Claims loss provision related to:</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71"/>
        </w:trPr>
        <w:tc>
          <w:tcPr>
            <w:tcW w:w="6580" w:type="dxa"/>
            <w:vAlign w:val="bottom"/>
          </w:tcPr>
          <w:p>
            <w:pPr>
              <w:ind w:left="380"/>
              <w:spacing w:after="0"/>
              <w:rPr>
                <w:sz w:val="20"/>
                <w:szCs w:val="20"/>
                <w:color w:val="auto"/>
              </w:rPr>
            </w:pPr>
            <w:r>
              <w:rPr>
                <w:rFonts w:ascii="Arial" w:cs="Arial" w:eastAsia="Arial" w:hAnsi="Arial"/>
                <w:sz w:val="12"/>
                <w:szCs w:val="12"/>
                <w:color w:val="auto"/>
              </w:rPr>
              <w:t>Current year</w:t>
            </w:r>
          </w:p>
        </w:tc>
        <w:tc>
          <w:tcPr>
            <w:tcW w:w="40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218.5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286.7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229.1</w:t>
            </w:r>
          </w:p>
        </w:tc>
        <w:tc>
          <w:tcPr>
            <w:tcW w:w="180" w:type="dxa"/>
            <w:vAlign w:val="bottom"/>
          </w:tcPr>
          <w:p>
            <w:pPr>
              <w:spacing w:after="0"/>
              <w:rPr>
                <w:sz w:val="14"/>
                <w:szCs w:val="14"/>
                <w:color w:val="auto"/>
              </w:rPr>
            </w:pPr>
          </w:p>
        </w:tc>
      </w:tr>
      <w:tr>
        <w:trPr>
          <w:trHeight w:val="180"/>
        </w:trPr>
        <w:tc>
          <w:tcPr>
            <w:tcW w:w="65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Prior years</w:t>
            </w:r>
          </w:p>
        </w:tc>
        <w:tc>
          <w:tcPr>
            <w:tcW w:w="4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30.4</w:t>
            </w:r>
          </w:p>
        </w:tc>
        <w:tc>
          <w:tcPr>
            <w:tcW w:w="16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261.9</w:t>
            </w: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r>
      <w:tr>
        <w:trPr>
          <w:trHeight w:val="169"/>
        </w:trPr>
        <w:tc>
          <w:tcPr>
            <w:tcW w:w="65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claims loss provision</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248.9</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201.5</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491.0</w:t>
            </w:r>
          </w:p>
        </w:tc>
        <w:tc>
          <w:tcPr>
            <w:tcW w:w="180" w:type="dxa"/>
            <w:vAlign w:val="bottom"/>
            <w:tcBorders>
              <w:bottom w:val="single" w:sz="8" w:color="auto"/>
            </w:tcBorders>
          </w:tcPr>
          <w:p>
            <w:pPr>
              <w:spacing w:after="0"/>
              <w:rPr>
                <w:sz w:val="14"/>
                <w:szCs w:val="14"/>
                <w:color w:val="auto"/>
              </w:rPr>
            </w:pPr>
          </w:p>
        </w:tc>
      </w:tr>
      <w:tr>
        <w:trPr>
          <w:trHeight w:val="178"/>
        </w:trPr>
        <w:tc>
          <w:tcPr>
            <w:tcW w:w="6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Claims paid, net of recoupments related to:</w:t>
            </w: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1"/>
        </w:trPr>
        <w:tc>
          <w:tcPr>
            <w:tcW w:w="6580" w:type="dxa"/>
            <w:vAlign w:val="bottom"/>
          </w:tcPr>
          <w:p>
            <w:pPr>
              <w:ind w:left="380"/>
              <w:spacing w:after="0"/>
              <w:rPr>
                <w:sz w:val="20"/>
                <w:szCs w:val="20"/>
                <w:color w:val="auto"/>
              </w:rPr>
            </w:pPr>
            <w:r>
              <w:rPr>
                <w:rFonts w:ascii="Arial" w:cs="Arial" w:eastAsia="Arial" w:hAnsi="Arial"/>
                <w:sz w:val="12"/>
                <w:szCs w:val="12"/>
                <w:color w:val="auto"/>
              </w:rPr>
              <w:t>Current year</w:t>
            </w:r>
          </w:p>
        </w:tc>
        <w:tc>
          <w:tcPr>
            <w:tcW w:w="40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(5.7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(9.7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(12.9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65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Prior years</w:t>
            </w:r>
          </w:p>
        </w:tc>
        <w:tc>
          <w:tcPr>
            <w:tcW w:w="4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(521.1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(378.9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8"/>
        </w:trPr>
        <w:tc>
          <w:tcPr>
            <w:tcW w:w="65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claims paid, net of recoupments</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(526.8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(388.6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(281.9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Ending balance</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2,210.9</w:t>
            </w:r>
          </w:p>
        </w:tc>
        <w:tc>
          <w:tcPr>
            <w:tcW w:w="1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2,488.8</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2"/>
                <w:szCs w:val="12"/>
                <w:color w:val="auto"/>
              </w:rPr>
              <w:t>Title premiums</w:t>
            </w: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62"/>
              <w:spacing w:after="0"/>
              <w:rPr>
                <w:sz w:val="20"/>
                <w:szCs w:val="20"/>
                <w:color w:val="auto"/>
              </w:rPr>
            </w:pPr>
            <w:r>
              <w:rPr>
                <w:rFonts w:ascii="Arial" w:cs="Arial" w:eastAsia="Arial" w:hAnsi="Arial"/>
                <w:sz w:val="12"/>
                <w:szCs w:val="12"/>
                <w:color w:val="auto"/>
              </w:rPr>
              <w:t>3,641.2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3"/>
              <w:spacing w:after="0"/>
              <w:rPr>
                <w:sz w:val="20"/>
                <w:szCs w:val="20"/>
                <w:color w:val="auto"/>
              </w:rPr>
            </w:pPr>
            <w:r>
              <w:rPr>
                <w:rFonts w:ascii="Arial" w:cs="Arial" w:eastAsia="Arial" w:hAnsi="Arial"/>
                <w:sz w:val="12"/>
                <w:szCs w:val="12"/>
                <w:color w:val="auto"/>
              </w:rPr>
              <w:t>3,927.6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2,695.0</w:t>
            </w:r>
          </w:p>
        </w:tc>
        <w:tc>
          <w:tcPr>
            <w:tcW w:w="180" w:type="dxa"/>
            <w:vAlign w:val="bottom"/>
          </w:tcPr>
          <w:p>
            <w:pPr>
              <w:spacing w:after="0"/>
              <w:rPr>
                <w:sz w:val="14"/>
                <w:szCs w:val="14"/>
                <w:color w:val="auto"/>
              </w:rPr>
            </w:pPr>
          </w:p>
        </w:tc>
      </w:tr>
      <w:tr>
        <w:trPr>
          <w:trHeight w:val="280"/>
        </w:trPr>
        <w:tc>
          <w:tcPr>
            <w:tcW w:w="6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42"/>
              <w:spacing w:after="0"/>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103"/>
              <w:spacing w:after="0"/>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jc w:val="right"/>
              <w:ind w:right="122"/>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7"/>
        </w:trPr>
        <w:tc>
          <w:tcPr>
            <w:tcW w:w="6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Provision for claim losses as a percentage of title insurance premiums:</w:t>
            </w:r>
          </w:p>
        </w:tc>
        <w:tc>
          <w:tcPr>
            <w:tcW w:w="1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r>
      <w:tr>
        <w:trPr>
          <w:trHeight w:val="171"/>
        </w:trPr>
        <w:tc>
          <w:tcPr>
            <w:tcW w:w="6860" w:type="dxa"/>
            <w:vAlign w:val="bottom"/>
          </w:tcPr>
          <w:p>
            <w:pPr>
              <w:ind w:left="380"/>
              <w:spacing w:after="0"/>
              <w:rPr>
                <w:sz w:val="20"/>
                <w:szCs w:val="20"/>
                <w:color w:val="auto"/>
              </w:rPr>
            </w:pPr>
            <w:r>
              <w:rPr>
                <w:rFonts w:ascii="Arial" w:cs="Arial" w:eastAsia="Arial" w:hAnsi="Arial"/>
                <w:sz w:val="12"/>
                <w:szCs w:val="12"/>
                <w:color w:val="auto"/>
              </w:rPr>
              <w:t>Current year</w:t>
            </w: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6.0</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7.3</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8.5</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68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Prior years</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0.8</w:t>
            </w:r>
          </w:p>
        </w:tc>
        <w:tc>
          <w:tcPr>
            <w:tcW w:w="24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(2.2</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9.7</w:t>
            </w:r>
          </w:p>
        </w:tc>
        <w:tc>
          <w:tcPr>
            <w:tcW w:w="240" w:type="dxa"/>
            <w:vAlign w:val="bottom"/>
            <w:tcBorders>
              <w:bottom w:val="single" w:sz="8" w:color="auto"/>
            </w:tcBorders>
            <w:shd w:val="clear" w:color="auto" w:fill="CCEEFF"/>
          </w:tcPr>
          <w:p>
            <w:pPr>
              <w:spacing w:after="0"/>
              <w:rPr>
                <w:sz w:val="15"/>
                <w:szCs w:val="15"/>
                <w:color w:val="auto"/>
              </w:rPr>
            </w:pPr>
          </w:p>
        </w:tc>
      </w:tr>
      <w:tr>
        <w:trPr>
          <w:trHeight w:val="185"/>
        </w:trPr>
        <w:tc>
          <w:tcPr>
            <w:tcW w:w="6860" w:type="dxa"/>
            <w:vAlign w:val="bottom"/>
          </w:tcPr>
          <w:p>
            <w:pPr>
              <w:ind w:left="540"/>
              <w:spacing w:after="0"/>
              <w:rPr>
                <w:sz w:val="20"/>
                <w:szCs w:val="20"/>
                <w:color w:val="auto"/>
              </w:rPr>
            </w:pPr>
            <w:r>
              <w:rPr>
                <w:rFonts w:ascii="Arial" w:cs="Arial" w:eastAsia="Arial" w:hAnsi="Arial"/>
                <w:sz w:val="12"/>
                <w:szCs w:val="12"/>
                <w:color w:val="auto"/>
              </w:rPr>
              <w:t>Total provision</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860" w:type="dxa"/>
            <w:vAlign w:val="bottom"/>
          </w:tcPr>
          <w:p>
            <w:pPr>
              <w:ind w:left="200"/>
              <w:spacing w:after="0"/>
              <w:rPr>
                <w:sz w:val="20"/>
                <w:szCs w:val="20"/>
                <w:color w:val="auto"/>
              </w:rPr>
            </w:pPr>
            <w:r>
              <w:rPr>
                <w:rFonts w:ascii="Arial" w:cs="Arial" w:eastAsia="Arial" w:hAnsi="Arial"/>
                <w:sz w:val="12"/>
                <w:szCs w:val="12"/>
                <w:color w:val="auto"/>
              </w:rPr>
              <w:t>_______________________________</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r>
    </w:tbl>
    <w:p>
      <w:pPr>
        <w:spacing w:after="0" w:line="99" w:lineRule="exact"/>
        <w:rPr>
          <w:sz w:val="20"/>
          <w:szCs w:val="20"/>
          <w:color w:val="auto"/>
        </w:rPr>
      </w:pPr>
    </w:p>
    <w:p>
      <w:pPr>
        <w:ind w:left="908" w:hanging="476"/>
        <w:spacing w:after="0"/>
        <w:tabs>
          <w:tab w:leader="none" w:pos="9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Reserves assumed relate to the purchase of the LFG Underwriters.</w:t>
      </w:r>
    </w:p>
    <w:p>
      <w:pPr>
        <w:spacing w:after="0" w:line="114" w:lineRule="exact"/>
        <w:rPr>
          <w:sz w:val="20"/>
          <w:szCs w:val="20"/>
          <w:color w:val="auto"/>
        </w:rPr>
      </w:pPr>
    </w:p>
    <w:p>
      <w:pPr>
        <w:ind w:left="8" w:right="20" w:firstLine="216"/>
        <w:spacing w:after="0" w:line="258" w:lineRule="auto"/>
        <w:rPr>
          <w:sz w:val="20"/>
          <w:szCs w:val="20"/>
          <w:color w:val="auto"/>
        </w:rPr>
      </w:pPr>
      <w:r>
        <w:rPr>
          <w:rFonts w:ascii="Arial" w:cs="Arial" w:eastAsia="Arial" w:hAnsi="Arial"/>
          <w:sz w:val="12"/>
          <w:szCs w:val="12"/>
          <w:color w:val="auto"/>
        </w:rPr>
        <w:t>An approximate $36.4 million increase (decrease) in our annualized provision for title claim losses would occur if our loss provision rate were 1% higher (lower), based on 2010 title premiums of $3,641.2 million. A 10% increase (decrease) in the reserve for title claim losses would result in an increase (decrease) in our provision for title claim losses of approximately $221.1 million.</w:t>
      </w:r>
    </w:p>
    <w:p>
      <w:pPr>
        <w:ind w:left="208"/>
        <w:spacing w:after="0"/>
        <w:rPr>
          <w:sz w:val="20"/>
          <w:szCs w:val="20"/>
          <w:color w:val="auto"/>
        </w:rPr>
      </w:pPr>
      <w:r>
        <w:rPr>
          <w:rFonts w:ascii="Arial" w:cs="Arial" w:eastAsia="Arial" w:hAnsi="Arial"/>
          <w:sz w:val="12"/>
          <w:szCs w:val="12"/>
          <w:color w:val="auto"/>
        </w:rPr>
        <w:t>For our specialty insurance businesses, we had claims reserves of $61.8 million and $52.6 million as of December 31, 2010 and 2009.</w:t>
      </w:r>
    </w:p>
    <w:p>
      <w:pPr>
        <w:spacing w:after="0" w:line="105" w:lineRule="exact"/>
        <w:rPr>
          <w:sz w:val="20"/>
          <w:szCs w:val="20"/>
          <w:color w:val="auto"/>
        </w:rPr>
      </w:pPr>
    </w:p>
    <w:p>
      <w:pPr>
        <w:ind w:left="8" w:firstLine="216"/>
        <w:spacing w:after="0" w:line="281" w:lineRule="auto"/>
        <w:rPr>
          <w:sz w:val="20"/>
          <w:szCs w:val="20"/>
          <w:color w:val="auto"/>
        </w:rPr>
      </w:pPr>
      <w:r>
        <w:rPr>
          <w:rFonts w:ascii="Arial" w:cs="Arial" w:eastAsia="Arial" w:hAnsi="Arial"/>
          <w:sz w:val="11"/>
          <w:szCs w:val="11"/>
          <w:i w:val="1"/>
          <w:iCs w:val="1"/>
          <w:color w:val="auto"/>
        </w:rPr>
        <w:t xml:space="preserve">Valuation of Investments. </w:t>
      </w:r>
      <w:r>
        <w:rPr>
          <w:rFonts w:ascii="Arial" w:cs="Arial" w:eastAsia="Arial" w:hAnsi="Arial"/>
          <w:sz w:val="11"/>
          <w:szCs w:val="11"/>
          <w:color w:val="auto"/>
        </w:rPr>
        <w:t>We regularly review our investment portfolio for factors that may indicate that a decline in fair value of an investment is other-than-temporary. Some factors considered in evaluating whether or not a decline</w:t>
      </w:r>
      <w:r>
        <w:rPr>
          <w:rFonts w:ascii="Arial" w:cs="Arial" w:eastAsia="Arial" w:hAnsi="Arial"/>
          <w:sz w:val="11"/>
          <w:szCs w:val="11"/>
          <w:i w:val="1"/>
          <w:iCs w:val="1"/>
          <w:color w:val="auto"/>
        </w:rPr>
        <w:t xml:space="preserve"> </w:t>
      </w:r>
      <w:r>
        <w:rPr>
          <w:rFonts w:ascii="Arial" w:cs="Arial" w:eastAsia="Arial" w:hAnsi="Arial"/>
          <w:sz w:val="11"/>
          <w:szCs w:val="11"/>
          <w:color w:val="auto"/>
        </w:rPr>
        <w:t>in fair value is other-than-temporary include: (i) our intent and need to sell the investment prior to a period of time sufficient to allow for a recovery in value; (ii) the duration and extent to which the fair value has been less than cost; and</w:t>
      </w:r>
    </w:p>
    <w:p>
      <w:pPr>
        <w:spacing w:after="0" w:line="1" w:lineRule="exact"/>
        <w:rPr>
          <w:sz w:val="20"/>
          <w:szCs w:val="20"/>
          <w:color w:val="auto"/>
        </w:rPr>
      </w:pPr>
    </w:p>
    <w:p>
      <w:pPr>
        <w:jc w:val="both"/>
        <w:ind w:left="8" w:hanging="8"/>
        <w:spacing w:after="0" w:line="280" w:lineRule="auto"/>
        <w:tabs>
          <w:tab w:leader="none" w:pos="222"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financial condition and prospects of the issuer. Such reviews are inherently uncertain and the value of the investmen t may not fully recover or may decline in future periods resulting in a realized loss. Investments are selected for analysis whenever an unrealized loss is greater than a certain threshold that we determine based on the size of our portfolio. Fixed maturity investments that have unrealized losses caused by interest rate movements are not at risk as we do not anticipate having the need or intent to sell prior to maturity. Unrealized losses on investments in equity securities and fixed maturity instruments that are susceptible to credit related declines are evaluated based on the aforementioned factors. Currently available market data is considered and estimates are made as to the duration and prospects for recovery, and the ability to retain the investment until such recovery takes place. These estimates are revisited quarterly and any material degradation in the prospect for recovery will be considered in the other-than-temporary impairment analysis. We believe that our monitoring and analysis has allowed fo r the proper recognition of other-than-temporary impairments over the past three-year period. Any change in estimate in this area will have an impact on the results of operations of the period in which a</w:t>
      </w:r>
    </w:p>
    <w:p>
      <w:pPr>
        <w:spacing w:after="0" w:line="115" w:lineRule="exact"/>
        <w:rPr>
          <w:sz w:val="20"/>
          <w:szCs w:val="20"/>
          <w:color w:val="auto"/>
        </w:rPr>
      </w:pPr>
    </w:p>
    <w:p>
      <w:pPr>
        <w:jc w:val="center"/>
        <w:ind w:left="22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8"/>
          </w:cols>
          <w:pgMar w:left="212" w:top="131" w:right="199" w:bottom="1440" w:gutter="0" w:footer="0" w:header="0"/>
        </w:sectPr>
      </w:pPr>
    </w:p>
    <w:bookmarkStart w:id="31" w:name="page32"/>
    <w:bookmarkEnd w:id="31"/>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charge is taken. Our investment portfolio exposure to sub-prime mortgage-backed securities is immaterial.</w:t>
      </w:r>
    </w:p>
    <w:p>
      <w:pPr>
        <w:spacing w:after="0" w:line="7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In accordance with the standard on fair value, our financial assets and liabilities that are recorded in the Consolidated Balance Sheets are categorized based on the inputs to the valuation techniques as follows: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Level 1. Financial assets and liabilities whose values are based on unadjusted quoted prices for identical assets or liabilities in an active market that we have the ability to access.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1"/>
          <w:szCs w:val="11"/>
          <w:i w:val="1"/>
          <w:iCs w:val="1"/>
          <w:color w:val="auto"/>
        </w:rPr>
        <w:t xml:space="preserve">Level 2. </w:t>
      </w:r>
      <w:r>
        <w:rPr>
          <w:rFonts w:ascii="Arial" w:cs="Arial" w:eastAsia="Arial" w:hAnsi="Arial"/>
          <w:sz w:val="11"/>
          <w:szCs w:val="11"/>
          <w:color w:val="auto"/>
        </w:rPr>
        <w:t>Financial assets and liabilities whose values are based on quoted prices in markets that are not active or model inputs that are observable either directly or indirectly for substantially the full term of the asset or liability.</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Financial assets and liabilities whose values are based on model inputs that are unobservable.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our fair value hierarchy for those assets measured at fair value on a recurring basis as of December 31, 2010 and 2009, respectively: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8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6"/>
          </w:tcPr>
          <w:p>
            <w:pPr>
              <w:ind w:left="760"/>
              <w:spacing w:after="0"/>
              <w:rPr>
                <w:sz w:val="20"/>
                <w:szCs w:val="20"/>
                <w:color w:val="auto"/>
              </w:rPr>
            </w:pPr>
            <w:r>
              <w:rPr>
                <w:rFonts w:ascii="Arial" w:cs="Arial" w:eastAsia="Arial" w:hAnsi="Arial"/>
                <w:sz w:val="10"/>
                <w:szCs w:val="10"/>
                <w:b w:val="1"/>
                <w:bCs w:val="1"/>
                <w:color w:val="auto"/>
                <w:w w:val="84"/>
              </w:rPr>
              <w:t>December 31, 2010</w:t>
            </w: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r>
      <w:tr>
        <w:trPr>
          <w:trHeight w:val="169"/>
        </w:trPr>
        <w:tc>
          <w:tcPr>
            <w:tcW w:w="4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0"/>
                <w:szCs w:val="10"/>
                <w:b w:val="1"/>
                <w:bCs w:val="1"/>
                <w:color w:val="auto"/>
                <w:w w:val="88"/>
              </w:rPr>
              <w:t>Level 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160"/>
              <w:spacing w:after="0"/>
              <w:rPr>
                <w:sz w:val="20"/>
                <w:szCs w:val="20"/>
                <w:color w:val="auto"/>
              </w:rPr>
            </w:pPr>
            <w:r>
              <w:rPr>
                <w:rFonts w:ascii="Arial" w:cs="Arial" w:eastAsia="Arial" w:hAnsi="Arial"/>
                <w:sz w:val="10"/>
                <w:szCs w:val="10"/>
                <w:color w:val="auto"/>
              </w:rPr>
              <w:t>Level 2</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Total</w:t>
            </w:r>
          </w:p>
        </w:tc>
      </w:tr>
      <w:tr>
        <w:trPr>
          <w:trHeight w:val="124"/>
        </w:trPr>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gridSpan w:val="5"/>
          </w:tcPr>
          <w:p>
            <w:pPr>
              <w:ind w:left="120"/>
              <w:spacing w:after="0"/>
              <w:rPr>
                <w:sz w:val="20"/>
                <w:szCs w:val="20"/>
                <w:color w:val="auto"/>
              </w:rPr>
            </w:pPr>
            <w:r>
              <w:rPr>
                <w:rFonts w:ascii="Arial" w:cs="Arial" w:eastAsia="Arial" w:hAnsi="Arial"/>
                <w:sz w:val="10"/>
                <w:szCs w:val="10"/>
                <w:b w:val="1"/>
                <w:bCs w:val="1"/>
                <w:color w:val="auto"/>
              </w:rPr>
              <w:t>(In millions)</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84"/>
        </w:trPr>
        <w:tc>
          <w:tcPr>
            <w:tcW w:w="4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Fixed-maturity securities available for sale</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523"/>
              <w:spacing w:after="0"/>
              <w:rPr>
                <w:sz w:val="20"/>
                <w:szCs w:val="20"/>
                <w:color w:val="auto"/>
              </w:rPr>
            </w:pPr>
            <w:r>
              <w:rPr>
                <w:rFonts w:ascii="Arial" w:cs="Arial" w:eastAsia="Arial" w:hAnsi="Arial"/>
                <w:sz w:val="12"/>
                <w:szCs w:val="12"/>
                <w:color w:val="auto"/>
              </w:rPr>
              <w:t>3,484.8</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9.5</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3,494.3</w:t>
            </w:r>
          </w:p>
        </w:tc>
      </w:tr>
      <w:tr>
        <w:trPr>
          <w:trHeight w:val="135"/>
        </w:trPr>
        <w:tc>
          <w:tcPr>
            <w:tcW w:w="4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gridSpan w:val="6"/>
          </w:tcPr>
          <w:p>
            <w:pPr>
              <w:ind w:left="660"/>
              <w:spacing w:after="0" w:line="136" w:lineRule="exact"/>
              <w:rPr>
                <w:sz w:val="20"/>
                <w:szCs w:val="20"/>
                <w:color w:val="auto"/>
              </w:rPr>
            </w:pPr>
            <w:r>
              <w:rPr>
                <w:rFonts w:ascii="Arial" w:cs="Arial" w:eastAsia="Arial" w:hAnsi="Arial"/>
                <w:sz w:val="12"/>
                <w:szCs w:val="12"/>
                <w:color w:val="auto"/>
              </w:rPr>
              <w:t>&lt; div</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26"/>
        </w:trPr>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gridSpan w:val="6"/>
          </w:tcPr>
          <w:p>
            <w:pPr>
              <w:ind w:left="440"/>
              <w:spacing w:after="0" w:line="126" w:lineRule="exact"/>
              <w:rPr>
                <w:sz w:val="20"/>
                <w:szCs w:val="20"/>
                <w:color w:val="auto"/>
              </w:rPr>
            </w:pPr>
            <w:r>
              <w:rPr>
                <w:rFonts w:ascii="Arial" w:cs="Arial" w:eastAsia="Arial" w:hAnsi="Arial"/>
                <w:sz w:val="12"/>
                <w:szCs w:val="12"/>
                <w:color w:val="auto"/>
              </w:rPr>
              <w:t>style="text-</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71"/>
        </w:trPr>
        <w:tc>
          <w:tcPr>
            <w:tcW w:w="4820" w:type="dxa"/>
            <w:vAlign w:val="bottom"/>
          </w:tcPr>
          <w:p>
            <w:pPr>
              <w:ind w:left="220"/>
              <w:spacing w:after="0"/>
              <w:rPr>
                <w:sz w:val="20"/>
                <w:szCs w:val="20"/>
                <w:color w:val="auto"/>
              </w:rPr>
            </w:pPr>
            <w:r>
              <w:rPr>
                <w:rFonts w:ascii="Arial" w:cs="Arial" w:eastAsia="Arial" w:hAnsi="Arial"/>
                <w:sz w:val="12"/>
                <w:szCs w:val="12"/>
                <w:color w:val="auto"/>
              </w:rPr>
              <w:t>Equity securities available for sale</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02"/>
              <w:spacing w:after="0"/>
              <w:rPr>
                <w:sz w:val="20"/>
                <w:szCs w:val="20"/>
                <w:color w:val="auto"/>
              </w:rPr>
            </w:pPr>
            <w:r>
              <w:rPr>
                <w:rFonts w:ascii="Arial" w:cs="Arial" w:eastAsia="Arial" w:hAnsi="Arial"/>
                <w:sz w:val="12"/>
                <w:szCs w:val="12"/>
                <w:color w:val="auto"/>
              </w:rPr>
              <w:t>75.2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6"/>
          </w:tcPr>
          <w:p>
            <w:pPr>
              <w:ind w:left="320"/>
              <w:spacing w:after="0"/>
              <w:rPr>
                <w:sz w:val="20"/>
                <w:szCs w:val="20"/>
                <w:color w:val="auto"/>
              </w:rPr>
            </w:pPr>
            <w:r>
              <w:rPr>
                <w:rFonts w:ascii="Arial" w:cs="Arial" w:eastAsia="Arial" w:hAnsi="Arial"/>
                <w:sz w:val="12"/>
                <w:szCs w:val="12"/>
                <w:color w:val="auto"/>
              </w:rPr>
              <w:t>—align:left;"&gt;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2"/>
                <w:szCs w:val="12"/>
                <w:color w:val="auto"/>
              </w:rPr>
              <w:t>—</w:t>
            </w: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75.2</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long-term investments</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40" w:type="dxa"/>
            <w:vAlign w:val="bottom"/>
            <w:gridSpan w:val="6"/>
            <w:shd w:val="clear" w:color="auto" w:fill="CCEEFF"/>
          </w:tcPr>
          <w:p>
            <w:pPr>
              <w:jc w:val="right"/>
              <w:ind w:right="1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90.1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90.1</w:t>
            </w:r>
          </w:p>
        </w:tc>
      </w:tr>
      <w:tr>
        <w:trPr>
          <w:trHeight w:val="185"/>
        </w:trPr>
        <w:tc>
          <w:tcPr>
            <w:tcW w:w="4820" w:type="dxa"/>
            <w:vAlign w:val="bottom"/>
          </w:tcPr>
          <w:p>
            <w:pPr>
              <w:ind w:left="220"/>
              <w:spacing w:after="0"/>
              <w:rPr>
                <w:sz w:val="20"/>
                <w:szCs w:val="20"/>
                <w:color w:val="auto"/>
              </w:rPr>
            </w:pPr>
            <w:r>
              <w:rPr>
                <w:rFonts w:ascii="Arial" w:cs="Arial" w:eastAsia="Arial" w:hAnsi="Arial"/>
                <w:sz w:val="12"/>
                <w:szCs w:val="12"/>
                <w:color w:val="auto"/>
              </w:rPr>
              <w:t>Total</w:t>
            </w:r>
          </w:p>
        </w:tc>
        <w:tc>
          <w:tcPr>
            <w:tcW w:w="6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2"/>
                <w:szCs w:val="12"/>
                <w:color w:val="auto"/>
              </w:rPr>
              <w:t>75.2</w:t>
            </w:r>
          </w:p>
        </w:tc>
        <w:tc>
          <w:tcPr>
            <w:tcW w:w="280" w:type="dxa"/>
            <w:vAlign w:val="bottom"/>
          </w:tcPr>
          <w:p>
            <w:pPr>
              <w:spacing w:after="0"/>
              <w:rPr>
                <w:sz w:val="16"/>
                <w:szCs w:val="16"/>
                <w:color w:val="auto"/>
              </w:rPr>
            </w:pPr>
          </w:p>
        </w:tc>
        <w:tc>
          <w:tcPr>
            <w:tcW w:w="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2"/>
                <w:szCs w:val="12"/>
                <w:color w:val="auto"/>
              </w:rPr>
              <w:t>3,484.8</w:t>
            </w:r>
          </w:p>
        </w:tc>
        <w:tc>
          <w:tcPr>
            <w:tcW w:w="2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2"/>
                <w:szCs w:val="12"/>
                <w:color w:val="auto"/>
              </w:rPr>
              <w:t>99.6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3,659.6</w:t>
            </w:r>
          </w:p>
        </w:tc>
      </w:tr>
      <w:tr>
        <w:trPr>
          <w:trHeight w:val="221"/>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7"/>
          </w:tcPr>
          <w:p>
            <w:pPr>
              <w:ind w:left="120"/>
              <w:spacing w:after="0"/>
              <w:rPr>
                <w:sz w:val="20"/>
                <w:szCs w:val="20"/>
                <w:color w:val="auto"/>
              </w:rPr>
            </w:pPr>
            <w:r>
              <w:rPr>
                <w:rFonts w:ascii="Arial" w:cs="Arial" w:eastAsia="Arial" w:hAnsi="Arial"/>
                <w:sz w:val="10"/>
                <w:szCs w:val="10"/>
                <w:b w:val="1"/>
                <w:bCs w:val="1"/>
                <w:color w:val="auto"/>
                <w:w w:val="99"/>
              </w:rPr>
              <w:t>December 31, 2009</w:t>
            </w: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169"/>
        </w:trPr>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b w:val="1"/>
                <w:bCs w:val="1"/>
                <w:color w:val="auto"/>
              </w:rPr>
              <w:t>Level 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300"/>
              <w:spacing w:after="0"/>
              <w:rPr>
                <w:sz w:val="20"/>
                <w:szCs w:val="20"/>
                <w:color w:val="auto"/>
              </w:rPr>
            </w:pPr>
            <w:r>
              <w:rPr>
                <w:rFonts w:ascii="Arial" w:cs="Arial" w:eastAsia="Arial" w:hAnsi="Arial"/>
                <w:sz w:val="10"/>
                <w:szCs w:val="10"/>
                <w:b w:val="1"/>
                <w:bCs w:val="1"/>
                <w:color w:val="auto"/>
              </w:rPr>
              <w:t>Level 2</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Total</w:t>
            </w:r>
          </w:p>
        </w:tc>
      </w:tr>
      <w:tr>
        <w:trPr>
          <w:trHeight w:val="124"/>
        </w:trPr>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gridSpan w:val="4"/>
          </w:tcPr>
          <w:p>
            <w:pPr>
              <w:ind w:left="20"/>
              <w:spacing w:after="0"/>
              <w:rPr>
                <w:sz w:val="20"/>
                <w:szCs w:val="20"/>
                <w:color w:val="auto"/>
              </w:rPr>
            </w:pPr>
            <w:r>
              <w:rPr>
                <w:rFonts w:ascii="Arial" w:cs="Arial" w:eastAsia="Arial" w:hAnsi="Arial"/>
                <w:sz w:val="10"/>
                <w:szCs w:val="10"/>
                <w:b w:val="1"/>
                <w:bCs w:val="1"/>
                <w:color w:val="auto"/>
                <w:w w:val="85"/>
              </w:rPr>
              <w:t>(In millions)</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84"/>
        </w:trPr>
        <w:tc>
          <w:tcPr>
            <w:tcW w:w="4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Fixed-maturity securities available for sale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92"/>
              <w:spacing w:after="0"/>
              <w:rPr>
                <w:sz w:val="20"/>
                <w:szCs w:val="20"/>
                <w:color w:val="auto"/>
              </w:rPr>
            </w:pPr>
            <w:r>
              <w:rPr>
                <w:rFonts w:ascii="Arial" w:cs="Arial" w:eastAsia="Arial" w:hAnsi="Arial"/>
                <w:sz w:val="12"/>
                <w:szCs w:val="12"/>
                <w:color w:val="auto"/>
              </w:rPr>
              <w:t>3,479.0</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45.2</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3,524.2</w:t>
            </w:r>
          </w:p>
        </w:tc>
        <w:tc>
          <w:tcPr>
            <w:tcW w:w="260" w:type="dxa"/>
            <w:vAlign w:val="bottom"/>
            <w:shd w:val="clear" w:color="auto" w:fill="CCEEFF"/>
          </w:tcPr>
          <w:p>
            <w:pPr>
              <w:spacing w:after="0"/>
              <w:rPr>
                <w:sz w:val="16"/>
                <w:szCs w:val="16"/>
                <w:color w:val="auto"/>
              </w:rPr>
            </w:pPr>
          </w:p>
        </w:tc>
      </w:tr>
      <w:tr>
        <w:trPr>
          <w:trHeight w:val="171"/>
        </w:trPr>
        <w:tc>
          <w:tcPr>
            <w:tcW w:w="4820" w:type="dxa"/>
            <w:vAlign w:val="bottom"/>
          </w:tcPr>
          <w:p>
            <w:pPr>
              <w:ind w:left="220"/>
              <w:spacing w:after="0"/>
              <w:rPr>
                <w:sz w:val="20"/>
                <w:szCs w:val="20"/>
                <w:color w:val="auto"/>
              </w:rPr>
            </w:pPr>
            <w:r>
              <w:rPr>
                <w:rFonts w:ascii="Arial" w:cs="Arial" w:eastAsia="Arial" w:hAnsi="Arial"/>
                <w:sz w:val="12"/>
                <w:szCs w:val="12"/>
                <w:color w:val="auto"/>
              </w:rPr>
              <w:t>Equity securities available for sale</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92.5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6"/>
          </w:tcPr>
          <w:p>
            <w:pPr>
              <w:jc w:val="right"/>
              <w:ind w:right="7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92.5</w:t>
            </w:r>
          </w:p>
        </w:tc>
      </w:tr>
      <w:tr>
        <w:trPr>
          <w:trHeight w:val="180"/>
        </w:trPr>
        <w:tc>
          <w:tcPr>
            <w:tcW w:w="4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long-term investments</w:t>
            </w:r>
          </w:p>
        </w:tc>
        <w:tc>
          <w:tcPr>
            <w:tcW w:w="2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78.7</w:t>
            </w:r>
          </w:p>
        </w:tc>
        <w:tc>
          <w:tcPr>
            <w:tcW w:w="2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78.7</w:t>
            </w:r>
          </w:p>
        </w:tc>
      </w:tr>
      <w:tr>
        <w:trPr>
          <w:trHeight w:val="185"/>
        </w:trPr>
        <w:tc>
          <w:tcPr>
            <w:tcW w:w="4820" w:type="dxa"/>
            <w:vAlign w:val="bottom"/>
          </w:tcPr>
          <w:p>
            <w:pPr>
              <w:ind w:left="220"/>
              <w:spacing w:after="0"/>
              <w:rPr>
                <w:sz w:val="20"/>
                <w:szCs w:val="20"/>
                <w:color w:val="auto"/>
              </w:rPr>
            </w:pPr>
            <w:r>
              <w:rPr>
                <w:rFonts w:ascii="Arial" w:cs="Arial" w:eastAsia="Arial" w:hAnsi="Arial"/>
                <w:sz w:val="12"/>
                <w:szCs w:val="12"/>
                <w:color w:val="auto"/>
              </w:rPr>
              <w:t>Total</w:t>
            </w:r>
          </w:p>
        </w:tc>
        <w:tc>
          <w:tcPr>
            <w:tcW w:w="28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92.5</w:t>
            </w:r>
          </w:p>
        </w:tc>
        <w:tc>
          <w:tcPr>
            <w:tcW w:w="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3,479.0</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123.9</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3,695.4</w:t>
            </w:r>
          </w:p>
        </w:tc>
      </w:tr>
    </w:tbl>
    <w:p>
      <w:pPr>
        <w:spacing w:after="0" w:line="99" w:lineRule="exact"/>
        <w:rPr>
          <w:sz w:val="20"/>
          <w:szCs w:val="20"/>
          <w:color w:val="auto"/>
        </w:rPr>
      </w:pPr>
    </w:p>
    <w:p>
      <w:pPr>
        <w:jc w:val="both"/>
        <w:ind w:firstLine="216"/>
        <w:spacing w:after="0" w:line="327" w:lineRule="auto"/>
        <w:rPr>
          <w:sz w:val="20"/>
          <w:szCs w:val="20"/>
          <w:color w:val="auto"/>
        </w:rPr>
      </w:pPr>
      <w:r>
        <w:rPr>
          <w:rFonts w:ascii="Arial" w:cs="Arial" w:eastAsia="Arial" w:hAnsi="Arial"/>
          <w:sz w:val="10"/>
          <w:szCs w:val="10"/>
          <w:color w:val="auto"/>
        </w:rPr>
        <w:t>Our Level 2 fair value measures for fixed-maturities available for sale are provided by third-party pricing services. We utilize one firm for our taxable bond portfolio and another for our municipal bond portfolio. These pricing services are leading global providers of financial market data, analytics and related services to financial institutions. We only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to ensure that we concur with their pricing methodologies and compare the resulting prices to other publicly available measures of fair value.</w:t>
      </w:r>
    </w:p>
    <w:p>
      <w:pPr>
        <w:spacing w:after="0" w:line="2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Our investments classified as Level 3 consist of auction rate securities which were included in the assets of the LFG Underwriters that were acquired on December 22, 2008, and structured notes that we purchased in the third quarter of 2009. There is no active market for the auction rate securities and they are valued using models with significant non-observable inputs. Fair values for these securities are provided by a third-party pricing service using a proprietary valuation model which considers factors such as time to maturity, interest rates, credit-worthiness of the issuer, trading characteristics, and available market data for similar securities. These securities represent less than one percent of our total investment portfolio. The structured notes are classified as other long-term investments and are measured in their entirety at fair value with changes in fair value recognized in earnings. The fair value of these instruments are the product of a proprietary valuation model utilized by the trading desk of the broker-dealer and contain assumptions relating to volatility, the level of interest rates, and the underlying value of the indexes, exchange-traded funds, and foreign currencies. The structured notes represent less than two percent of our total investment portfolio. We review the pricing methodologies for our Level 3 investments to ensure that they are reasonable and believe they represent an exit price as of December 31, 2010.</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131" w:right="199" w:bottom="1440" w:gutter="0" w:footer="0" w:header="0"/>
        </w:sectPr>
      </w:pPr>
    </w:p>
    <w:bookmarkStart w:id="32" w:name="page33"/>
    <w:bookmarkEnd w:id="32"/>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22"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recorded no impairment charges to our investments during 2010. During 2009 and 2008, we recorded other-than-temporary impairments totaling $6.9 million and $59.0 million, respectively. Impairment charges in 2009 related to equity securities that were deemed other-than-temporarily impa ired. Impairment charges in 2008 included $25.4 million related to our fixed maturity securities, $30.1 million related to our equity securities, and $3.5 million related to other investments that were deemed other-than-temporarily impaired. The impairment charges relating to the fixed maturity securities were primarily the result of our conclusion that the credit risk relating to the holdings was too high not to impair the assets and record the loss through earnings. The impairment charges relating to the equity securities were primarily the result of the duration of the unrealized loss and inability to predict the time to recover if the investment continued to be held.</w:t>
      </w:r>
    </w:p>
    <w:p>
      <w:pPr>
        <w:spacing w:after="0" w:line="54"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i w:val="1"/>
          <w:iCs w:val="1"/>
          <w:color w:val="auto"/>
        </w:rPr>
        <w:t xml:space="preserve">Goodwill. </w:t>
      </w:r>
      <w:r>
        <w:rPr>
          <w:rFonts w:ascii="Arial" w:cs="Arial" w:eastAsia="Arial" w:hAnsi="Arial"/>
          <w:sz w:val="11"/>
          <w:szCs w:val="11"/>
          <w:color w:val="auto"/>
        </w:rPr>
        <w:t>We have made acquisiti ons in the past that have resulted in a significant amount of goodwill. As of December 31, 2010 and 2009, goodwill aggregated $1,470.7 million and $1,455.2 million, respectively. The majority of o</w:t>
      </w:r>
      <w:r>
        <w:rPr>
          <w:rFonts w:ascii="Arial" w:cs="Arial" w:eastAsia="Arial" w:hAnsi="Arial"/>
          <w:sz w:val="11"/>
          <w:szCs w:val="11"/>
          <w:i w:val="1"/>
          <w:iCs w:val="1"/>
          <w:color w:val="auto"/>
        </w:rPr>
        <w:t xml:space="preserve"> </w:t>
      </w:r>
      <w:r>
        <w:rPr>
          <w:rFonts w:ascii="Arial" w:cs="Arial" w:eastAsia="Arial" w:hAnsi="Arial"/>
          <w:sz w:val="11"/>
          <w:szCs w:val="11"/>
          <w:color w:val="auto"/>
        </w:rPr>
        <w:t>ur goodwill as of December 31, 2010 and 2009 relates to goodwill recorded in connection with the Chicago Title merger in 2000. The process of determining whether or not an asset, such as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 these estimates are not guarantees of future performance and are subject to risks and uncertainties that may cause actual results to differ from what is assumed in our impairment tests. In evaluating the recoverability of goodwill, we perform an annual goodwill impairment test based on an analysis of the discounted future cash flows generated by the underlying assets. We have completed our annual goodwill impairment tests in each of the past three years and as a result, no impairment charges were recorded to goodwill in 2010, 2009, or 2008. As of December 31, 2010, we have determined that we have a fair value which substantially exceeds our carrying value.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w:t>
      </w:r>
    </w:p>
    <w:p>
      <w:pPr>
        <w:spacing w:after="0" w:line="4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Other Intangible Assets. We have intangible assets that were acquired through business acquisitions. These assets consist of purchased customer relationships, trademarks, contracts, and the excess of purchase price over the fair value of identifiable net assets acquired (goodwill), discussed above. The determination of estimated useful lives and the allocation of the purchase price to the fair values of the intangible assets requires significant judgment and may affect the amount of future amortization on intangible assets other than goodwill.</w:t>
      </w:r>
    </w:p>
    <w:p>
      <w:pPr>
        <w:spacing w:after="0" w:line="5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1"/>
          <w:szCs w:val="11"/>
          <w:color w:val="auto"/>
        </w:rPr>
        <w:t>The valuation of intangible assets such as software, purchased customer relationships and contracts involves significant estimates and assumptions concerning matters such as customer retentio n, future cash flows and discount rates. If any of these assumptions change, it could affect the carrying value of these assets in the future. Purchased customer relationships are amortized over their estimated useful lives using an accelerated method which takes into consideration expected customer attrition rates over a ten-year period. Contractual relationships are generally amortized using the straight-line method over their contractual life. Trademarks are considered intangible assets with indefinite lives and are reviewed for impairment at least annually. In 2008 we determined that the carrying value of certain of our intangible assets may not be recoverable and recorded an impairment charge of $4.0 million relating to the write-off of these assets. These impairments were recorded as other operating expense in our Consolidated Statement of Operations. There were no impairment charges recorded relating to intangible assets during 2010 or 2009.</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Revenue Recognition. </w:t>
      </w:r>
      <w:r>
        <w:rPr>
          <w:rFonts w:ascii="Arial" w:cs="Arial" w:eastAsia="Arial" w:hAnsi="Arial"/>
          <w:sz w:val="12"/>
          <w:szCs w:val="12"/>
          <w:color w:val="auto"/>
        </w:rPr>
        <w:t>The following describes our revenue recognition policies as they pertain to each of our segments:</w:t>
      </w:r>
    </w:p>
    <w:p>
      <w:pPr>
        <w:spacing w:after="0" w:line="69"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i w:val="1"/>
          <w:iCs w:val="1"/>
          <w:color w:val="auto"/>
        </w:rPr>
        <w:t xml:space="preserve">Fidelity National Title Group. </w:t>
      </w:r>
      <w:r>
        <w:rPr>
          <w:rFonts w:ascii="Arial" w:cs="Arial" w:eastAsia="Arial" w:hAnsi="Arial"/>
          <w:sz w:val="11"/>
          <w:szCs w:val="11"/>
          <w:color w:val="auto"/>
        </w:rPr>
        <w:t>Our direct title insurance premiums and escrow, title-related and other fees are recognized as revenue at the time of closing of the related transaction as the earnings process is then considered complete,</w:t>
      </w:r>
      <w:r>
        <w:rPr>
          <w:rFonts w:ascii="Arial" w:cs="Arial" w:eastAsia="Arial" w:hAnsi="Arial"/>
          <w:sz w:val="11"/>
          <w:szCs w:val="11"/>
          <w:i w:val="1"/>
          <w:iCs w:val="1"/>
          <w:color w:val="auto"/>
        </w:rPr>
        <w:t xml:space="preserve"> </w:t>
      </w:r>
      <w:r>
        <w:rPr>
          <w:rFonts w:ascii="Arial" w:cs="Arial" w:eastAsia="Arial" w:hAnsi="Arial"/>
          <w:sz w:val="11"/>
          <w:szCs w:val="11"/>
          <w:color w:val="auto"/>
        </w:rPr>
        <w:t>whereas premium revenues from agency operations and agency commissio 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60-70% reported within three months following closing, an additional 20-30% reported within the next three months and the remainder within seven to fifteen months. In addition to accruing these earned but unreported agency premiums, we also accrue agent commission expense, which was 78.6%, 79.6% and 78.3% of agent premiums earned in 2010, 2009 and 2008, respectively. We also record provision for claim losses at our current provision rate at the time we record the accrual for the premiums, which was 6.0%, 7.3% and 8.5% for 2010, 2009 and 2008, respectively, and accruals for premium taxes and other expenses relating to our premium accrual. The resulting impact to pretax earnings in any period is less than 10% of the accrued premium amount. The impact of the change in the accrual for agency premiums and related expenses for the years ended December 31, 2010, 2009 and 2008 on our pretax earnings was an increase (decrease) of $10.7 million, $(3.4) million and $(6.4) million, respectively, excluding an adjustment recorded in 2008 relating to a change in our estimation process, which resulted in a decrease of $11.8 million in our pretax earnings for 2008. The amount due from our agents relating to this accrual, i.e. the agent premium less their contractual retained commission, was approximately $112.1 million and</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31" w:right="199" w:bottom="1440" w:gutter="0" w:footer="0" w:header="0"/>
        </w:sectPr>
      </w:pPr>
    </w:p>
    <w:bookmarkStart w:id="33" w:name="page34"/>
    <w:bookmarkEnd w:id="33"/>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22"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$88.1 million at December 31, 2010 and 2009, respectively, which represents agency premiums of approximately $5 46.0 million and $425.4 million at December 31, 2010 and 2009, respectively, and agent commissions of $433.9 million and $337.3 million at December 31, 2010 and 2009, respectively. We may have changes in our accrual for agency revenue in the future if additional relevant information becomes available.</w:t>
      </w:r>
    </w:p>
    <w:p>
      <w:pPr>
        <w:spacing w:after="0" w:line="2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Specialty Insurance Segment. </w:t>
      </w:r>
      <w:r>
        <w:rPr>
          <w:rFonts w:ascii="Arial" w:cs="Arial" w:eastAsia="Arial" w:hAnsi="Arial"/>
          <w:sz w:val="12"/>
          <w:szCs w:val="12"/>
          <w:color w:val="auto"/>
        </w:rPr>
        <w:t>Revenues from home warranty and personal lines insurance policies are recognized over the life of the policy, which is one year. The unrecognized portion is recorded as d eferred revenue. Revenues and</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related to the sale of flood insurance are recognized when the policy is reported.</w:t>
      </w:r>
    </w:p>
    <w:p>
      <w:pPr>
        <w:spacing w:after="0" w:line="43"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i w:val="1"/>
          <w:iCs w:val="1"/>
          <w:color w:val="auto"/>
        </w:rPr>
        <w:t xml:space="preserve">Accounting for Income Taxes. </w:t>
      </w:r>
      <w:r>
        <w:rPr>
          <w:rFonts w:ascii="Arial" w:cs="Arial" w:eastAsia="Arial" w:hAnsi="Arial"/>
          <w:sz w:val="11"/>
          <w:szCs w:val="11"/>
          <w:color w:val="auto"/>
        </w:rPr>
        <w:t>As part of the process of preparing the consolidated financial statements, we are required to determine income taxes in each of the jurisdictions in which we operate. This process involves estimating</w:t>
      </w:r>
      <w:r>
        <w:rPr>
          <w:rFonts w:ascii="Arial" w:cs="Arial" w:eastAsia="Arial" w:hAnsi="Arial"/>
          <w:sz w:val="11"/>
          <w:szCs w:val="11"/>
          <w:i w:val="1"/>
          <w:iCs w:val="1"/>
          <w:color w:val="auto"/>
        </w:rPr>
        <w:t xml:space="preserve"> </w:t>
      </w:r>
      <w:r>
        <w:rPr>
          <w:rFonts w:ascii="Arial" w:cs="Arial" w:eastAsia="Arial" w:hAnsi="Arial"/>
          <w:sz w:val="11"/>
          <w:szCs w:val="11"/>
          <w:color w:val="auto"/>
        </w:rPr>
        <w:t>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 d from future taxable income and, to the extent we believe that recovery is not likely, establish a valuation allowance. To the extent we establish a valuation allowance or increase this allowance in a period, we must reflect this increase as an expense within income tax expense in the Consolidated Statement of Operations. Determination of the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However, final determination of prior-year tax liabilities, either by settlement with tax authorities or expiration of statutes of limitations, could be materially different than esti 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Certain Factors Affecting Comparability</w:t>
      </w:r>
    </w:p>
    <w:p>
      <w:pPr>
        <w:spacing w:after="0" w:line="118"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i w:val="1"/>
          <w:iCs w:val="1"/>
          <w:color w:val="auto"/>
        </w:rPr>
        <w:t xml:space="preserve">Year ended December 31, 2009. </w:t>
      </w:r>
      <w:r>
        <w:rPr>
          <w:rFonts w:ascii="Arial" w:cs="Arial" w:eastAsia="Arial" w:hAnsi="Arial"/>
          <w:sz w:val="10"/>
          <w:szCs w:val="10"/>
          <w:color w:val="auto"/>
        </w:rPr>
        <w:t>For the year ending December 31, 2009, our Consolidated Statement of Operations includes the results of the LFG Underwriters, acquired December 22, 2008 (see note B of the Not es to Consolidated</w:t>
      </w:r>
      <w:r>
        <w:rPr>
          <w:rFonts w:ascii="Arial" w:cs="Arial" w:eastAsia="Arial" w:hAnsi="Arial"/>
          <w:sz w:val="10"/>
          <w:szCs w:val="10"/>
          <w:i w:val="1"/>
          <w:iCs w:val="1"/>
          <w:color w:val="auto"/>
        </w:rPr>
        <w:t xml:space="preserve"> </w:t>
      </w:r>
      <w:r>
        <w:rPr>
          <w:rFonts w:ascii="Arial" w:cs="Arial" w:eastAsia="Arial" w:hAnsi="Arial"/>
          <w:sz w:val="10"/>
          <w:szCs w:val="10"/>
          <w:color w:val="auto"/>
        </w:rPr>
        <w:t>Financial Statements). As a result of favorable claim loss development on our prior policy years, we released excess reserves of $74.4 million, or $47.1 million net of income taxes, to our provision for claim losses. In addition, we recorded an average 7.3% provision for claims losses. Also, as a result of certain court rulings, we reversed an insurance receivable by $63.2 million, or $40.0 million net of income taxes, as an increase to our provision for claim losses.</w:t>
      </w:r>
    </w:p>
    <w:p>
      <w:pPr>
        <w:spacing w:after="0" w:line="16"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i w:val="1"/>
          <w:iCs w:val="1"/>
          <w:color w:val="auto"/>
        </w:rPr>
        <w:t xml:space="preserve">Year ended December 31, 2008. </w:t>
      </w:r>
      <w:r>
        <w:rPr>
          <w:rFonts w:ascii="Arial" w:cs="Arial" w:eastAsia="Arial" w:hAnsi="Arial"/>
          <w:sz w:val="12"/>
          <w:szCs w:val="12"/>
          <w:color w:val="auto"/>
        </w:rPr>
        <w:t>As a result of a change in our actuarial model resulting, in part, from adverse claim loss development on prior policy yea rs, we recorded a charge in 2008 of $261.6 million, or $154.1 million net of</w:t>
      </w:r>
      <w:r>
        <w:rPr>
          <w:rFonts w:ascii="Arial" w:cs="Arial" w:eastAsia="Arial" w:hAnsi="Arial"/>
          <w:sz w:val="12"/>
          <w:szCs w:val="12"/>
          <w:i w:val="1"/>
          <w:iCs w:val="1"/>
          <w:color w:val="auto"/>
        </w:rPr>
        <w:t xml:space="preserve"> </w:t>
      </w:r>
      <w:r>
        <w:rPr>
          <w:rFonts w:ascii="Arial" w:cs="Arial" w:eastAsia="Arial" w:hAnsi="Arial"/>
          <w:sz w:val="12"/>
          <w:szCs w:val="12"/>
          <w:color w:val="auto"/>
        </w:rPr>
        <w:t>income taxes, to our provision for claim losses. This charge was recorded in addition to our 8.5% provision for claim losses.</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131" w:right="199" w:bottom="1440" w:gutter="0" w:footer="0" w:header="0"/>
        </w:sectPr>
      </w:pPr>
    </w:p>
    <w:bookmarkStart w:id="34" w:name="page35"/>
    <w:bookmarkEnd w:id="34"/>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Results of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Consolidated Results of Operations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 xml:space="preserve">Net earnings (loss). </w:t>
      </w:r>
      <w:r>
        <w:rPr>
          <w:rFonts w:ascii="Arial" w:cs="Arial" w:eastAsia="Arial" w:hAnsi="Arial"/>
          <w:sz w:val="12"/>
          <w:szCs w:val="12"/>
          <w:color w:val="auto"/>
        </w:rPr>
        <w:t>The following table presents certain financial data for the years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9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0"/>
                <w:szCs w:val="10"/>
                <w:b w:val="1"/>
                <w:bCs w:val="1"/>
                <w:color w:val="auto"/>
                <w:w w:val="99"/>
              </w:rPr>
              <w:t>Year Ended December 31,</w:t>
            </w:r>
          </w:p>
        </w:tc>
        <w:tc>
          <w:tcPr>
            <w:tcW w:w="4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69"/>
        </w:trPr>
        <w:tc>
          <w:tcPr>
            <w:tcW w:w="5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2010</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2009</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2008</w:t>
            </w:r>
          </w:p>
        </w:tc>
        <w:tc>
          <w:tcPr>
            <w:tcW w:w="220" w:type="dxa"/>
            <w:vAlign w:val="bottom"/>
            <w:tcBorders>
              <w:bottom w:val="single" w:sz="8" w:color="auto"/>
            </w:tcBorders>
          </w:tcPr>
          <w:p>
            <w:pPr>
              <w:spacing w:after="0"/>
              <w:rPr>
                <w:sz w:val="14"/>
                <w:szCs w:val="14"/>
                <w:color w:val="auto"/>
              </w:rPr>
            </w:pPr>
          </w:p>
        </w:tc>
      </w:tr>
      <w:tr>
        <w:trPr>
          <w:trHeight w:val="124"/>
        </w:trPr>
        <w:tc>
          <w:tcPr>
            <w:tcW w:w="5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gridSpan w:val="2"/>
          </w:tcPr>
          <w:p>
            <w:pPr>
              <w:ind w:left="300"/>
              <w:spacing w:after="0"/>
              <w:rPr>
                <w:sz w:val="20"/>
                <w:szCs w:val="20"/>
                <w:color w:val="auto"/>
              </w:rPr>
            </w:pPr>
            <w:r>
              <w:rPr>
                <w:rFonts w:ascii="Arial" w:cs="Arial" w:eastAsia="Arial" w:hAnsi="Arial"/>
                <w:sz w:val="10"/>
                <w:szCs w:val="10"/>
                <w:b w:val="1"/>
                <w:bCs w:val="1"/>
                <w:color w:val="auto"/>
              </w:rPr>
              <w:t>(Dollars in millions)</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84"/>
        </w:trPr>
        <w:tc>
          <w:tcPr>
            <w:tcW w:w="59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Revenue:</w:t>
            </w: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1"/>
        </w:trPr>
        <w:tc>
          <w:tcPr>
            <w:tcW w:w="5980" w:type="dxa"/>
            <w:vAlign w:val="bottom"/>
          </w:tcPr>
          <w:p>
            <w:pPr>
              <w:ind w:left="380"/>
              <w:spacing w:after="0"/>
              <w:rPr>
                <w:sz w:val="20"/>
                <w:szCs w:val="20"/>
                <w:color w:val="auto"/>
              </w:rPr>
            </w:pPr>
            <w:r>
              <w:rPr>
                <w:rFonts w:ascii="Arial" w:cs="Arial" w:eastAsia="Arial" w:hAnsi="Arial"/>
                <w:sz w:val="12"/>
                <w:szCs w:val="12"/>
                <w:color w:val="auto"/>
              </w:rPr>
              <w:t>Direct title insurance premiums</w:t>
            </w:r>
          </w:p>
        </w:tc>
        <w:tc>
          <w:tcPr>
            <w:tcW w:w="580" w:type="dxa"/>
            <w:vAlign w:val="bottom"/>
          </w:tcPr>
          <w:p>
            <w:pPr>
              <w:ind w:left="2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1,404.5</w:t>
            </w: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881"/>
              <w:spacing w:after="0"/>
              <w:rPr>
                <w:sz w:val="20"/>
                <w:szCs w:val="20"/>
                <w:color w:val="auto"/>
              </w:rPr>
            </w:pPr>
            <w:r>
              <w:rPr>
                <w:rFonts w:ascii="Arial" w:cs="Arial" w:eastAsia="Arial" w:hAnsi="Arial"/>
                <w:sz w:val="12"/>
                <w:szCs w:val="12"/>
                <w:color w:val="auto"/>
              </w:rPr>
              <w:t>1,475.3</w:t>
            </w:r>
          </w:p>
        </w:tc>
        <w:tc>
          <w:tcPr>
            <w:tcW w:w="300" w:type="dxa"/>
            <w:vAlign w:val="bottom"/>
          </w:tcPr>
          <w:p>
            <w:pPr>
              <w:spacing w:after="0"/>
              <w:rPr>
                <w:sz w:val="14"/>
                <w:szCs w:val="14"/>
                <w:color w:val="auto"/>
              </w:rPr>
            </w:pP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1,140.3</w:t>
            </w:r>
          </w:p>
        </w:tc>
        <w:tc>
          <w:tcPr>
            <w:tcW w:w="220" w:type="dxa"/>
            <w:vAlign w:val="bottom"/>
          </w:tcPr>
          <w:p>
            <w:pPr>
              <w:spacing w:after="0"/>
              <w:rPr>
                <w:sz w:val="14"/>
                <w:szCs w:val="14"/>
                <w:color w:val="auto"/>
              </w:rPr>
            </w:pPr>
          </w:p>
        </w:tc>
      </w:tr>
      <w:tr>
        <w:trPr>
          <w:trHeight w:val="189"/>
        </w:trPr>
        <w:tc>
          <w:tcPr>
            <w:tcW w:w="59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Agency title insurance premiums</w:t>
            </w:r>
          </w:p>
        </w:tc>
        <w:tc>
          <w:tcPr>
            <w:tcW w:w="5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2,236.7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81"/>
              <w:spacing w:after="0"/>
              <w:rPr>
                <w:sz w:val="20"/>
                <w:szCs w:val="20"/>
                <w:color w:val="auto"/>
              </w:rPr>
            </w:pPr>
            <w:r>
              <w:rPr>
                <w:rFonts w:ascii="Arial" w:cs="Arial" w:eastAsia="Arial" w:hAnsi="Arial"/>
                <w:sz w:val="12"/>
                <w:szCs w:val="12"/>
                <w:color w:val="auto"/>
              </w:rPr>
              <w:t>2,452.3</w:t>
            </w: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1,554.7</w:t>
            </w:r>
          </w:p>
        </w:tc>
        <w:tc>
          <w:tcPr>
            <w:tcW w:w="220" w:type="dxa"/>
            <w:vAlign w:val="bottom"/>
            <w:shd w:val="clear" w:color="auto" w:fill="CCEEFF"/>
          </w:tcPr>
          <w:p>
            <w:pPr>
              <w:spacing w:after="0"/>
              <w:rPr>
                <w:sz w:val="16"/>
                <w:szCs w:val="16"/>
                <w:color w:val="auto"/>
              </w:rPr>
            </w:pPr>
          </w:p>
        </w:tc>
      </w:tr>
      <w:tr>
        <w:trPr>
          <w:trHeight w:val="171"/>
        </w:trPr>
        <w:tc>
          <w:tcPr>
            <w:tcW w:w="5980" w:type="dxa"/>
            <w:vAlign w:val="bottom"/>
          </w:tcPr>
          <w:p>
            <w:pPr>
              <w:ind w:left="380"/>
              <w:spacing w:after="0"/>
              <w:rPr>
                <w:sz w:val="20"/>
                <w:szCs w:val="20"/>
                <w:color w:val="auto"/>
              </w:rPr>
            </w:pPr>
            <w:r>
              <w:rPr>
                <w:rFonts w:ascii="Arial" w:cs="Arial" w:eastAsia="Arial" w:hAnsi="Arial"/>
                <w:sz w:val="12"/>
                <w:szCs w:val="12"/>
                <w:color w:val="auto"/>
              </w:rPr>
              <w:t>Esc row, title-related and other fees</w:t>
            </w:r>
          </w:p>
        </w:tc>
        <w:tc>
          <w:tcPr>
            <w:tcW w:w="5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1,326.3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jc w:val="right"/>
              <w:ind w:right="881"/>
              <w:spacing w:after="0"/>
              <w:rPr>
                <w:sz w:val="20"/>
                <w:szCs w:val="20"/>
                <w:color w:val="auto"/>
              </w:rPr>
            </w:pPr>
            <w:r>
              <w:rPr>
                <w:rFonts w:ascii="Arial" w:cs="Arial" w:eastAsia="Arial" w:hAnsi="Arial"/>
                <w:sz w:val="12"/>
                <w:szCs w:val="12"/>
                <w:color w:val="auto"/>
              </w:rPr>
              <w:t>1,352.9</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1,071.3</w:t>
            </w:r>
          </w:p>
        </w:tc>
        <w:tc>
          <w:tcPr>
            <w:tcW w:w="220" w:type="dxa"/>
            <w:vAlign w:val="bottom"/>
          </w:tcPr>
          <w:p>
            <w:pPr>
              <w:spacing w:after="0"/>
              <w:rPr>
                <w:sz w:val="14"/>
                <w:szCs w:val="14"/>
                <w:color w:val="auto"/>
              </w:rPr>
            </w:pPr>
          </w:p>
        </w:tc>
      </w:tr>
      <w:tr>
        <w:trPr>
          <w:trHeight w:val="189"/>
        </w:trPr>
        <w:tc>
          <w:tcPr>
            <w:tcW w:w="59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Specialty insurance</w:t>
            </w:r>
          </w:p>
        </w:tc>
        <w:tc>
          <w:tcPr>
            <w:tcW w:w="5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391.6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81"/>
              <w:spacing w:after="0"/>
              <w:rPr>
                <w:sz w:val="20"/>
                <w:szCs w:val="20"/>
                <w:color w:val="auto"/>
              </w:rPr>
            </w:pPr>
            <w:r>
              <w:rPr>
                <w:rFonts w:ascii="Arial" w:cs="Arial" w:eastAsia="Arial" w:hAnsi="Arial"/>
                <w:sz w:val="12"/>
                <w:szCs w:val="12"/>
                <w:color w:val="auto"/>
              </w:rPr>
              <w:t>366.0</w:t>
            </w: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373.4</w:t>
            </w:r>
          </w:p>
        </w:tc>
        <w:tc>
          <w:tcPr>
            <w:tcW w:w="220" w:type="dxa"/>
            <w:vAlign w:val="bottom"/>
            <w:shd w:val="clear" w:color="auto" w:fill="CCEEFF"/>
          </w:tcPr>
          <w:p>
            <w:pPr>
              <w:spacing w:after="0"/>
              <w:rPr>
                <w:sz w:val="16"/>
                <w:szCs w:val="16"/>
                <w:color w:val="auto"/>
              </w:rPr>
            </w:pPr>
          </w:p>
        </w:tc>
      </w:tr>
      <w:tr>
        <w:trPr>
          <w:trHeight w:val="171"/>
        </w:trPr>
        <w:tc>
          <w:tcPr>
            <w:tcW w:w="5980" w:type="dxa"/>
            <w:vAlign w:val="bottom"/>
          </w:tcPr>
          <w:p>
            <w:pPr>
              <w:ind w:left="380"/>
              <w:spacing w:after="0"/>
              <w:rPr>
                <w:sz w:val="20"/>
                <w:szCs w:val="20"/>
                <w:color w:val="auto"/>
              </w:rPr>
            </w:pPr>
            <w:r>
              <w:rPr>
                <w:rFonts w:ascii="Arial" w:cs="Arial" w:eastAsia="Arial" w:hAnsi="Arial"/>
                <w:sz w:val="12"/>
                <w:szCs w:val="12"/>
                <w:color w:val="auto"/>
              </w:rPr>
              <w:t>Interest and investment income</w:t>
            </w:r>
          </w:p>
        </w:tc>
        <w:tc>
          <w:tcPr>
            <w:tcW w:w="5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144.5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jc w:val="right"/>
              <w:ind w:right="881"/>
              <w:spacing w:after="0"/>
              <w:rPr>
                <w:sz w:val="20"/>
                <w:szCs w:val="20"/>
                <w:color w:val="auto"/>
              </w:rPr>
            </w:pPr>
            <w:r>
              <w:rPr>
                <w:rFonts w:ascii="Arial" w:cs="Arial" w:eastAsia="Arial" w:hAnsi="Arial"/>
                <w:sz w:val="12"/>
                <w:szCs w:val="12"/>
                <w:color w:val="auto"/>
              </w:rPr>
              <w:t>154.5</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134.0</w:t>
            </w:r>
          </w:p>
        </w:tc>
        <w:tc>
          <w:tcPr>
            <w:tcW w:w="220" w:type="dxa"/>
            <w:vAlign w:val="bottom"/>
          </w:tcPr>
          <w:p>
            <w:pPr>
              <w:spacing w:after="0"/>
              <w:rPr>
                <w:sz w:val="14"/>
                <w:szCs w:val="14"/>
                <w:color w:val="auto"/>
              </w:rPr>
            </w:pPr>
          </w:p>
        </w:tc>
      </w:tr>
      <w:tr>
        <w:trPr>
          <w:trHeight w:val="180"/>
        </w:trPr>
        <w:tc>
          <w:tcPr>
            <w:tcW w:w="59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Realized gains and losses, net</w:t>
            </w:r>
          </w:p>
        </w:tc>
        <w:tc>
          <w:tcPr>
            <w:tcW w:w="5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236.7</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2"/>
                <w:szCs w:val="12"/>
                <w:color w:val="auto"/>
              </w:rPr>
              <w:t>27.4</w:t>
            </w:r>
          </w:p>
        </w:tc>
        <w:tc>
          <w:tcPr>
            <w:tcW w:w="3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9"/>
        </w:trPr>
        <w:tc>
          <w:tcPr>
            <w:tcW w:w="59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revenue</w:t>
            </w: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5,740.3</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81"/>
              <w:spacing w:after="0"/>
              <w:rPr>
                <w:sz w:val="20"/>
                <w:szCs w:val="20"/>
                <w:color w:val="auto"/>
              </w:rPr>
            </w:pPr>
            <w:r>
              <w:rPr>
                <w:rFonts w:ascii="Arial" w:cs="Arial" w:eastAsia="Arial" w:hAnsi="Arial"/>
                <w:sz w:val="12"/>
                <w:szCs w:val="12"/>
                <w:color w:val="auto"/>
              </w:rPr>
              <w:t>5,828.4</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4,251.2</w:t>
            </w:r>
          </w:p>
        </w:tc>
        <w:tc>
          <w:tcPr>
            <w:tcW w:w="220" w:type="dxa"/>
            <w:vAlign w:val="bottom"/>
            <w:tcBorders>
              <w:bottom w:val="single" w:sz="8" w:color="auto"/>
            </w:tcBorders>
          </w:tcPr>
          <w:p>
            <w:pPr>
              <w:spacing w:after="0"/>
              <w:rPr>
                <w:sz w:val="14"/>
                <w:szCs w:val="14"/>
                <w:color w:val="auto"/>
              </w:rPr>
            </w:pPr>
          </w:p>
        </w:tc>
      </w:tr>
      <w:tr>
        <w:trPr>
          <w:trHeight w:val="178"/>
        </w:trPr>
        <w:tc>
          <w:tcPr>
            <w:tcW w:w="59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Expenses:</w:t>
            </w: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17"/>
        </w:trPr>
        <w:tc>
          <w:tcPr>
            <w:tcW w:w="5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jc w:val="right"/>
              <w:spacing w:after="0" w:line="117" w:lineRule="exact"/>
              <w:rPr>
                <w:sz w:val="20"/>
                <w:szCs w:val="20"/>
                <w:color w:val="auto"/>
              </w:rPr>
            </w:pPr>
            <w:r>
              <w:rPr>
                <w:rFonts w:ascii="Arial" w:cs="Arial" w:eastAsia="Arial" w:hAnsi="Arial"/>
                <w:sz w:val="12"/>
                <w:szCs w:val="12"/>
                <w:color w:val="auto"/>
              </w:rPr>
              <w:t>&lt;</w:t>
            </w:r>
          </w:p>
        </w:tc>
      </w:tr>
      <w:tr>
        <w:trPr>
          <w:trHeight w:val="171"/>
        </w:trPr>
        <w:tc>
          <w:tcPr>
            <w:tcW w:w="5980" w:type="dxa"/>
            <w:vAlign w:val="bottom"/>
          </w:tcPr>
          <w:p>
            <w:pPr>
              <w:ind w:left="380"/>
              <w:spacing w:after="0"/>
              <w:rPr>
                <w:sz w:val="20"/>
                <w:szCs w:val="20"/>
                <w:color w:val="auto"/>
              </w:rPr>
            </w:pPr>
            <w:r>
              <w:rPr>
                <w:rFonts w:ascii="Arial" w:cs="Arial" w:eastAsia="Arial" w:hAnsi="Arial"/>
                <w:sz w:val="12"/>
                <w:szCs w:val="12"/>
                <w:color w:val="auto"/>
              </w:rPr>
              <w:t>Personnel costs</w:t>
            </w:r>
          </w:p>
        </w:tc>
        <w:tc>
          <w:tcPr>
            <w:tcW w:w="5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1,610.1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jc w:val="right"/>
              <w:ind w:right="881"/>
              <w:spacing w:after="0"/>
              <w:rPr>
                <w:sz w:val="20"/>
                <w:szCs w:val="20"/>
                <w:color w:val="auto"/>
              </w:rPr>
            </w:pPr>
            <w:r>
              <w:rPr>
                <w:rFonts w:ascii="Arial" w:cs="Arial" w:eastAsia="Arial" w:hAnsi="Arial"/>
                <w:sz w:val="12"/>
                <w:szCs w:val="12"/>
                <w:color w:val="auto"/>
              </w:rPr>
              <w:t>1,649.8</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1,322.0/div&gt;</w:t>
            </w:r>
          </w:p>
        </w:tc>
      </w:tr>
      <w:tr>
        <w:trPr>
          <w:trHeight w:val="180"/>
        </w:trPr>
        <w:tc>
          <w:tcPr>
            <w:tcW w:w="59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operating expenses</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1,269.6</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881"/>
              <w:spacing w:after="0"/>
              <w:rPr>
                <w:sz w:val="20"/>
                <w:szCs w:val="20"/>
                <w:color w:val="auto"/>
              </w:rPr>
            </w:pPr>
            <w:r>
              <w:rPr>
                <w:rFonts w:ascii="Arial" w:cs="Arial" w:eastAsia="Arial" w:hAnsi="Arial"/>
                <w:sz w:val="12"/>
                <w:szCs w:val="12"/>
                <w:color w:val="auto"/>
              </w:rPr>
              <w:t>1,343.5</w:t>
            </w: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1,179.8</w:t>
            </w:r>
          </w:p>
        </w:tc>
        <w:tc>
          <w:tcPr>
            <w:tcW w:w="220" w:type="dxa"/>
            <w:vAlign w:val="bottom"/>
            <w:shd w:val="clear" w:color="auto" w:fill="CCEEFF"/>
          </w:tcPr>
          <w:p>
            <w:pPr>
              <w:spacing w:after="0"/>
              <w:rPr>
                <w:sz w:val="15"/>
                <w:szCs w:val="15"/>
                <w:color w:val="auto"/>
              </w:rPr>
            </w:pPr>
          </w:p>
        </w:tc>
      </w:tr>
      <w:tr>
        <w:trPr>
          <w:trHeight w:val="171"/>
        </w:trPr>
        <w:tc>
          <w:tcPr>
            <w:tcW w:w="5980" w:type="dxa"/>
            <w:vAlign w:val="bottom"/>
          </w:tcPr>
          <w:p>
            <w:pPr>
              <w:ind w:left="380"/>
              <w:spacing w:after="0"/>
              <w:rPr>
                <w:sz w:val="20"/>
                <w:szCs w:val="20"/>
                <w:color w:val="auto"/>
              </w:rPr>
            </w:pPr>
            <w:r>
              <w:rPr>
                <w:rFonts w:ascii="Arial" w:cs="Arial" w:eastAsia="Arial" w:hAnsi="Arial"/>
                <w:sz w:val="12"/>
                <w:szCs w:val="12"/>
                <w:color w:val="auto"/>
              </w:rPr>
              <w:t>Agent commissions</w:t>
            </w:r>
          </w:p>
        </w:tc>
        <w:tc>
          <w:tcPr>
            <w:tcW w:w="5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1,758.7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jc w:val="right"/>
              <w:ind w:right="881"/>
              <w:spacing w:after="0"/>
              <w:rPr>
                <w:sz w:val="20"/>
                <w:szCs w:val="20"/>
                <w:color w:val="auto"/>
              </w:rPr>
            </w:pPr>
            <w:r>
              <w:rPr>
                <w:rFonts w:ascii="Arial" w:cs="Arial" w:eastAsia="Arial" w:hAnsi="Arial"/>
                <w:sz w:val="12"/>
                <w:szCs w:val="12"/>
                <w:color w:val="auto"/>
              </w:rPr>
              <w:t>1,951.7</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1,218.0</w:t>
            </w:r>
          </w:p>
        </w:tc>
        <w:tc>
          <w:tcPr>
            <w:tcW w:w="220" w:type="dxa"/>
            <w:vAlign w:val="bottom"/>
          </w:tcPr>
          <w:p>
            <w:pPr>
              <w:spacing w:after="0"/>
              <w:rPr>
                <w:sz w:val="14"/>
                <w:szCs w:val="14"/>
                <w:color w:val="auto"/>
              </w:rPr>
            </w:pPr>
          </w:p>
        </w:tc>
      </w:tr>
      <w:tr>
        <w:trPr>
          <w:trHeight w:val="189"/>
        </w:trPr>
        <w:tc>
          <w:tcPr>
            <w:tcW w:w="59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Depreciation and amortization</w:t>
            </w:r>
          </w:p>
        </w:tc>
        <w:tc>
          <w:tcPr>
            <w:tcW w:w="5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81"/>
              <w:spacing w:after="0"/>
              <w:rPr>
                <w:sz w:val="20"/>
                <w:szCs w:val="20"/>
                <w:color w:val="auto"/>
              </w:rPr>
            </w:pPr>
            <w:r>
              <w:rPr>
                <w:rFonts w:ascii="Arial" w:cs="Arial" w:eastAsia="Arial" w:hAnsi="Arial"/>
                <w:sz w:val="12"/>
                <w:szCs w:val="12"/>
                <w:color w:val="auto"/>
              </w:rPr>
              <w:t>109.2</w:t>
            </w: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122.1</w:t>
            </w:r>
          </w:p>
        </w:tc>
        <w:tc>
          <w:tcPr>
            <w:tcW w:w="220" w:type="dxa"/>
            <w:vAlign w:val="bottom"/>
            <w:shd w:val="clear" w:color="auto" w:fill="CCEEFF"/>
          </w:tcPr>
          <w:p>
            <w:pPr>
              <w:spacing w:after="0"/>
              <w:rPr>
                <w:sz w:val="16"/>
                <w:szCs w:val="16"/>
                <w:color w:val="auto"/>
              </w:rPr>
            </w:pPr>
          </w:p>
        </w:tc>
      </w:tr>
      <w:tr>
        <w:trPr>
          <w:trHeight w:val="171"/>
        </w:trPr>
        <w:tc>
          <w:tcPr>
            <w:tcW w:w="5980" w:type="dxa"/>
            <w:vAlign w:val="bottom"/>
          </w:tcPr>
          <w:p>
            <w:pPr>
              <w:ind w:left="380"/>
              <w:spacing w:after="0"/>
              <w:rPr>
                <w:sz w:val="20"/>
                <w:szCs w:val="20"/>
                <w:color w:val="auto"/>
              </w:rPr>
            </w:pPr>
            <w:r>
              <w:rPr>
                <w:rFonts w:ascii="Arial" w:cs="Arial" w:eastAsia="Arial" w:hAnsi="Arial"/>
                <w:sz w:val="12"/>
                <w:szCs w:val="12"/>
                <w:color w:val="auto"/>
              </w:rPr>
              <w:t>Provision for claim losses</w:t>
            </w:r>
          </w:p>
        </w:tc>
        <w:tc>
          <w:tcPr>
            <w:tcW w:w="580" w:type="dxa"/>
            <w:vAlign w:val="bottom"/>
          </w:tcPr>
          <w:p>
            <w:pPr>
              <w:ind w:left="240"/>
              <w:spacing w:after="0"/>
              <w:rPr>
                <w:sz w:val="20"/>
                <w:szCs w:val="20"/>
                <w:color w:val="auto"/>
              </w:rPr>
            </w:pPr>
            <w:r>
              <w:rPr>
                <w:rFonts w:ascii="Arial" w:cs="Arial" w:eastAsia="Arial" w:hAnsi="Arial"/>
                <w:sz w:val="12"/>
                <w:szCs w:val="12"/>
                <w:color w:val="auto"/>
              </w:rPr>
              <w:t>402.9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jc w:val="right"/>
              <w:ind w:right="881"/>
              <w:spacing w:after="0"/>
              <w:rPr>
                <w:sz w:val="20"/>
                <w:szCs w:val="20"/>
                <w:color w:val="auto"/>
              </w:rPr>
            </w:pPr>
            <w:r>
              <w:rPr>
                <w:rFonts w:ascii="Arial" w:cs="Arial" w:eastAsia="Arial" w:hAnsi="Arial"/>
                <w:sz w:val="12"/>
                <w:szCs w:val="12"/>
                <w:color w:val="auto"/>
              </w:rPr>
              <w:t>392.6</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630.4</w:t>
            </w:r>
          </w:p>
        </w:tc>
        <w:tc>
          <w:tcPr>
            <w:tcW w:w="220" w:type="dxa"/>
            <w:vAlign w:val="bottom"/>
          </w:tcPr>
          <w:p>
            <w:pPr>
              <w:spacing w:after="0"/>
              <w:rPr>
                <w:sz w:val="14"/>
                <w:szCs w:val="14"/>
                <w:color w:val="auto"/>
              </w:rPr>
            </w:pPr>
          </w:p>
        </w:tc>
      </w:tr>
      <w:tr>
        <w:trPr>
          <w:trHeight w:val="180"/>
        </w:trPr>
        <w:tc>
          <w:tcPr>
            <w:tcW w:w="59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Interest expense</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46.2</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881"/>
              <w:spacing w:after="0"/>
              <w:rPr>
                <w:sz w:val="20"/>
                <w:szCs w:val="20"/>
                <w:color w:val="auto"/>
              </w:rPr>
            </w:pPr>
            <w:r>
              <w:rPr>
                <w:rFonts w:ascii="Arial" w:cs="Arial" w:eastAsia="Arial" w:hAnsi="Arial"/>
                <w:sz w:val="12"/>
                <w:szCs w:val="12"/>
                <w:color w:val="auto"/>
              </w:rPr>
              <w:t>36.7</w:t>
            </w: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58.6</w:t>
            </w:r>
          </w:p>
        </w:tc>
        <w:tc>
          <w:tcPr>
            <w:tcW w:w="220" w:type="dxa"/>
            <w:vAlign w:val="bottom"/>
            <w:shd w:val="clear" w:color="auto" w:fill="CCEEFF"/>
          </w:tcPr>
          <w:p>
            <w:pPr>
              <w:spacing w:after="0"/>
              <w:rPr>
                <w:sz w:val="15"/>
                <w:szCs w:val="15"/>
                <w:color w:val="auto"/>
              </w:rPr>
            </w:pPr>
          </w:p>
        </w:tc>
      </w:tr>
      <w:tr>
        <w:trPr>
          <w:trHeight w:val="20"/>
        </w:trPr>
        <w:tc>
          <w:tcPr>
            <w:tcW w:w="5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169"/>
        </w:trPr>
        <w:tc>
          <w:tcPr>
            <w:tcW w:w="59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expenses</w:t>
            </w: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5,177.9</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81"/>
              <w:spacing w:after="0"/>
              <w:rPr>
                <w:sz w:val="20"/>
                <w:szCs w:val="20"/>
                <w:color w:val="auto"/>
              </w:rPr>
            </w:pPr>
            <w:r>
              <w:rPr>
                <w:rFonts w:ascii="Arial" w:cs="Arial" w:eastAsia="Arial" w:hAnsi="Arial"/>
                <w:sz w:val="12"/>
                <w:szCs w:val="12"/>
                <w:color w:val="auto"/>
              </w:rPr>
              <w:t>5,483.5</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4,530.9</w:t>
            </w:r>
          </w:p>
        </w:tc>
        <w:tc>
          <w:tcPr>
            <w:tcW w:w="220" w:type="dxa"/>
            <w:vAlign w:val="bottom"/>
            <w:tcBorders>
              <w:bottom w:val="single" w:sz="8" w:color="auto"/>
            </w:tcBorders>
          </w:tcPr>
          <w:p>
            <w:pPr>
              <w:spacing w:after="0"/>
              <w:rPr>
                <w:sz w:val="14"/>
                <w:szCs w:val="14"/>
                <w:color w:val="auto"/>
              </w:rPr>
            </w:pPr>
          </w:p>
        </w:tc>
      </w:tr>
      <w:tr>
        <w:trPr>
          <w:trHeight w:val="178"/>
        </w:trPr>
        <w:tc>
          <w:tcPr>
            <w:tcW w:w="5980" w:type="dxa"/>
            <w:vAlign w:val="bottom"/>
            <w:shd w:val="clear" w:color="auto" w:fill="CCEEFF"/>
          </w:tcPr>
          <w:p>
            <w:pPr>
              <w:ind w:left="220"/>
              <w:spacing w:after="0"/>
              <w:rPr>
                <w:sz w:val="20"/>
                <w:szCs w:val="20"/>
                <w:color w:val="auto"/>
              </w:rPr>
            </w:pPr>
            <w:r>
              <w:rPr>
                <w:rFonts w:ascii="Arial" w:cs="Arial" w:eastAsia="Arial" w:hAnsi="Arial"/>
                <w:sz w:val="12"/>
                <w:szCs w:val="12"/>
                <w:color w:val="auto"/>
                <w:w w:val="99"/>
              </w:rPr>
              <w:t>Earnings (loss) from continuing operations before income taxes and equity in loss of unconsolidated affiliates</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562.4</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881"/>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(279.7</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980" w:type="dxa"/>
            <w:vAlign w:val="bottom"/>
          </w:tcPr>
          <w:p>
            <w:pPr>
              <w:ind w:left="220"/>
              <w:spacing w:after="0"/>
              <w:rPr>
                <w:sz w:val="20"/>
                <w:szCs w:val="20"/>
                <w:color w:val="auto"/>
              </w:rPr>
            </w:pPr>
            <w:r>
              <w:rPr>
                <w:rFonts w:ascii="Arial" w:cs="Arial" w:eastAsia="Arial" w:hAnsi="Arial"/>
                <w:sz w:val="12"/>
                <w:szCs w:val="12"/>
                <w:color w:val="auto"/>
              </w:rPr>
              <w:t>Income tax expense (benefit)</w:t>
            </w:r>
          </w:p>
        </w:tc>
        <w:tc>
          <w:tcPr>
            <w:tcW w:w="5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185.6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jc w:val="right"/>
              <w:ind w:right="881"/>
              <w:spacing w:after="0"/>
              <w:rPr>
                <w:sz w:val="20"/>
                <w:szCs w:val="20"/>
                <w:color w:val="auto"/>
              </w:rPr>
            </w:pPr>
            <w:r>
              <w:rPr>
                <w:rFonts w:ascii="Arial" w:cs="Arial" w:eastAsia="Arial" w:hAnsi="Arial"/>
                <w:sz w:val="12"/>
                <w:szCs w:val="12"/>
                <w:color w:val="auto"/>
              </w:rPr>
              <w:t>106.8</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(119.9</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5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&lt; font</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44"/>
        </w:trPr>
        <w:tc>
          <w:tcPr>
            <w:tcW w:w="5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style="font-</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4"/>
        </w:trPr>
        <w:tc>
          <w:tcPr>
            <w:tcW w:w="5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family:inherit;font-</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2"/>
        </w:trPr>
        <w:tc>
          <w:tcPr>
            <w:tcW w:w="59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Equity in loss of unconsolidated affiliates</w:t>
            </w:r>
          </w:p>
        </w:tc>
        <w:tc>
          <w:tcPr>
            <w:tcW w:w="5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2"/>
                <w:szCs w:val="12"/>
                <w:color w:val="auto"/>
              </w:rPr>
              <w:t>(11.7size:10pt;"&gt;)</w:t>
            </w:r>
          </w:p>
        </w:tc>
        <w:tc>
          <w:tcPr>
            <w:tcW w:w="3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5980" w:type="dxa"/>
            <w:vAlign w:val="bottom"/>
          </w:tcPr>
          <w:p>
            <w:pPr>
              <w:ind w:left="220"/>
              <w:spacing w:after="0"/>
              <w:rPr>
                <w:sz w:val="20"/>
                <w:szCs w:val="20"/>
                <w:color w:val="auto"/>
              </w:rPr>
            </w:pPr>
            <w:r>
              <w:rPr>
                <w:rFonts w:ascii="Arial" w:cs="Arial" w:eastAsia="Arial" w:hAnsi="Arial"/>
                <w:sz w:val="12"/>
                <w:szCs w:val="12"/>
                <w:color w:val="auto"/>
              </w:rPr>
              <w:t>Net earnings (loss) from continuing operations</w:t>
            </w:r>
          </w:p>
        </w:tc>
        <w:tc>
          <w:tcPr>
            <w:tcW w:w="580" w:type="dxa"/>
            <w:vAlign w:val="bottom"/>
          </w:tcPr>
          <w:p>
            <w:pPr>
              <w:ind w:left="2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375.6</w:t>
            </w:r>
          </w:p>
        </w:tc>
        <w:tc>
          <w:tcPr>
            <w:tcW w:w="1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881"/>
              <w:spacing w:after="0"/>
              <w:rPr>
                <w:sz w:val="20"/>
                <w:szCs w:val="20"/>
                <w:color w:val="auto"/>
              </w:rPr>
            </w:pPr>
            <w:r>
              <w:rPr>
                <w:rFonts w:ascii="Arial" w:cs="Arial" w:eastAsia="Arial" w:hAnsi="Arial"/>
                <w:sz w:val="12"/>
                <w:szCs w:val="12"/>
                <w:color w:val="auto"/>
              </w:rPr>
              <w:t>226.4</w:t>
            </w:r>
          </w:p>
        </w:tc>
        <w:tc>
          <w:tcPr>
            <w:tcW w:w="300" w:type="dxa"/>
            <w:vAlign w:val="bottom"/>
          </w:tcPr>
          <w:p>
            <w:pPr>
              <w:spacing w:after="0"/>
              <w:rPr>
                <w:sz w:val="16"/>
                <w:szCs w:val="16"/>
                <w:color w:val="auto"/>
              </w:rPr>
            </w:pP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(173.2</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59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Orders opened by direct title operations</w:t>
            </w:r>
          </w:p>
        </w:tc>
        <w:tc>
          <w:tcPr>
            <w:tcW w:w="5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2,385,300</w:t>
            </w: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ind w:right="881"/>
              <w:spacing w:after="0"/>
              <w:rPr>
                <w:sz w:val="20"/>
                <w:szCs w:val="20"/>
                <w:color w:val="auto"/>
              </w:rPr>
            </w:pPr>
            <w:r>
              <w:rPr>
                <w:rFonts w:ascii="Arial" w:cs="Arial" w:eastAsia="Arial" w:hAnsi="Arial"/>
                <w:sz w:val="12"/>
                <w:szCs w:val="12"/>
                <w:color w:val="auto"/>
              </w:rPr>
              <w:t>2,611,400</w:t>
            </w: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1,860,400</w:t>
            </w:r>
          </w:p>
        </w:tc>
        <w:tc>
          <w:tcPr>
            <w:tcW w:w="220" w:type="dxa"/>
            <w:vAlign w:val="bottom"/>
            <w:tcBorders>
              <w:top w:val="single" w:sz="8" w:color="auto"/>
            </w:tcBorders>
            <w:shd w:val="clear" w:color="auto" w:fill="CCEEFF"/>
          </w:tcPr>
          <w:p>
            <w:pPr>
              <w:spacing w:after="0"/>
              <w:rPr>
                <w:sz w:val="15"/>
                <w:szCs w:val="15"/>
                <w:color w:val="auto"/>
              </w:rPr>
            </w:pPr>
          </w:p>
        </w:tc>
      </w:tr>
      <w:tr>
        <w:trPr>
          <w:trHeight w:val="162"/>
        </w:trPr>
        <w:tc>
          <w:tcPr>
            <w:tcW w:w="5980" w:type="dxa"/>
            <w:vAlign w:val="bottom"/>
          </w:tcPr>
          <w:p>
            <w:pPr>
              <w:ind w:left="220"/>
              <w:spacing w:after="0"/>
              <w:rPr>
                <w:sz w:val="20"/>
                <w:szCs w:val="20"/>
                <w:color w:val="auto"/>
              </w:rPr>
            </w:pPr>
            <w:r>
              <w:rPr>
                <w:rFonts w:ascii="Arial" w:cs="Arial" w:eastAsia="Arial" w:hAnsi="Arial"/>
                <w:sz w:val="12"/>
                <w:szCs w:val="12"/>
                <w:color w:val="auto"/>
              </w:rPr>
              <w:t>Orders closed by direct title operations</w:t>
            </w:r>
          </w:p>
        </w:tc>
        <w:tc>
          <w:tcPr>
            <w:tcW w:w="5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1,574,300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jc w:val="right"/>
              <w:ind w:right="881"/>
              <w:spacing w:after="0"/>
              <w:rPr>
                <w:sz w:val="20"/>
                <w:szCs w:val="20"/>
                <w:color w:val="auto"/>
              </w:rPr>
            </w:pPr>
            <w:r>
              <w:rPr>
                <w:rFonts w:ascii="Arial" w:cs="Arial" w:eastAsia="Arial" w:hAnsi="Arial"/>
                <w:sz w:val="12"/>
                <w:szCs w:val="12"/>
                <w:color w:val="auto"/>
              </w:rPr>
              <w:t>1,792,000</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1,121,200</w:t>
            </w:r>
          </w:p>
        </w:tc>
        <w:tc>
          <w:tcPr>
            <w:tcW w:w="220" w:type="dxa"/>
            <w:vAlign w:val="bottom"/>
          </w:tcPr>
          <w:p>
            <w:pPr>
              <w:spacing w:after="0"/>
              <w:rPr>
                <w:sz w:val="14"/>
                <w:szCs w:val="14"/>
                <w:color w:val="auto"/>
              </w:rPr>
            </w:pPr>
          </w:p>
        </w:tc>
      </w:tr>
    </w:tbl>
    <w:p>
      <w:pPr>
        <w:spacing w:after="0" w:line="117"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Revenues.</w:t>
      </w:r>
    </w:p>
    <w:p>
      <w:pPr>
        <w:spacing w:after="0" w:line="114"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Total revenue in 2010 decreased $88.1 million compared to 2009, reflecting a decrease in the Fidelity National Title Group segment, offset by increases in the specialty insurance segment and the corporate and other segment. Total revenue in 2009 increased $1,577.2 million compared to 2008, reflecting increases in the Fidelity National Title Group segment and the corporate and other segment, partially offset by a decrease in the specialty insurance segment.</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the percentages of title insurance premiums generated by our direct and agency operations: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5"/>
          </w:tcPr>
          <w:p>
            <w:pPr>
              <w:jc w:val="center"/>
              <w:ind w:left="387"/>
              <w:spacing w:after="0"/>
              <w:rPr>
                <w:sz w:val="20"/>
                <w:szCs w:val="20"/>
                <w:color w:val="auto"/>
              </w:rPr>
            </w:pPr>
            <w:r>
              <w:rPr>
                <w:rFonts w:ascii="Arial" w:cs="Arial" w:eastAsia="Arial" w:hAnsi="Arial"/>
                <w:sz w:val="10"/>
                <w:szCs w:val="10"/>
                <w:b w:val="1"/>
                <w:bCs w:val="1"/>
                <w:color w:val="auto"/>
                <w:w w:val="86"/>
              </w:rPr>
              <w:t>Year Ended December 31,</w:t>
            </w: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169"/>
        </w:trPr>
        <w:tc>
          <w:tcPr>
            <w:tcW w:w="2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6"/>
              <w:spacing w:after="0"/>
              <w:rPr>
                <w:sz w:val="20"/>
                <w:szCs w:val="20"/>
                <w:color w:val="auto"/>
              </w:rPr>
            </w:pPr>
            <w:r>
              <w:rPr>
                <w:rFonts w:ascii="Arial" w:cs="Arial" w:eastAsia="Arial" w:hAnsi="Arial"/>
                <w:sz w:val="10"/>
                <w:szCs w:val="10"/>
                <w:b w:val="1"/>
                <w:bCs w:val="1"/>
                <w:color w:val="auto"/>
              </w:rPr>
              <w:t>2010</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2009</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rPr>
              <w:t>2008</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r>
      <w:tr>
        <w:trPr>
          <w:trHeight w:val="169"/>
        </w:trPr>
        <w:tc>
          <w:tcPr>
            <w:tcW w:w="2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Amount</w:t>
            </w: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Amount</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spacing w:after="0"/>
              <w:rPr>
                <w:sz w:val="14"/>
                <w:szCs w:val="14"/>
                <w:color w:val="auto"/>
              </w:rPr>
            </w:pPr>
          </w:p>
        </w:tc>
      </w:tr>
      <w:tr>
        <w:trPr>
          <w:trHeight w:val="124"/>
        </w:trPr>
        <w:tc>
          <w:tcPr>
            <w:tcW w:w="2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(Dollars in millions)</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84"/>
        </w:trPr>
        <w:tc>
          <w:tcPr>
            <w:tcW w:w="2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Direct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1,404.5</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2"/>
                <w:szCs w:val="12"/>
                <w:color w:val="auto"/>
                <w:w w:val="76"/>
              </w:rPr>
              <w:t>38.6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1,475.3</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37.6</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1,140.3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42.3</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206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Agency</w:t>
            </w: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2,236.7</w:t>
            </w: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color w:val="auto"/>
              </w:rPr>
              <w:t>61.4</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2,452.3</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62.4</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1,554.7</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57.7</w:t>
            </w:r>
          </w:p>
        </w:tc>
        <w:tc>
          <w:tcPr>
            <w:tcW w:w="240" w:type="dxa"/>
            <w:vAlign w:val="bottom"/>
            <w:tcBorders>
              <w:bottom w:val="single" w:sz="8" w:color="auto"/>
            </w:tcBorders>
          </w:tcPr>
          <w:p>
            <w:pPr>
              <w:spacing w:after="0"/>
              <w:rPr>
                <w:sz w:val="14"/>
                <w:szCs w:val="14"/>
                <w:color w:val="auto"/>
              </w:rPr>
            </w:pPr>
          </w:p>
        </w:tc>
      </w:tr>
      <w:tr>
        <w:trPr>
          <w:trHeight w:val="185"/>
        </w:trPr>
        <w:tc>
          <w:tcPr>
            <w:tcW w:w="2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title insurance premiums</w:t>
            </w:r>
          </w:p>
        </w:tc>
        <w:tc>
          <w:tcPr>
            <w:tcW w:w="4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3,641.2</w:t>
            </w:r>
          </w:p>
        </w:tc>
        <w:tc>
          <w:tcPr>
            <w:tcW w:w="3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6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3,927.6</w:t>
            </w:r>
          </w:p>
        </w:tc>
        <w:tc>
          <w:tcPr>
            <w:tcW w:w="6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2,695.0</w:t>
            </w:r>
          </w:p>
        </w:tc>
        <w:tc>
          <w:tcPr>
            <w:tcW w:w="6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5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bl>
    <w:p>
      <w:pPr>
        <w:spacing w:after="0" w:line="9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2010, the proportion of agency premiums to direct premiums decreased slightly, with agency premiums comprising 61.4% of total premiums in 2010, compared with 62.4% in 2009. In 2009 the proportion of agency premiums to direct premiums increased to 62.4% of total premiums, compared with 57.7% in 2008. The mix of agency premiums as a percentage of total title insurance premiums increased in 2009 due to the acquisition of the LFG Underwriters in December 2008, which historically had a higher</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131" w:right="199" w:bottom="1440" w:gutter="0" w:footer="0" w:header="0"/>
        </w:sectPr>
      </w:pPr>
    </w:p>
    <w:bookmarkStart w:id="35" w:name="page36"/>
    <w:bookmarkEnd w:id="35"/>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percentage of agency business.</w:t>
      </w:r>
    </w:p>
    <w:p>
      <w:pPr>
        <w:spacing w:after="0" w:line="114"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The decrease in title premiums from direct operations in 2010 is due primarily to a decrease in closed order volumes that was partially offset by an increase in fee per file. Closed order volumes were 1,574,300 and 1,792,000 in the years ending 2010 and 2009, respectively. The average fee per file in our direct operations was $1,387 and $1,248 in the years ending 2010 and 2009, respectively, with the increase reflecting a higher volume of purchase transactions relative to refinance transactions, increases in title insurance rates across 26 states, and a modest increase in commercial transactions, partially offset by declines in home values, particularly in California, Arizona, Florida, and Nevada. The fee per file tends to change as the mix of refinance and purchase transactions changes, because purchase transactions generally involve the issuance of both a lender’s policy and an owner’s policy, resulting in higher fees, whereas refinance transactions typically only require a lender’s policy, resulting in lower fees. The fee per file will also increase as the proportion of commercial orders increases. The increase in title premiums from direct operations in 2009 compared to 2008 was due to our acquisition of the LFG Underwriters and increases in closed order volumes, which were partially offset by decreases in average fee per file. Excluding the operations of the LFG Underwriters in 2009, direct title premiums increased $78.1 million, or 6.8%, in 2009 compared to 2008. Excluding the operations of LFG Underwriters in 2009, closed order volumes in our direct operations were approximately 1,507,800 in 2009 and 1,121,200 in 2008. Increases in 2009 reflect increases in refinance transactions as mortgage rates remained at h istoric lows during the year. Mortgage interest rates in 2009 were significantly lower than in 2008 due to the introduction of government programs designed to provide liquidity to the home mortgage market. Average mortgage interest rates decreased substantially at the end of 2008 as the government introduced programs intended to increase liquidity in the mortgage markets. The average fee per file in our direct operations, excluding the operations of the LFG Underwriters in 2009, was $1,236 and $1,503 for the years ended December 31, 2009 and 2008, respectively. The decrease in 2009 reflects declines in home values, a slow commercial market, and an increase in refinance transactions relative to purchase transactions.</w:t>
      </w:r>
    </w:p>
    <w:p>
      <w:pPr>
        <w:spacing w:after="0" w:line="11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decrease in agency premiums in 2010 is prim arily the result of a decrease in remitted and accrued agency premiums that is consistent with the decrease in direct title premiums. Contributing to the decrease in remitted premiums is a significant decrease in business from our largest agent in 2010 as compared to 2009. The increase in agency premiums in 2009 was primarily due to our acquisition of the LFG Underwriters and high remittances compared to prior years. Excluding the title premiums generated by the LFG Underwriters in 2009, agency title premiums increased $144.5 million, or 9.3%, in 2009 compared to 2008. The increase in 2009 was primarily due to increased remittances and accrued agency premiums that were consistent with the increases in direct title premiums, partially offset by reductions in agency relationships.</w:t>
      </w:r>
    </w:p>
    <w:p>
      <w:pPr>
        <w:spacing w:after="0" w:line="8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Escrow, title-related and other fees decreased $26.6 million, or 2.0%, in 2010 compared to 2009 and increased $281.6 million, or 26.3% in 2009 compared to 2008. In the Fidelity National Title Group segment, escrow fees, which are more directly related to our direct operations, decreased $21.7 million, or 3.8%, in 2010 compared to 2009 due to the decrease in residential transactions. Other fees in the Fidelity National Title Group segment, excluding escrow fees, decreased $25.9 million, or 3.4%, in 2010 compared to 2009 primarily due to a decrease in revenues from a division of our business that manages real estate owned by financial institutions. In the corpo rate and other segment, other fees increased $21.0 million or 59.0% in 2010 compared to 2009 primarily due to the sale of a parcel of land and timber at our majority owned affiliate Cascade Timberlands as well as an increase in revenue from an affiliate which provides realtor services. The increase of escrow, title-related and other fees in 2009 is primarily due to the acquisition of the LFG Underwriters. Excluding the LFG Underwriters, escrow, title-related and other fees from title operations increased $133.2 million, or 12.9% in 2009 compared to 2008. Excluding the LFG Underwriters, escrow fees in the title segment increased $78.1 million or 7.6% in 2009 compared to 2008. The percentage increase in escr ow fees was greater than the percentage increase in direct premiums primarily as a result of an increase in residential direct title premiums, for which escrow fees are proportionately higher, and a decrease in commercial direct title premiums, for which escrow fees are proportionately lower. Other fees in the title segment increased $55.1 million or 8.8% for the year ended December 31, 2009 due to an increase in the division of our business that manages real estate owned by financial institutions as well as recent acquisitions.</w:t>
      </w:r>
    </w:p>
    <w:p>
      <w:pPr>
        <w:spacing w:after="0" w:line="96"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Interest and investment income levels are primarily a function of securities markets, interest rates and the amount of cash available for investment. Int erest and investment income was $144.5 million, $154.5 million, and $134.0 million for the years ended December 31, 2010, 2009, and 2008, respectively. Average invested assets were $3,928.7 million, $3,972.1 million, and $3,095.5 million for the years ended December 31, 2010, 2009, and 2008, respectively. Effective return on average invested assets, excluding realized gains and losses, was 4.3%, 4.7%, and 4.9% for the years ended December 31, 2010, 2009, and 200 8, respectively.</w:t>
      </w:r>
    </w:p>
    <w:p>
      <w:pPr>
        <w:spacing w:after="0" w:line="69"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Net realized gains (losses) were $236.7 million, $27.4 million, and $(22.5) million for the years ended December 31, 2010, 2009, and 2008, respectively. The net realized gain for the year ended December 31, 2010, includes a $98.4 million gain on the sale of our 32% interest in Sedgwick in May 2010, a $27.2 million gain on the sale of a corporate bond purchased during 2009, a $21.7 million gain on the sale of FIS stock as part of a tender offer, $11.4 million in gains resulting from an increase in the value of our structured notes, and $62.4 million in gains from the sale of other various fixed maturity securities. The net realized gain for the year ended December 31, 2009, included impairment charges totaling $6.9 million on equity securities that were deemed to be other-than-temporarily impaired, net realized gains on sales of investments of $22.8 million, and net gains on sales of other</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131" w:right="199" w:bottom="1440" w:gutter="0" w:footer="0" w:header="0"/>
        </w:sectPr>
      </w:pPr>
    </w:p>
    <w:bookmarkStart w:id="36" w:name="page37"/>
    <w:bookmarkEnd w:id="36"/>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 le of Contents</w:t>
        </w:r>
      </w:hyperlink>
    </w:p>
    <w:p>
      <w:pPr>
        <w:spacing w:after="0" w:line="258"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assets of $4.6 million. The net realized loss for the year ended December 31, 2008, included impairment charges totaling $59.0 million on fixed maturity and equity securities and other investments that were deemed to be other-than-temporarily impaired, net realized gains on sales of investments of $4.4 million, net gains on sales of other assets of $7.3 million, and a gain of $24.8 million on the sale of 20% of our interest in Sedgwick.</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Expenses.</w:t>
      </w:r>
    </w:p>
    <w:p>
      <w:pPr>
        <w:spacing w:after="0" w:line="11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9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Personnel costs include base salaries, commissions, benefits, stock-based compensation and bonuses paid to employees, and are one of our most significant operating expenses. Personnel costs totaled $1,610.1 million, $1,649.8 million, and $1,322.0 million for the years ended December 31, 2010, 2009 and 2008, respectively. Personnel costs as a percentage of total revenues were 28.0%, 28.3%, and 31.1% for the years ended December 31, 2010, 2009, and 2008, respectively. The decrease in personnel costs in 2010 is due mainly to decreases in the title segment resulting from decreases in title premiums from direct operations and decreases in opened and closed order counts. The increase in personnel costs in 2009 was primarily due to the acquisition of the LFG Underwriters and an increase in order volumes. The increase included a $23.9 million synergy bonus earned in 2009 by certain executives upon realizing the Company’s synergy goals with respect to the acquisition of the LFG Underwriters. Included in personnel costs is stock-based compensation expense of $25.1 million, $33.7 million, and $32.7 million for the years ended December 31, 2010, 2009, and 2008, respectively.</w:t>
      </w:r>
    </w:p>
    <w:p>
      <w:pPr>
        <w:spacing w:after="0" w:line="93"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Other operating expenses were $1,269.6 million, $1,343.5 million, and $1,179.8 million for the years ended December 31, 2010, 2009, and 2008. The decrease in 2010 was due mainly to decreases in cost of sales and several other expense categories mainly relating to the declines in business levels in the title segment offset by an increase in the specialty insurance segment related to higher business levels. The increase in 2009 was mainly due to an increase in the Fidelity National Title Group segment due to the acquisition of the LFG Underwriters.</w:t>
      </w:r>
    </w:p>
    <w:p>
      <w:pPr>
        <w:spacing w:after="0" w:line="7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illustrates the relationship of agent title premiums and agent commissions: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9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0"/>
                <w:szCs w:val="10"/>
                <w:b w:val="1"/>
                <w:bCs w:val="1"/>
                <w:color w:val="auto"/>
                <w:w w:val="86"/>
              </w:rPr>
              <w:t>Year Ended December 31,</w:t>
            </w: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169"/>
        </w:trPr>
        <w:tc>
          <w:tcPr>
            <w:tcW w:w="2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2010</w:t>
            </w: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2009</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2008</w:t>
            </w: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r>
      <w:tr>
        <w:trPr>
          <w:trHeight w:val="169"/>
        </w:trPr>
        <w:tc>
          <w:tcPr>
            <w:tcW w:w="2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0"/>
                <w:szCs w:val="10"/>
                <w:b w:val="1"/>
                <w:bCs w:val="1"/>
                <w:color w:val="auto"/>
              </w:rPr>
              <w:t>Amount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%&lt; /font&gt;</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Amount</w:t>
            </w:r>
          </w:p>
        </w:tc>
        <w:tc>
          <w:tcPr>
            <w:tcW w:w="42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Amount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spacing w:after="0"/>
              <w:rPr>
                <w:sz w:val="14"/>
                <w:szCs w:val="14"/>
                <w:color w:val="auto"/>
              </w:rPr>
            </w:pPr>
          </w:p>
        </w:tc>
      </w:tr>
      <w:tr>
        <w:trPr>
          <w:trHeight w:val="124"/>
        </w:trPr>
        <w:tc>
          <w:tcPr>
            <w:tcW w:w="2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gridSpan w:val="3"/>
          </w:tcPr>
          <w:p>
            <w:pPr>
              <w:jc w:val="center"/>
              <w:ind w:left="327"/>
              <w:spacing w:after="0"/>
              <w:rPr>
                <w:sz w:val="20"/>
                <w:szCs w:val="20"/>
                <w:color w:val="auto"/>
              </w:rPr>
            </w:pPr>
            <w:r>
              <w:rPr>
                <w:rFonts w:ascii="Arial" w:cs="Arial" w:eastAsia="Arial" w:hAnsi="Arial"/>
                <w:sz w:val="10"/>
                <w:szCs w:val="10"/>
                <w:b w:val="1"/>
                <w:bCs w:val="1"/>
                <w:color w:val="auto"/>
                <w:w w:val="88"/>
              </w:rPr>
              <w:t>(Dollars in millions)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84"/>
        </w:trPr>
        <w:tc>
          <w:tcPr>
            <w:tcW w:w="2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Agent title premiums</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2,236.7</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07"/>
              <w:spacing w:after="0"/>
              <w:rPr>
                <w:sz w:val="20"/>
                <w:szCs w:val="20"/>
                <w:color w:val="auto"/>
              </w:rPr>
            </w:pPr>
            <w:r>
              <w:rPr>
                <w:rFonts w:ascii="Arial" w:cs="Arial" w:eastAsia="Arial" w:hAnsi="Arial"/>
                <w:sz w:val="12"/>
                <w:szCs w:val="12"/>
                <w:color w:val="auto"/>
              </w:rPr>
              <w:t>2,452.3</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93"/>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1,554.7</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29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Agent commissions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1,758.7</w:t>
            </w:r>
          </w:p>
        </w:tc>
        <w:tc>
          <w:tcPr>
            <w:tcW w:w="3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78.6</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color w:val="auto"/>
              </w:rPr>
              <w:t>1,951.7</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79.6</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1,218.0</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78.3</w:t>
            </w:r>
          </w:p>
        </w:tc>
        <w:tc>
          <w:tcPr>
            <w:tcW w:w="240" w:type="dxa"/>
            <w:vAlign w:val="bottom"/>
            <w:tcBorders>
              <w:bottom w:val="single" w:sz="8" w:color="auto"/>
            </w:tcBorders>
          </w:tcPr>
          <w:p>
            <w:pPr>
              <w:spacing w:after="0"/>
              <w:rPr>
                <w:sz w:val="14"/>
                <w:szCs w:val="14"/>
                <w:color w:val="auto"/>
              </w:rPr>
            </w:pPr>
          </w:p>
        </w:tc>
      </w:tr>
      <w:tr>
        <w:trPr>
          <w:trHeight w:val="18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Net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478.0</w:t>
            </w: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21.4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2"/>
                <w:szCs w:val="12"/>
                <w:color w:val="auto"/>
              </w:rPr>
              <w:t>500.6</w:t>
            </w: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336.7</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99"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Net margin from agency title insurance premiums we retain as a percentage of total agency premiums increased from 20.4% in 2009 to 21.4% in 2010. The increase in 2010 is due primarily to a significant decrease in business from our largest agent in 2010 as compared to 2009 for which our retained premium was lower than that of our other agency contracts. Also contributing to the increase in the net margin in 2010 was the cancellation of numerous agency relationships and modifications of agency agreements associated with the acquisition of the LFG Underwriters, for which our retained premium was lower than that of legacy FNF agency relationships. The decrease in 2009 was primarily due to the acquisition of the agency relationships associated with the LFG Underwriters, for which the agent retained commission was consistently higher than that of legacy FNF agency relationships.</w:t>
      </w: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131" w:right="199" w:bottom="1440" w:gutter="0" w:footer="0" w:header="0"/>
        </w:sectPr>
      </w:pPr>
    </w:p>
    <w:bookmarkStart w:id="37" w:name="page38"/>
    <w:bookmarkEnd w:id="37"/>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Depreciation and amortization expense was $90.4 million, $109.2 million, and $122.1 million for the years ended December 31, 2010, 2009, and 2008, respectively. The decrease in both years is due to assets being fully depreciated and a decrease in capital spending over the past few years.</w:t>
      </w:r>
    </w:p>
    <w:p>
      <w:pPr>
        <w:spacing w:after="0" w:line="79"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The provision for claim losses includes an estimate of anticipated title and title-related claims, escrow losses and claims relating to our specialty insurance segment.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provision for claim loss for the years ended December 31, 2010, 2009, and 2008, was comprised of $248.9 million, $264.7 million, and $491.0 million, respectively, from the Fidelity National Title Group segment and $154.0 million, $127.9 million, and $139.5 million, respectively, from the specialty insurance segment. The provision for claim los ses is discussed in further detail at the segment level below.</w:t>
      </w:r>
    </w:p>
    <w:p>
      <w:pPr>
        <w:spacing w:after="0" w:line="73"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2"/>
          <w:szCs w:val="12"/>
          <w:color w:val="auto"/>
        </w:rPr>
        <w:t>Interest expense for the years ended December 31, 2010, 2009, and 2008 was $46.2 million, $36.7 million, and $58.6 million, respectively. The increase in 2010 is primarily due to the additional interest expense incurred on the 6.60% notes issued in May 2010 partially offset by decreases in the amount drawn on our floating rate debt and retirement of a portion of our public debt in the prior year. The decrease in 2009 was primarily due to a decrease in interest rates on our floating rate debt and repurchase of several bonds during the year.</w:t>
      </w:r>
    </w:p>
    <w:p>
      <w:pPr>
        <w:spacing w:after="0" w:line="87"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1"/>
          <w:szCs w:val="11"/>
          <w:color w:val="auto"/>
        </w:rPr>
        <w:t>Income tax expense (benefit) was $185.6 million, $106.8 million, and $(119.9) million for the years ended December 31, 2010, 2009, and 2008, respectively. Income tax expense (benefit) as a percentage of earnings (loss) before income taxes for the years ended December 31, 2010, 2009, and 2008 was 33.0%, 31.0%, and 42.9%, respectively. The fluctuation in income tax expense (benefit) as a percentage of earnings (loss) before income taxes is attributable to our estimate of ultimate income tax liability, and changes in the characteristics of net earnings (loss) year to year, such as the weighting of operating income versus investment income. Income tax benefit as a percentage of loss before income taxes was higher than normal in 2008, due to the fact that, in periods when a net loss is recognized, the effect of tax-exempt interest income is reversed. Generally, when pretax income is recognized, tax-exempt income has the effect of lowering the effective tax rate whereas, when a pretax loss is recognized, tax-exempt income has the effect of increasing the effective tax rate.</w:t>
      </w:r>
    </w:p>
    <w:p>
      <w:pPr>
        <w:spacing w:after="0" w:line="75" w:lineRule="exact"/>
        <w:rPr>
          <w:sz w:val="20"/>
          <w:szCs w:val="20"/>
          <w:color w:val="auto"/>
        </w:rPr>
      </w:pPr>
    </w:p>
    <w:p>
      <w:pPr>
        <w:jc w:val="both"/>
        <w:ind w:right="20" w:firstLine="246"/>
        <w:spacing w:after="0" w:line="276" w:lineRule="auto"/>
        <w:rPr>
          <w:sz w:val="20"/>
          <w:szCs w:val="20"/>
          <w:color w:val="auto"/>
        </w:rPr>
      </w:pPr>
      <w:r>
        <w:rPr>
          <w:rFonts w:ascii="Arial" w:cs="Arial" w:eastAsia="Arial" w:hAnsi="Arial"/>
          <w:sz w:val="12"/>
          <w:szCs w:val="12"/>
          <w:color w:val="auto"/>
        </w:rPr>
        <w:t>Equity in losses of unconsolidated affiliates was $(1.2) million, $(11.7) million, and $(13.4) million for the years ended December 31, 2010, 2009, and 2008, and primarily consisted of our equity in the net losses and earnings of Ceridian, Remy, and our former investment in Sedgwick.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131" w:right="199" w:bottom="1440" w:gutter="0" w:footer="0" w:header="0"/>
        </w:sectPr>
      </w:pPr>
    </w:p>
    <w:bookmarkStart w:id="38" w:name="page39"/>
    <w:bookmarkEnd w:id="38"/>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u w:val="single" w:color="auto"/>
          <w:color w:val="auto"/>
        </w:rPr>
        <w:t>Segment Results of Operations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Fidelity National Title Group</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 owing table presents certain financial data for the years indicated:</w:t>
      </w:r>
    </w:p>
    <w:p>
      <w:pPr>
        <w:spacing w:after="0" w:line="34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color w:val="auto"/>
                <w:w w:val="94"/>
              </w:rPr>
              <w:t>Year Ended December 31,</w:t>
            </w:r>
          </w:p>
        </w:tc>
        <w:tc>
          <w:tcPr>
            <w:tcW w:w="3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2010</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2009</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6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(Dollars in millions)</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Revenues:</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40" w:type="dxa"/>
            <w:vAlign w:val="bottom"/>
          </w:tcPr>
          <w:p>
            <w:pPr>
              <w:ind w:left="200"/>
              <w:spacing w:after="0"/>
              <w:rPr>
                <w:sz w:val="20"/>
                <w:szCs w:val="20"/>
                <w:color w:val="auto"/>
              </w:rPr>
            </w:pPr>
            <w:r>
              <w:rPr>
                <w:rFonts w:ascii="Arial" w:cs="Arial" w:eastAsia="Arial" w:hAnsi="Arial"/>
                <w:sz w:val="12"/>
                <w:szCs w:val="12"/>
                <w:color w:val="auto"/>
              </w:rPr>
              <w:t>Direct title insurance premiums</w:t>
            </w:r>
          </w:p>
        </w:tc>
        <w:tc>
          <w:tcPr>
            <w:tcW w:w="520" w:type="dxa"/>
            <w:vAlign w:val="bottom"/>
          </w:tcPr>
          <w:p>
            <w:pPr>
              <w:ind w:left="2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41"/>
              <w:spacing w:after="0"/>
              <w:rPr>
                <w:sz w:val="20"/>
                <w:szCs w:val="20"/>
                <w:color w:val="auto"/>
              </w:rPr>
            </w:pPr>
            <w:r>
              <w:rPr>
                <w:rFonts w:ascii="Arial" w:cs="Arial" w:eastAsia="Arial" w:hAnsi="Arial"/>
                <w:sz w:val="12"/>
                <w:szCs w:val="12"/>
                <w:color w:val="auto"/>
              </w:rPr>
              <w:t>1,404.5</w:t>
            </w:r>
          </w:p>
        </w:tc>
        <w:tc>
          <w:tcPr>
            <w:tcW w:w="280" w:type="dxa"/>
            <w:vAlign w:val="bottom"/>
          </w:tcPr>
          <w:p>
            <w:pPr>
              <w:spacing w:after="0"/>
              <w:rPr>
                <w:sz w:val="14"/>
                <w:szCs w:val="14"/>
                <w:color w:val="auto"/>
              </w:rPr>
            </w:pPr>
          </w:p>
        </w:tc>
        <w:tc>
          <w:tcPr>
            <w:tcW w:w="320" w:type="dxa"/>
            <w:vAlign w:val="bottom"/>
          </w:tcPr>
          <w:p>
            <w:pPr>
              <w:ind w:left="240"/>
              <w:spacing w:after="0"/>
              <w:rPr>
                <w:sz w:val="20"/>
                <w:szCs w:val="20"/>
                <w:color w:val="auto"/>
              </w:rPr>
            </w:pPr>
            <w:r>
              <w:rPr>
                <w:rFonts w:ascii="Arial" w:cs="Arial" w:eastAsia="Arial" w:hAnsi="Arial"/>
                <w:sz w:val="12"/>
                <w:szCs w:val="12"/>
                <w:color w:val="auto"/>
                <w:w w:val="89"/>
              </w:rPr>
              <w:t>$</w:t>
            </w:r>
          </w:p>
        </w:tc>
        <w:tc>
          <w:tcPr>
            <w:tcW w:w="1420" w:type="dxa"/>
            <w:vAlign w:val="bottom"/>
            <w:gridSpan w:val="2"/>
          </w:tcPr>
          <w:p>
            <w:pPr>
              <w:jc w:val="right"/>
              <w:ind w:right="300"/>
              <w:spacing w:after="0"/>
              <w:rPr>
                <w:sz w:val="20"/>
                <w:szCs w:val="20"/>
                <w:color w:val="auto"/>
              </w:rPr>
            </w:pPr>
            <w:r>
              <w:rPr>
                <w:rFonts w:ascii="Arial" w:cs="Arial" w:eastAsia="Arial" w:hAnsi="Arial"/>
                <w:sz w:val="12"/>
                <w:szCs w:val="12"/>
                <w:color w:val="auto"/>
              </w:rPr>
              <w:t>1,475.3</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1,140.3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vMerge w:val="restart"/>
            <w:shd w:val="clear" w:color="auto" w:fill="CCEEFF"/>
          </w:tcPr>
          <w:p>
            <w:pPr>
              <w:ind w:left="380"/>
              <w:spacing w:after="0"/>
              <w:rPr>
                <w:sz w:val="20"/>
                <w:szCs w:val="20"/>
                <w:color w:val="auto"/>
              </w:rPr>
            </w:pPr>
            <w:r>
              <w:rPr>
                <w:rFonts w:ascii="Arial" w:cs="Arial" w:eastAsia="Arial" w:hAnsi="Arial"/>
                <w:sz w:val="12"/>
                <w:szCs w:val="12"/>
                <w:color w:val="auto"/>
              </w:rPr>
              <w:t>Agency title insurance premiums</w:t>
            </w:r>
          </w:p>
        </w:tc>
        <w:tc>
          <w:tcPr>
            <w:tcW w:w="5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241"/>
              <w:spacing w:after="0"/>
              <w:rPr>
                <w:sz w:val="20"/>
                <w:szCs w:val="20"/>
                <w:color w:val="auto"/>
              </w:rPr>
            </w:pPr>
            <w:r>
              <w:rPr>
                <w:rFonts w:ascii="Arial" w:cs="Arial" w:eastAsia="Arial" w:hAnsi="Arial"/>
                <w:sz w:val="12"/>
                <w:szCs w:val="12"/>
                <w:color w:val="auto"/>
              </w:rPr>
              <w:t>2,236.7</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2"/>
                <w:szCs w:val="12"/>
                <w:color w:val="auto"/>
              </w:rPr>
              <w:t>2,452.3</w:t>
            </w:r>
          </w:p>
        </w:tc>
        <w:tc>
          <w:tcPr>
            <w:tcW w:w="3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91"/>
              </w:rPr>
              <w:t>&lt; /td&gt;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1,554.7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vMerge w:val="continue"/>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ind w:left="380"/>
              <w:spacing w:after="0"/>
              <w:rPr>
                <w:sz w:val="20"/>
                <w:szCs w:val="20"/>
                <w:color w:val="auto"/>
              </w:rPr>
            </w:pPr>
            <w:r>
              <w:rPr>
                <w:rFonts w:ascii="Arial" w:cs="Arial" w:eastAsia="Arial" w:hAnsi="Arial"/>
                <w:sz w:val="12"/>
                <w:szCs w:val="12"/>
                <w:color w:val="auto"/>
              </w:rPr>
              <w:t>Escrow, title-related and other fees</w:t>
            </w:r>
          </w:p>
        </w:tc>
        <w:tc>
          <w:tcPr>
            <w:tcW w:w="520" w:type="dxa"/>
            <w:vAlign w:val="bottom"/>
          </w:tcPr>
          <w:p>
            <w:pPr>
              <w:spacing w:after="0"/>
              <w:rPr>
                <w:sz w:val="14"/>
                <w:szCs w:val="14"/>
                <w:color w:val="auto"/>
              </w:rPr>
            </w:pPr>
          </w:p>
        </w:tc>
        <w:tc>
          <w:tcPr>
            <w:tcW w:w="980" w:type="dxa"/>
            <w:vAlign w:val="bottom"/>
          </w:tcPr>
          <w:p>
            <w:pPr>
              <w:jc w:val="right"/>
              <w:ind w:right="241"/>
              <w:spacing w:after="0"/>
              <w:rPr>
                <w:sz w:val="20"/>
                <w:szCs w:val="20"/>
                <w:color w:val="auto"/>
              </w:rPr>
            </w:pPr>
            <w:r>
              <w:rPr>
                <w:rFonts w:ascii="Arial" w:cs="Arial" w:eastAsia="Arial" w:hAnsi="Arial"/>
                <w:sz w:val="12"/>
                <w:szCs w:val="12"/>
                <w:color w:val="auto"/>
              </w:rPr>
              <w:t>1,269.7</w:t>
            </w:r>
          </w:p>
        </w:tc>
        <w:tc>
          <w:tcPr>
            <w:tcW w:w="280" w:type="dxa"/>
            <w:vAlign w:val="bottom"/>
          </w:tcPr>
          <w:p>
            <w:pPr>
              <w:spacing w:after="0"/>
              <w:rPr>
                <w:sz w:val="14"/>
                <w:szCs w:val="14"/>
                <w:color w:val="auto"/>
              </w:rPr>
            </w:pPr>
          </w:p>
        </w:tc>
        <w:tc>
          <w:tcPr>
            <w:tcW w:w="1440" w:type="dxa"/>
            <w:vAlign w:val="bottom"/>
            <w:gridSpan w:val="2"/>
          </w:tcPr>
          <w:p>
            <w:pPr>
              <w:ind w:left="240"/>
              <w:spacing w:after="0"/>
              <w:rPr>
                <w:sz w:val="20"/>
                <w:szCs w:val="20"/>
                <w:color w:val="auto"/>
              </w:rPr>
            </w:pPr>
            <w:r>
              <w:rPr>
                <w:rFonts w:ascii="Arial" w:cs="Arial" w:eastAsia="Arial" w:hAnsi="Arial"/>
                <w:sz w:val="12"/>
                <w:szCs w:val="12"/>
                <w:color w:val="auto"/>
              </w:rPr>
              <w:t>1,317.3</w:t>
            </w:r>
          </w:p>
        </w:tc>
        <w:tc>
          <w:tcPr>
            <w:tcW w:w="3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1,034.3</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Interest and investment income</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131.8</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138.9</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Realized gains and losses, net</w:t>
            </w: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color w:val="auto"/>
              </w:rPr>
              <w:t>110.7</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27.0</w:t>
            </w: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(32.9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6240" w:type="dxa"/>
            <w:vAlign w:val="bottom"/>
            <w:shd w:val="clear" w:color="auto" w:fill="CCEEFF"/>
          </w:tcPr>
          <w:p>
            <w:pPr>
              <w:ind w:left="540"/>
              <w:spacing w:after="0"/>
              <w:rPr>
                <w:sz w:val="20"/>
                <w:szCs w:val="20"/>
                <w:color w:val="auto"/>
              </w:rPr>
            </w:pPr>
            <w:r>
              <w:rPr>
                <w:rFonts w:ascii="Arial" w:cs="Arial" w:eastAsia="Arial" w:hAnsi="Arial"/>
                <w:sz w:val="12"/>
                <w:szCs w:val="12"/>
                <w:color w:val="auto"/>
              </w:rPr>
              <w:t>Total revenue</w:t>
            </w:r>
          </w:p>
        </w:tc>
        <w:tc>
          <w:tcPr>
            <w:tcW w:w="5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2"/>
                <w:szCs w:val="12"/>
                <w:color w:val="auto"/>
              </w:rPr>
              <w:t>5,153.4</w:t>
            </w:r>
          </w:p>
        </w:tc>
        <w:tc>
          <w:tcPr>
            <w:tcW w:w="280" w:type="dxa"/>
            <w:vAlign w:val="bottom"/>
            <w:shd w:val="clear" w:color="auto" w:fill="CCEEFF"/>
          </w:tcPr>
          <w:p>
            <w:pPr>
              <w:spacing w:after="0"/>
              <w:rPr>
                <w:sz w:val="14"/>
                <w:szCs w:val="14"/>
                <w:color w:val="auto"/>
              </w:rPr>
            </w:pPr>
          </w:p>
        </w:tc>
        <w:tc>
          <w:tcPr>
            <w:tcW w:w="144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2"/>
                <w:szCs w:val="12"/>
                <w:color w:val="auto"/>
              </w:rPr>
              <w:t>5,410.8</w:t>
            </w:r>
          </w:p>
        </w:tc>
        <w:tc>
          <w:tcPr>
            <w:tcW w:w="30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3,816.6</w:t>
            </w:r>
          </w:p>
        </w:tc>
        <w:tc>
          <w:tcPr>
            <w:tcW w:w="1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Personnel costs</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1,527.1</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1,573.7</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1,253.6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240" w:type="dxa"/>
            <w:vAlign w:val="bottom"/>
          </w:tcPr>
          <w:p>
            <w:pPr>
              <w:spacing w:after="0"/>
              <w:rPr>
                <w:sz w:val="13"/>
                <w:szCs w:val="13"/>
                <w:color w:val="auto"/>
              </w:rPr>
            </w:pPr>
          </w:p>
        </w:tc>
        <w:tc>
          <w:tcPr>
            <w:tcW w:w="1780" w:type="dxa"/>
            <w:vAlign w:val="bottom"/>
            <w:gridSpan w:val="3"/>
          </w:tcPr>
          <w:p>
            <w:pPr>
              <w:ind w:left="240"/>
              <w:spacing w:after="0"/>
              <w:rPr>
                <w:sz w:val="20"/>
                <w:szCs w:val="20"/>
                <w:color w:val="auto"/>
              </w:rPr>
            </w:pPr>
            <w:r>
              <w:rPr>
                <w:rFonts w:ascii="Arial" w:cs="Arial" w:eastAsia="Arial" w:hAnsi="Arial"/>
                <w:sz w:val="12"/>
                <w:szCs w:val="12"/>
                <w:color w:val="auto"/>
              </w:rPr>
              <w:t>&lt; div style="text-</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780" w:type="dxa"/>
            <w:vAlign w:val="bottom"/>
            <w:gridSpan w:val="3"/>
          </w:tcPr>
          <w:p>
            <w:pPr>
              <w:ind w:left="20"/>
              <w:spacing w:after="0"/>
              <w:rPr>
                <w:sz w:val="20"/>
                <w:szCs w:val="20"/>
                <w:color w:val="auto"/>
              </w:rPr>
            </w:pPr>
            <w:r>
              <w:rPr>
                <w:rFonts w:ascii="Arial" w:cs="Arial" w:eastAsia="Arial" w:hAnsi="Arial"/>
                <w:sz w:val="12"/>
                <w:szCs w:val="12"/>
                <w:color w:val="auto"/>
              </w:rPr>
              <w:t>align:right;font-</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380"/>
              <w:spacing w:after="0"/>
              <w:rPr>
                <w:sz w:val="20"/>
                <w:szCs w:val="20"/>
                <w:color w:val="auto"/>
              </w:rPr>
            </w:pPr>
            <w:r>
              <w:rPr>
                <w:rFonts w:ascii="Arial" w:cs="Arial" w:eastAsia="Arial" w:hAnsi="Arial"/>
                <w:sz w:val="12"/>
                <w:szCs w:val="12"/>
                <w:color w:val="auto"/>
              </w:rPr>
              <w:t>Other operating expenses</w:t>
            </w:r>
          </w:p>
        </w:tc>
        <w:tc>
          <w:tcPr>
            <w:tcW w:w="1780" w:type="dxa"/>
            <w:vAlign w:val="bottom"/>
            <w:gridSpan w:val="3"/>
          </w:tcPr>
          <w:p>
            <w:pPr>
              <w:ind w:left="20"/>
              <w:spacing w:after="0"/>
              <w:rPr>
                <w:sz w:val="20"/>
                <w:szCs w:val="20"/>
                <w:color w:val="auto"/>
              </w:rPr>
            </w:pPr>
            <w:r>
              <w:rPr>
                <w:rFonts w:ascii="Arial" w:cs="Arial" w:eastAsia="Arial" w:hAnsi="Arial"/>
                <w:sz w:val="12"/>
                <w:szCs w:val="12"/>
                <w:color w:val="auto"/>
              </w:rPr>
              <w:t>size:10pt;"&gt;1,043.6</w:t>
            </w:r>
          </w:p>
        </w:tc>
        <w:tc>
          <w:tcPr>
            <w:tcW w:w="320" w:type="dxa"/>
            <w:vAlign w:val="bottom"/>
          </w:tcPr>
          <w:p>
            <w:pPr>
              <w:spacing w:after="0"/>
              <w:rPr>
                <w:sz w:val="14"/>
                <w:szCs w:val="1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2"/>
                <w:szCs w:val="12"/>
                <w:color w:val="auto"/>
              </w:rPr>
              <w:t>1,145.7</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964.3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Agent commissions</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1,758.7</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1,951.7</w:t>
            </w:r>
          </w:p>
        </w:tc>
        <w:tc>
          <w:tcPr>
            <w:tcW w:w="300" w:type="dxa"/>
            <w:vAlign w:val="bottom"/>
            <w:shd w:val="clear" w:color="auto" w:fill="CCEEFF"/>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1,218.0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40" w:type="dxa"/>
            <w:vAlign w:val="bottom"/>
          </w:tcPr>
          <w:p>
            <w:pPr>
              <w:ind w:left="380"/>
              <w:spacing w:after="0"/>
              <w:rPr>
                <w:sz w:val="20"/>
                <w:szCs w:val="20"/>
                <w:color w:val="auto"/>
              </w:rPr>
            </w:pPr>
            <w:r>
              <w:rPr>
                <w:rFonts w:ascii="Arial" w:cs="Arial" w:eastAsia="Arial" w:hAnsi="Arial"/>
                <w:sz w:val="12"/>
                <w:szCs w:val="12"/>
                <w:color w:val="auto"/>
              </w:rPr>
              <w:t>Depreciation and amortization</w:t>
            </w:r>
          </w:p>
        </w:tc>
        <w:tc>
          <w:tcPr>
            <w:tcW w:w="520" w:type="dxa"/>
            <w:vAlign w:val="bottom"/>
          </w:tcPr>
          <w:p>
            <w:pPr>
              <w:spacing w:after="0"/>
              <w:rPr>
                <w:sz w:val="14"/>
                <w:szCs w:val="14"/>
                <w:color w:val="auto"/>
              </w:rPr>
            </w:pPr>
          </w:p>
        </w:tc>
        <w:tc>
          <w:tcPr>
            <w:tcW w:w="980" w:type="dxa"/>
            <w:vAlign w:val="bottom"/>
          </w:tcPr>
          <w:p>
            <w:pPr>
              <w:jc w:val="right"/>
              <w:ind w:right="221"/>
              <w:spacing w:after="0"/>
              <w:rPr>
                <w:sz w:val="20"/>
                <w:szCs w:val="20"/>
                <w:color w:val="auto"/>
              </w:rPr>
            </w:pPr>
            <w:r>
              <w:rPr>
                <w:rFonts w:ascii="Arial" w:cs="Arial" w:eastAsia="Arial" w:hAnsi="Arial"/>
                <w:sz w:val="12"/>
                <w:szCs w:val="12"/>
                <w:color w:val="auto"/>
              </w:rPr>
              <w:t>83.8</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2"/>
                <w:szCs w:val="12"/>
                <w:color w:val="auto"/>
              </w:rPr>
              <w:t>101.3</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115.0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Provision for claim losses</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248.9</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82"/>
              <w:spacing w:after="0"/>
              <w:rPr>
                <w:sz w:val="20"/>
                <w:szCs w:val="20"/>
                <w:color w:val="auto"/>
              </w:rPr>
            </w:pPr>
            <w:r>
              <w:rPr>
                <w:rFonts w:ascii="Arial" w:cs="Arial" w:eastAsia="Arial" w:hAnsi="Arial"/>
                <w:sz w:val="12"/>
                <w:szCs w:val="12"/>
                <w:color w:val="auto"/>
                <w:w w:val="86"/>
              </w:rPr>
              <w:t>264.7</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491.0</w:t>
            </w:r>
          </w:p>
        </w:tc>
        <w:tc>
          <w:tcPr>
            <w:tcW w:w="6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40" w:type="dxa"/>
            <w:vAlign w:val="bottom"/>
          </w:tcPr>
          <w:p>
            <w:pPr>
              <w:ind w:left="380"/>
              <w:spacing w:after="0"/>
              <w:rPr>
                <w:sz w:val="20"/>
                <w:szCs w:val="20"/>
                <w:color w:val="auto"/>
              </w:rPr>
            </w:pPr>
            <w:r>
              <w:rPr>
                <w:rFonts w:ascii="Arial" w:cs="Arial" w:eastAsia="Arial" w:hAnsi="Arial"/>
                <w:sz w:val="12"/>
                <w:szCs w:val="12"/>
                <w:color w:val="auto"/>
              </w:rPr>
              <w:t>Interest expense</w:t>
            </w:r>
          </w:p>
        </w:tc>
        <w:tc>
          <w:tcPr>
            <w:tcW w:w="520" w:type="dxa"/>
            <w:vAlign w:val="bottom"/>
          </w:tcPr>
          <w:p>
            <w:pPr>
              <w:spacing w:after="0"/>
              <w:rPr>
                <w:sz w:val="14"/>
                <w:szCs w:val="14"/>
                <w:color w:val="auto"/>
              </w:rPr>
            </w:pPr>
          </w:p>
        </w:tc>
        <w:tc>
          <w:tcPr>
            <w:tcW w:w="980" w:type="dxa"/>
            <w:vAlign w:val="bottom"/>
          </w:tcPr>
          <w:p>
            <w:pPr>
              <w:jc w:val="right"/>
              <w:ind w:right="241"/>
              <w:spacing w:after="0"/>
              <w:rPr>
                <w:sz w:val="20"/>
                <w:szCs w:val="20"/>
                <w:color w:val="auto"/>
              </w:rPr>
            </w:pPr>
            <w:r>
              <w:rPr>
                <w:rFonts w:ascii="Arial" w:cs="Arial" w:eastAsia="Arial" w:hAnsi="Arial"/>
                <w:sz w:val="12"/>
                <w:szCs w:val="12"/>
                <w:color w:val="auto"/>
              </w:rPr>
              <w:t>0.3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2"/>
                <w:szCs w:val="12"/>
                <w:color w:val="auto"/>
              </w:rPr>
              <w:t>0.8</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shd w:val="clear" w:color="auto" w:fill="CCEEFF"/>
          </w:tcPr>
          <w:p>
            <w:pPr>
              <w:ind w:left="540"/>
              <w:spacing w:after="0"/>
              <w:rPr>
                <w:sz w:val="20"/>
                <w:szCs w:val="20"/>
                <w:color w:val="auto"/>
              </w:rPr>
            </w:pPr>
            <w:r>
              <w:rPr>
                <w:rFonts w:ascii="Arial" w:cs="Arial" w:eastAsia="Arial" w:hAnsi="Arial"/>
                <w:sz w:val="12"/>
                <w:szCs w:val="12"/>
                <w:color w:val="auto"/>
              </w:rPr>
              <w:t>Total expenses</w:t>
            </w:r>
          </w:p>
        </w:tc>
        <w:tc>
          <w:tcPr>
            <w:tcW w:w="5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2"/>
                <w:szCs w:val="12"/>
                <w:color w:val="auto"/>
              </w:rPr>
              <w:t>4,662.4</w:t>
            </w:r>
          </w:p>
        </w:tc>
        <w:tc>
          <w:tcPr>
            <w:tcW w:w="2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5,037.9</w:t>
            </w:r>
          </w:p>
        </w:tc>
        <w:tc>
          <w:tcPr>
            <w:tcW w:w="3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4,047.6</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220"/>
              <w:spacing w:after="0"/>
              <w:rPr>
                <w:sz w:val="20"/>
                <w:szCs w:val="20"/>
                <w:color w:val="auto"/>
              </w:rPr>
            </w:pPr>
            <w:r>
              <w:rPr>
                <w:rFonts w:ascii="Arial" w:cs="Arial" w:eastAsia="Arial" w:hAnsi="Arial"/>
                <w:sz w:val="12"/>
                <w:szCs w:val="12"/>
                <w:color w:val="auto"/>
              </w:rPr>
              <w:t>Earnings (loss) before income taxes and equity in (loss) earnings of unconsolidated affiliates</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color w:val="auto"/>
              </w:rPr>
              <w:t>491.0</w:t>
            </w:r>
          </w:p>
        </w:tc>
        <w:tc>
          <w:tcPr>
            <w:tcW w:w="280" w:type="dxa"/>
            <w:vAlign w:val="bottom"/>
          </w:tcPr>
          <w:p>
            <w:pPr>
              <w:spacing w:after="0"/>
              <w:rPr>
                <w:sz w:val="15"/>
                <w:szCs w:val="15"/>
                <w:color w:val="auto"/>
              </w:rPr>
            </w:pP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372.9</w:t>
            </w:r>
          </w:p>
        </w:tc>
        <w:tc>
          <w:tcPr>
            <w:tcW w:w="300" w:type="dxa"/>
            <w:vAlign w:val="bottom"/>
          </w:tcPr>
          <w:p>
            <w:pPr>
              <w:spacing w:after="0"/>
              <w:rPr>
                <w:sz w:val="15"/>
                <w:szCs w:val="15"/>
                <w:color w:val="auto"/>
              </w:rPr>
            </w:pPr>
          </w:p>
        </w:tc>
        <w:tc>
          <w:tcPr>
            <w:tcW w:w="5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(231.0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Total revenues in 2010 decreased $257.4 million or 4.8% compared to 2009. Total revenues in 2009 increased $1,594.2 million or 41.8% compared to 2008. For an analysis of this segment’s revenues, see the analysis of direct and agency title insurance premiums and escrow and other title-related fees under “</w:t>
      </w:r>
      <w:r>
        <w:rPr>
          <w:rFonts w:ascii="Arial" w:cs="Arial" w:eastAsia="Arial" w:hAnsi="Arial"/>
          <w:sz w:val="12"/>
          <w:szCs w:val="12"/>
          <w:i w:val="1"/>
          <w:iCs w:val="1"/>
          <w:color w:val="auto"/>
        </w:rPr>
        <w:t>Consolidated Results of Operations.</w:t>
      </w:r>
      <w:r>
        <w:rPr>
          <w:rFonts w:ascii="Arial" w:cs="Arial" w:eastAsia="Arial" w:hAnsi="Arial"/>
          <w:sz w:val="12"/>
          <w:szCs w:val="12"/>
          <w:color w:val="auto"/>
        </w:rPr>
        <w:t>”</w:t>
      </w:r>
    </w:p>
    <w:p>
      <w:pPr>
        <w:spacing w:after="0" w:line="79" w:lineRule="exact"/>
        <w:rPr>
          <w:sz w:val="20"/>
          <w:szCs w:val="20"/>
          <w:color w:val="auto"/>
        </w:rPr>
      </w:pPr>
    </w:p>
    <w:p>
      <w:pPr>
        <w:jc w:val="both"/>
        <w:ind w:firstLine="246"/>
        <w:spacing w:after="0" w:line="259" w:lineRule="auto"/>
        <w:rPr>
          <w:sz w:val="20"/>
          <w:szCs w:val="20"/>
          <w:color w:val="auto"/>
        </w:rPr>
      </w:pPr>
      <w:r>
        <w:rPr>
          <w:rFonts w:ascii="Arial" w:cs="Arial" w:eastAsia="Arial" w:hAnsi="Arial"/>
          <w:sz w:val="12"/>
          <w:szCs w:val="12"/>
          <w:color w:val="auto"/>
        </w:rPr>
        <w:t>Interest and investment income levels are primarily a function of securities markets, interest rates and the amount of cash available for investment. Interest and investment income for the years ended December 31, 2010, 2009 and 2008, was $131.8 million, $138.9 million, and $120.2 million, respectively. The decrease in 2010 compared to 2009 is due to overall declines in bond interest income on our fixed maturity securities in 2010. The increase in 2009 compared to 2008 was primarily the result of an increased investment portfolio resulting from the acquisition of the LFG Underwriters, partially offset by declines in short-term interest rates and a decrease in interest income attributable to the securities lending program.</w:t>
      </w:r>
    </w:p>
    <w:p>
      <w:pPr>
        <w:spacing w:after="0" w:line="8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Net realized gains and losses for the years ended December 31, 2010, 2009, and 2008 were $110.7 million, $27.0 million, and $(32.9) million, respectively. Net realized gains and losses for the year ended December 31, 2010, included a $21.7 million ga in on the sale of FIS stock as part of a tender offer, $11.4 million in gains resulting from an increase in value of our structured notes and $61.0 million in gains from the sale of various fixed maturity securities. Net realized gains and losses recorded in the year ended December 31, 2009, included impairment charges of $6.9 million, net realized gains on investments of $24.6 million, and net gains from sales of other assets of $2.4 million. Net realized gains and losses recorded in the year ended December 31, 2008, included impairment charges of $48.8 million on fixed maturity and equity securities and other investments that were deemed other-than-temporarily impaired, net realized gains on investments of $15.0 million, and net gains from sales of other assets of $0.9 million. The impairment charges relating to the fixed maturity securities primarily related to our conclusion that the credit risk relating to the holdings was high and thus the assets are likely permanently imp aired. The impairment charges relating to the equity securities were based on the duration of the unrealized loss and inability to predict the time to recover if the investment continued to be held.</w:t>
      </w:r>
    </w:p>
    <w:p>
      <w:pPr>
        <w:spacing w:after="0" w:line="9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Personnel costs include base salaries, commissions, benefits and bonuses paid to employees, and are one of our most significant operating expenses. Personnel costs totaled $1,527.1 million, $1,573.7 million, and $1,253.6 million for the years ended December 31, 2010, 2009, and 2008, respectively. The decrease in 2010 is due mainly to decreases in title premiums f rom direct operations and decreases in opened and closed order counts. Also affecting the comparison was $23.9 million in synergy bonuses that were earned in 2009 by certain executives upon realizing our synergy goals with respect to the acquisition of the LFG</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131" w:right="199" w:bottom="1440" w:gutter="0" w:footer="0" w:header="0"/>
        </w:sectPr>
      </w:pPr>
    </w:p>
    <w:bookmarkStart w:id="39" w:name="page40"/>
    <w:bookmarkEnd w:id="39"/>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jc w:val="both"/>
        <w:ind w:firstLine="216"/>
        <w:spacing w:after="0" w:line="380" w:lineRule="auto"/>
        <w:rPr>
          <w:sz w:val="20"/>
          <w:szCs w:val="20"/>
          <w:color w:val="auto"/>
        </w:rPr>
      </w:pPr>
      <w:r>
        <w:rPr>
          <w:rFonts w:ascii="Arial" w:cs="Arial" w:eastAsia="Arial" w:hAnsi="Arial"/>
          <w:sz w:val="10"/>
          <w:szCs w:val="10"/>
          <w:color w:val="auto"/>
        </w:rPr>
        <w:t>Underwriters. The increase in 2009 from 2008 resulted from the acq uisition of the LFG Underwriters and an increase in order volumes. Personnel costs, as a percentage of direct title insurance premiums and escrow, title-related and other fees, were 57.1% in 2010, 56.4% in 2009, and 57.6% in 2008. Average employee count decreased to 16,747 in 2010 from 17,411 in 2009 and increased in 2009 from 13,957 in 2008 due to the addition of the LFG Underwriters.</w:t>
      </w:r>
    </w:p>
    <w:p>
      <w:pPr>
        <w:spacing w:after="0" w:line="32" w:lineRule="exact"/>
        <w:rPr>
          <w:sz w:val="20"/>
          <w:szCs w:val="20"/>
          <w:color w:val="auto"/>
        </w:rPr>
      </w:pPr>
    </w:p>
    <w:p>
      <w:pPr>
        <w:jc w:val="both"/>
        <w:ind w:firstLine="256"/>
        <w:spacing w:after="0" w:line="283" w:lineRule="auto"/>
        <w:rPr>
          <w:sz w:val="20"/>
          <w:szCs w:val="20"/>
          <w:color w:val="auto"/>
        </w:rPr>
      </w:pPr>
      <w:r>
        <w:rPr>
          <w:rFonts w:ascii="Arial" w:cs="Arial" w:eastAsia="Arial" w:hAnsi="Arial"/>
          <w:sz w:val="11"/>
          <w:szCs w:val="11"/>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Other operating expenses totaled $1,043.6 million, $1,145.7 million, and $964.3 million for the years ended December 31, 2010, 2009 and 2008, respectively. Other operating expenses as a percentage of direct title insurance pre miums and escrow, title-related and other fees were 39.0% in 2010 , 41.0% in 2009, and 44.3% in 2008. Other operating expenses for the years ended December 31, 2010, 2009 and 2008, included $11.7 million, $7.4 million and $23.4 million, respectively, in abandoned lease charges relating to office closures. The decrease in other operating expenses in 2010 is due to declines in business levels. The increase in other operating expenses in 2009 is primarily the result of the acquisition of the LFG Underwriters. As a result of holding customers’ assets in escrow, we have ongoing programs for realizing econ omic benefits. Those economic benefits related to escrow balances decreased in 2010 and 2009 due to decreases in escrow balances and decreases in short-term interest rates.</w:t>
      </w:r>
    </w:p>
    <w:p>
      <w:pPr>
        <w:spacing w:after="0" w:line="78" w:lineRule="exact"/>
        <w:rPr>
          <w:sz w:val="20"/>
          <w:szCs w:val="20"/>
          <w:color w:val="auto"/>
        </w:rPr>
      </w:pPr>
    </w:p>
    <w:p>
      <w:pPr>
        <w:jc w:val="both"/>
        <w:ind w:right="20" w:firstLine="246"/>
        <w:spacing w:after="0" w:line="276" w:lineRule="auto"/>
        <w:rPr>
          <w:sz w:val="20"/>
          <w:szCs w:val="20"/>
          <w:color w:val="auto"/>
        </w:rPr>
      </w:pPr>
      <w:r>
        <w:rPr>
          <w:rFonts w:ascii="Arial" w:cs="Arial" w:eastAsia="Arial" w:hAnsi="Arial"/>
          <w:sz w:val="12"/>
          <w:szCs w:val="12"/>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 See the analysis of agent commissions under “</w:t>
      </w:r>
      <w:r>
        <w:rPr>
          <w:rFonts w:ascii="Arial" w:cs="Arial" w:eastAsia="Arial" w:hAnsi="Arial"/>
          <w:sz w:val="12"/>
          <w:szCs w:val="12"/>
          <w:i w:val="1"/>
          <w:iCs w:val="1"/>
          <w:color w:val="auto"/>
        </w:rPr>
        <w:t>Consolidated Results of Operations</w:t>
      </w:r>
      <w:r>
        <w:rPr>
          <w:rFonts w:ascii="Arial" w:cs="Arial" w:eastAsia="Arial" w:hAnsi="Arial"/>
          <w:sz w:val="12"/>
          <w:szCs w:val="12"/>
          <w:color w:val="auto"/>
        </w:rPr>
        <w:t>” for further discussion.</w:t>
      </w:r>
    </w:p>
    <w:p>
      <w:pPr>
        <w:spacing w:after="0" w:line="79" w:lineRule="exact"/>
        <w:rPr>
          <w:sz w:val="20"/>
          <w:szCs w:val="20"/>
          <w:color w:val="auto"/>
        </w:rPr>
      </w:pPr>
    </w:p>
    <w:p>
      <w:pPr>
        <w:jc w:val="both"/>
        <w:ind w:firstLine="246"/>
        <w:spacing w:after="0" w:line="257" w:lineRule="auto"/>
        <w:rPr>
          <w:sz w:val="20"/>
          <w:szCs w:val="20"/>
          <w:color w:val="auto"/>
        </w:rPr>
      </w:pPr>
      <w:r>
        <w:rPr>
          <w:rFonts w:ascii="Arial" w:cs="Arial" w:eastAsia="Arial" w:hAnsi="Arial"/>
          <w:sz w:val="12"/>
          <w:szCs w:val="12"/>
          <w:color w:val="auto"/>
        </w:rPr>
        <w:t>The provision for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 djust the provision for claim losses accordingly as new information becomes known, new loss patterns emerge, or as other contributing factors are considered and incorporated into the analysis of the reserve for claim losses. The claim loss provision for title insurance was $248.9 million, $264.7 million, and $491.0 million for the years ended December 31, 2010, 2009, and 2008, respectively. These amounts reflected average claim loss provision rates of 6.8%, 7.3%, and 8.5% of title premiums for the years ended December 31, 2010, 2009, and 2008, respectively, and in 2009 and 2008 also included additiona l credits/charges as follows:</w:t>
      </w:r>
    </w:p>
    <w:p>
      <w:pPr>
        <w:spacing w:after="0" w:line="90"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For the year ended December 31, 2009, a credit of $74.4 million was recorded due to favorable claim loss development on prior policy years. During September and October 2009, there were developments, including two court rulings, relating to coverages under certain insurance policies that caused us to reevaluate our position on maintaining a recorded insurance recoverable. The fact that we received an adverse ruling in our case against the insurer on our Comprehensive General Liability policy together with a reevaluation of our position by new legal counsel, caused us to reverse $63.2 million of the receivable, recorded as a charge to the provision for claim losses, during the quarter ended September 30, 2009. We also received a favorable summary judgment relating to an insurance pr oviders’ duty to defend the Company under our Miscellaneous Professional Liability policy. In light of these developments, we did not believe it appropriate to carry more than the anticipated $20.0 million recovery for compensatory damages on the Miscellaneous Professional Liability policy as a receivable as of September 30, 2009. During the quarter ended December 31, 2009, the Company paid an additional $8.8 million in respect of these claims and received payments of $11.8 million relating to the Miscellaneous Professional Liability Policy and continued to negotiate with the carrier who had been found to act in bad faith under the terms of that policy. As of December 31, 2009, we carried an $8.2 million receivable related to these coverages. In February 2010, we reached a settlement agreement and subsequently received payment from the same carrier for an additional $16.2 million, representing the remaining $8.2 million receivable and $8.0 million in compensatory damages.</w:t>
      </w:r>
    </w:p>
    <w:p>
      <w:pPr>
        <w:spacing w:after="0" w:line="8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For the year ended December 31, 2008, an additional charge of $261.6 million was recorded due to a change in our actuarial model which resulted, in part, from adverse claim loss development on prior policy years. See “Critical Accounting Estimates” for further discussion relating to our reserve for claim losses and the 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31" w:right="199" w:bottom="1440" w:gutter="0" w:footer="0" w:header="0"/>
        </w:sectPr>
      </w:pPr>
    </w:p>
    <w:bookmarkStart w:id="40" w:name="page41"/>
    <w:bookmarkEnd w:id="40"/>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Specialty Insurance Segment</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certain financial data for the years indicated:</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158.3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w w:val="94"/>
              </w:rPr>
              <w:t>Year Ended December 31,</w:t>
            </w: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2010</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2009</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6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right"/>
              <w:ind w:right="3"/>
              <w:spacing w:after="0"/>
              <w:rPr>
                <w:sz w:val="20"/>
                <w:szCs w:val="20"/>
                <w:color w:val="auto"/>
              </w:rPr>
            </w:pPr>
            <w:r>
              <w:rPr>
                <w:rFonts w:ascii="Arial" w:cs="Arial" w:eastAsia="Arial" w:hAnsi="Arial"/>
                <w:sz w:val="10"/>
                <w:szCs w:val="10"/>
                <w:b w:val="1"/>
                <w:bCs w:val="1"/>
                <w:color w:val="auto"/>
              </w:rPr>
              <w:t>(Dollars in millions)</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Revenues:</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20" w:type="dxa"/>
            <w:vAlign w:val="bottom"/>
          </w:tcPr>
          <w:p>
            <w:pPr>
              <w:ind w:left="380"/>
              <w:spacing w:after="0"/>
              <w:rPr>
                <w:sz w:val="20"/>
                <w:szCs w:val="20"/>
                <w:color w:val="auto"/>
              </w:rPr>
            </w:pPr>
            <w:r>
              <w:rPr>
                <w:rFonts w:ascii="Arial" w:cs="Arial" w:eastAsia="Arial" w:hAnsi="Arial"/>
                <w:sz w:val="12"/>
                <w:szCs w:val="12"/>
                <w:color w:val="auto"/>
              </w:rPr>
              <w:t>Premium Revenue</w:t>
            </w:r>
          </w:p>
        </w:tc>
        <w:tc>
          <w:tcPr>
            <w:tcW w:w="5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391.6</w:t>
            </w:r>
          </w:p>
        </w:tc>
        <w:tc>
          <w:tcPr>
            <w:tcW w:w="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43"/>
              <w:spacing w:after="0"/>
              <w:rPr>
                <w:sz w:val="20"/>
                <w:szCs w:val="20"/>
                <w:color w:val="auto"/>
              </w:rPr>
            </w:pPr>
            <w:r>
              <w:rPr>
                <w:rFonts w:ascii="Arial" w:cs="Arial" w:eastAsia="Arial" w:hAnsi="Arial"/>
                <w:sz w:val="12"/>
                <w:szCs w:val="12"/>
                <w:color w:val="auto"/>
              </w:rPr>
              <w:t>366.0</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1"/>
              <w:spacing w:after="0"/>
              <w:rPr>
                <w:sz w:val="20"/>
                <w:szCs w:val="20"/>
                <w:color w:val="auto"/>
              </w:rPr>
            </w:pPr>
            <w:r>
              <w:rPr>
                <w:rFonts w:ascii="Arial" w:cs="Arial" w:eastAsia="Arial" w:hAnsi="Arial"/>
                <w:sz w:val="12"/>
                <w:szCs w:val="12"/>
                <w:color w:val="auto"/>
              </w:rPr>
              <w:t>373.4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vMerge w:val="restart"/>
            <w:shd w:val="clear" w:color="auto" w:fill="CCEEFF"/>
          </w:tcPr>
          <w:p>
            <w:pPr>
              <w:ind w:left="380"/>
              <w:spacing w:after="0"/>
              <w:rPr>
                <w:sz w:val="20"/>
                <w:szCs w:val="20"/>
                <w:color w:val="auto"/>
              </w:rPr>
            </w:pPr>
            <w:r>
              <w:rPr>
                <w:rFonts w:ascii="Arial" w:cs="Arial" w:eastAsia="Arial" w:hAnsi="Arial"/>
                <w:sz w:val="12"/>
                <w:szCs w:val="12"/>
                <w:color w:val="auto"/>
              </w:rPr>
              <w:t>Interest and investment income</w:t>
            </w:r>
          </w:p>
        </w:tc>
        <w:tc>
          <w:tcPr>
            <w:tcW w:w="5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11.5</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43"/>
              <w:spacing w:after="0"/>
              <w:rPr>
                <w:sz w:val="20"/>
                <w:szCs w:val="20"/>
                <w:color w:val="auto"/>
              </w:rPr>
            </w:pPr>
            <w:r>
              <w:rPr>
                <w:rFonts w:ascii="Arial" w:cs="Arial" w:eastAsia="Arial" w:hAnsi="Arial"/>
                <w:sz w:val="12"/>
                <w:szCs w:val="12"/>
                <w:color w:val="auto"/>
              </w:rPr>
              <w:t>12.3</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p;</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&amp;nbs</w:t>
            </w:r>
          </w:p>
        </w:tc>
        <w:tc>
          <w:tcPr>
            <w:tcW w:w="74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12.9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Realized gains and losses, net</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1.2</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color w:val="auto"/>
              </w:rPr>
              <w:t>1.9</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8"/>
        </w:trPr>
        <w:tc>
          <w:tcPr>
            <w:tcW w:w="64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Total revenue</w:t>
            </w:r>
          </w:p>
        </w:tc>
        <w:tc>
          <w:tcPr>
            <w:tcW w:w="5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404.3</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2"/>
                <w:szCs w:val="12"/>
                <w:color w:val="auto"/>
              </w:rPr>
              <w:t>380.2</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383.3</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420" w:type="dxa"/>
            <w:vAlign w:val="bottom"/>
          </w:tcPr>
          <w:p>
            <w:pPr>
              <w:ind w:left="220"/>
              <w:spacing w:after="0"/>
              <w:rPr>
                <w:sz w:val="20"/>
                <w:szCs w:val="20"/>
                <w:color w:val="auto"/>
              </w:rPr>
            </w:pPr>
            <w:r>
              <w:rPr>
                <w:rFonts w:ascii="Arial" w:cs="Arial" w:eastAsia="Arial" w:hAnsi="Arial"/>
                <w:sz w:val="12"/>
                <w:szCs w:val="12"/>
                <w:color w:val="auto"/>
              </w:rPr>
              <w:t>Expenses:</w:t>
            </w: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Personnel costs</w:t>
            </w:r>
          </w:p>
        </w:tc>
        <w:tc>
          <w:tcPr>
            <w:tcW w:w="5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47.9</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43"/>
              <w:spacing w:after="0"/>
              <w:rPr>
                <w:sz w:val="20"/>
                <w:szCs w:val="20"/>
                <w:color w:val="auto"/>
              </w:rPr>
            </w:pPr>
            <w:r>
              <w:rPr>
                <w:rFonts w:ascii="Arial" w:cs="Arial" w:eastAsia="Arial" w:hAnsi="Arial"/>
                <w:sz w:val="12"/>
                <w:szCs w:val="12"/>
                <w:color w:val="auto"/>
              </w:rPr>
              <w:t>45.3</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45.2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20" w:type="dxa"/>
            <w:vAlign w:val="bottom"/>
          </w:tcPr>
          <w:p>
            <w:pPr>
              <w:ind w:left="380"/>
              <w:spacing w:after="0"/>
              <w:rPr>
                <w:sz w:val="20"/>
                <w:szCs w:val="20"/>
                <w:color w:val="auto"/>
              </w:rPr>
            </w:pPr>
            <w:r>
              <w:rPr>
                <w:rFonts w:ascii="Arial" w:cs="Arial" w:eastAsia="Arial" w:hAnsi="Arial"/>
                <w:sz w:val="12"/>
                <w:szCs w:val="12"/>
                <w:color w:val="auto"/>
              </w:rPr>
              <w:t>Other operating expenses</w:t>
            </w:r>
          </w:p>
        </w:tc>
        <w:tc>
          <w:tcPr>
            <w:tcW w:w="5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170.7</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Arial" w:cs="Arial" w:eastAsia="Arial" w:hAnsi="Arial"/>
                <w:sz w:val="12"/>
                <w:szCs w:val="12"/>
                <w:color w:val="auto"/>
                <w:w w:val="79"/>
              </w:rPr>
              <w:t>158.2</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Depreciation and amortization</w:t>
            </w:r>
          </w:p>
        </w:tc>
        <w:tc>
          <w:tcPr>
            <w:tcW w:w="5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4.4</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43"/>
              <w:spacing w:after="0"/>
              <w:rPr>
                <w:sz w:val="20"/>
                <w:szCs w:val="20"/>
                <w:color w:val="auto"/>
              </w:rPr>
            </w:pPr>
            <w:r>
              <w:rPr>
                <w:rFonts w:ascii="Arial" w:cs="Arial" w:eastAsia="Arial" w:hAnsi="Arial"/>
                <w:sz w:val="12"/>
                <w:szCs w:val="12"/>
                <w:color w:val="auto"/>
              </w:rPr>
              <w:t>5.1</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20" w:type="dxa"/>
            <w:vAlign w:val="bottom"/>
          </w:tcPr>
          <w:p>
            <w:pPr>
              <w:ind w:left="380"/>
              <w:spacing w:after="0"/>
              <w:rPr>
                <w:sz w:val="20"/>
                <w:szCs w:val="20"/>
                <w:color w:val="auto"/>
              </w:rPr>
            </w:pPr>
            <w:r>
              <w:rPr>
                <w:rFonts w:ascii="Arial" w:cs="Arial" w:eastAsia="Arial" w:hAnsi="Arial"/>
                <w:sz w:val="12"/>
                <w:szCs w:val="12"/>
                <w:color w:val="auto"/>
              </w:rPr>
              <w:t>Provision for claim losses</w:t>
            </w:r>
          </w:p>
        </w:tc>
        <w:tc>
          <w:tcPr>
            <w:tcW w:w="5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154.0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243"/>
              <w:spacing w:after="0"/>
              <w:rPr>
                <w:sz w:val="20"/>
                <w:szCs w:val="20"/>
                <w:color w:val="auto"/>
              </w:rPr>
            </w:pPr>
            <w:r>
              <w:rPr>
                <w:rFonts w:ascii="Arial" w:cs="Arial" w:eastAsia="Arial" w:hAnsi="Arial"/>
                <w:sz w:val="12"/>
                <w:szCs w:val="12"/>
                <w:color w:val="auto"/>
              </w:rPr>
              <w:t>127.9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41"/>
              <w:spacing w:after="0"/>
              <w:rPr>
                <w:sz w:val="20"/>
                <w:szCs w:val="20"/>
                <w:color w:val="auto"/>
              </w:rPr>
            </w:pPr>
            <w:r>
              <w:rPr>
                <w:rFonts w:ascii="Arial" w:cs="Arial" w:eastAsia="Arial" w:hAnsi="Arial"/>
                <w:sz w:val="12"/>
                <w:szCs w:val="12"/>
                <w:color w:val="auto"/>
              </w:rPr>
              <w:t>139.5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Interest expense</w:t>
            </w: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0.5</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377.0</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right"/>
              <w:spacing w:after="0" w:line="115" w:lineRule="exact"/>
              <w:rPr>
                <w:sz w:val="20"/>
                <w:szCs w:val="20"/>
                <w:color w:val="auto"/>
              </w:rPr>
            </w:pPr>
            <w:r>
              <w:rPr>
                <w:rFonts w:ascii="Arial" w:cs="Arial" w:eastAsia="Arial" w:hAnsi="Arial"/>
                <w:sz w:val="12"/>
                <w:szCs w:val="12"/>
                <w:color w:val="auto"/>
              </w:rPr>
              <w:t>&lt;</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20" w:type="dxa"/>
            <w:vAlign w:val="bottom"/>
            <w:vMerge w:val="restart"/>
          </w:tcPr>
          <w:p>
            <w:pPr>
              <w:ind w:left="540"/>
              <w:spacing w:after="0"/>
              <w:rPr>
                <w:sz w:val="20"/>
                <w:szCs w:val="20"/>
                <w:color w:val="auto"/>
              </w:rPr>
            </w:pPr>
            <w:r>
              <w:rPr>
                <w:rFonts w:ascii="Arial" w:cs="Arial" w:eastAsia="Arial" w:hAnsi="Arial"/>
                <w:sz w:val="12"/>
                <w:szCs w:val="12"/>
                <w:color w:val="auto"/>
              </w:rPr>
              <w:t>Total expenses</w:t>
            </w:r>
          </w:p>
        </w:tc>
        <w:tc>
          <w:tcPr>
            <w:tcW w:w="5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336.6/div&gt;</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restart"/>
          </w:tcPr>
          <w:p>
            <w:pPr>
              <w:jc w:val="right"/>
              <w:ind w:right="41"/>
              <w:spacing w:after="0"/>
              <w:rPr>
                <w:sz w:val="20"/>
                <w:szCs w:val="20"/>
                <w:color w:val="auto"/>
              </w:rPr>
            </w:pPr>
            <w:r>
              <w:rPr>
                <w:rFonts w:ascii="Arial" w:cs="Arial" w:eastAsia="Arial" w:hAnsi="Arial"/>
                <w:sz w:val="12"/>
                <w:szCs w:val="12"/>
                <w:color w:val="auto"/>
              </w:rPr>
              <w:t>348.3</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420" w:type="dxa"/>
            <w:vAlign w:val="bottom"/>
            <w:tcBorders>
              <w:bottom w:val="single" w:sz="8" w:color="CCEEFF"/>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Earnings before income taxes and equity in earnings of unconsolidated affiliates</w:t>
            </w:r>
          </w:p>
        </w:tc>
        <w:tc>
          <w:tcPr>
            <w:tcW w:w="5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27.3</w:t>
            </w:r>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2"/>
                <w:szCs w:val="12"/>
                <w:color w:val="auto"/>
              </w:rPr>
              <w:t>43.6</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35.0</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Revenues from specialty insurance include revenues from the issuance of flood, homeowners’, automobile, and other personal lines insurance policies and home warranty policies. In our flood insurance business, we provide coverage under the National Flood Insurance Program, which is the U.S. federal flood insurance program, and receive fees for selling policies and for assistance in settling claims. Specialty insurance revenues were $404.3 million, $380.2 million, and $383.3 million for the years ended December 31, 2010, 2009, and 2008, respectively. The increase in revenues in 2010 compared to 2009 was due to increases in all lines of specialty insurance business. The decrease in revenues in 2009 compared to 2008 was due to a decrease in the homeowners’ and flood insurance lines of business partially offset by an increase in the home warranty line of business.</w:t>
      </w:r>
    </w:p>
    <w:p>
      <w:pPr>
        <w:spacing w:after="0" w:line="73" w:lineRule="exact"/>
        <w:rPr>
          <w:sz w:val="20"/>
          <w:szCs w:val="20"/>
          <w:color w:val="auto"/>
        </w:rPr>
      </w:pPr>
    </w:p>
    <w:p>
      <w:pPr>
        <w:jc w:val="both"/>
        <w:ind w:firstLine="257"/>
        <w:spacing w:after="0" w:line="276" w:lineRule="auto"/>
        <w:rPr>
          <w:sz w:val="20"/>
          <w:szCs w:val="20"/>
          <w:color w:val="auto"/>
        </w:rPr>
      </w:pPr>
      <w:r>
        <w:rPr>
          <w:rFonts w:ascii="Arial" w:cs="Arial" w:eastAsia="Arial" w:hAnsi="Arial"/>
          <w:sz w:val="12"/>
          <w:szCs w:val="12"/>
          <w:color w:val="auto"/>
        </w:rPr>
        <w:t>Flood revenues increased $8.4 million, or 5.3%, in 2010 compared to 2009, due to higher pricing and volume in 2010. Flood revenues decreased $2.8 million, or 1.8%, in 2009 compared to 2008, due to the inclusion of claims processing revenue related to the more active hurricane season in 2008.</w:t>
      </w:r>
    </w:p>
    <w:p>
      <w:pPr>
        <w:spacing w:after="0" w:line="79" w:lineRule="exact"/>
        <w:rPr>
          <w:sz w:val="20"/>
          <w:szCs w:val="20"/>
          <w:color w:val="auto"/>
        </w:rPr>
      </w:pPr>
    </w:p>
    <w:p>
      <w:pPr>
        <w:jc w:val="both"/>
        <w:ind w:firstLine="255"/>
        <w:spacing w:after="0" w:line="323" w:lineRule="auto"/>
        <w:rPr>
          <w:sz w:val="20"/>
          <w:szCs w:val="20"/>
          <w:color w:val="auto"/>
        </w:rPr>
      </w:pPr>
      <w:r>
        <w:rPr>
          <w:rFonts w:ascii="Arial" w:cs="Arial" w:eastAsia="Arial" w:hAnsi="Arial"/>
          <w:sz w:val="11"/>
          <w:szCs w:val="11"/>
          <w:color w:val="auto"/>
        </w:rPr>
        <w:t>Revenues from the homeowners’ and automobile insurance lines of business increased $11.8 million, or 7.9%, in 2010 compared to 2009, due to higher sales volumes in 2010. Revenues from the homeowners’ and automobile insurance lines of business decreased $9.5 million, or 6.4%, in 2009 compared to 2008, due to tighter underwriting standards, the elimination of certain unprofitable agents and territories, and a lower real estate market overall.</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Revenues from the home warranty line of business increased moderately in both years by $3.9 million, or 5.3%, in 2010 from 2009 and $5.0 million, or 7.6%, in 2009 from 2008.</w:t>
      </w:r>
    </w:p>
    <w:p>
      <w:pPr>
        <w:spacing w:after="0" w:line="114"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color w:val="auto"/>
        </w:rPr>
        <w:t>Personnel costs were $47.9 million, $45.3 million, and $45.2 million for the years ended December 31, 2010, 2009, and 2008, respect ively. As a percentage of total specialty insurance revenues, personnel costs were 11.8% in 2010, 11.9% in 2009 and 11.8% in 2008.</w:t>
      </w:r>
    </w:p>
    <w:p>
      <w:pPr>
        <w:spacing w:after="0" w:line="7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Other operating expenses in the specialty insurance segment were $170.7 million, $158.3 million, and $&lt; /font&gt;158.2 million for the years ended December 31, 2010, 2009, and 2008, respectively. Other operating expenses were 42.2%, 41.6% and 41.3% of specialty revenue for the years ended December 31, 2010, 2009, and 2008, respectively.</w:t>
      </w:r>
    </w:p>
    <w:p>
      <w:pPr>
        <w:spacing w:after="0" w:line="79"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2"/>
          <w:szCs w:val="12"/>
          <w:color w:val="auto"/>
        </w:rPr>
        <w:t>The provision for claim loss expense was $154.0 million, $127.9 million, and $139.5 million for the years ended December 31, 2010, 2009, and 2008, respectively. The increase in 2010 relates to losses in the first quarter because of flooding in the Northeast and soot and smoke damage from California fires, as well as $10 million in losses incurred in the fourth quarter due to a severe October hailstorm in Phoenix, Arizona. The decrease in 2009 reflects the decreased homeowners’ and automobile insurance business. As a percentage of premiums earned, the claim loss provision was 67.6% in 2010, 60.7% in 2009 and 64.8% in 2008.</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131" w:right="199" w:bottom="1440" w:gutter="0" w:footer="0" w:header="0"/>
        </w:sectPr>
      </w:pPr>
    </w:p>
    <w:bookmarkStart w:id="41" w:name="page42"/>
    <w:bookmarkEnd w:id="41"/>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 summary of the reserve for claim losses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Year Ended December 31,</w:t>
            </w: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r>
        <w:trPr>
          <w:trHeight w:val="169"/>
        </w:trPr>
        <w:tc>
          <w:tcPr>
            <w:tcW w:w="6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2010</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2009</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auto"/>
            </w:tcBorders>
          </w:tcPr>
          <w:p>
            <w:pPr>
              <w:spacing w:after="0"/>
              <w:rPr>
                <w:sz w:val="14"/>
                <w:szCs w:val="14"/>
                <w:color w:val="auto"/>
              </w:rPr>
            </w:pPr>
          </w:p>
        </w:tc>
      </w:tr>
      <w:tr>
        <w:trPr>
          <w:trHeight w:val="124"/>
        </w:trPr>
        <w:tc>
          <w:tcPr>
            <w:tcW w:w="6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87"/>
              </w:rPr>
              <w:t>(Dollars in millio ns)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4"/>
        </w:trPr>
        <w:tc>
          <w:tcPr>
            <w:tcW w:w="6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Beginning balance</w:t>
            </w:r>
          </w:p>
        </w:tc>
        <w:tc>
          <w:tcPr>
            <w:tcW w:w="5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52.6</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59.6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65.8</w:t>
            </w:r>
          </w:p>
        </w:tc>
        <w:tc>
          <w:tcPr>
            <w:tcW w:w="180" w:type="dxa"/>
            <w:vAlign w:val="bottom"/>
            <w:shd w:val="clear" w:color="auto" w:fill="CCEEFF"/>
          </w:tcPr>
          <w:p>
            <w:pPr>
              <w:spacing w:after="0"/>
              <w:rPr>
                <w:sz w:val="16"/>
                <w:szCs w:val="16"/>
                <w:color w:val="auto"/>
              </w:rPr>
            </w:pPr>
          </w:p>
        </w:tc>
      </w:tr>
      <w:tr>
        <w:trPr>
          <w:trHeight w:val="171"/>
        </w:trPr>
        <w:tc>
          <w:tcPr>
            <w:tcW w:w="6660" w:type="dxa"/>
            <w:vAlign w:val="bottom"/>
          </w:tcPr>
          <w:p>
            <w:pPr>
              <w:ind w:left="220"/>
              <w:spacing w:after="0"/>
              <w:rPr>
                <w:sz w:val="20"/>
                <w:szCs w:val="20"/>
                <w:color w:val="auto"/>
              </w:rPr>
            </w:pPr>
            <w:r>
              <w:rPr>
                <w:rFonts w:ascii="Arial" w:cs="Arial" w:eastAsia="Arial" w:hAnsi="Arial"/>
                <w:sz w:val="12"/>
                <w:szCs w:val="12"/>
                <w:color w:val="auto"/>
              </w:rPr>
              <w:t>Claim loss provision related to:</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9"/>
        </w:trPr>
        <w:tc>
          <w:tcPr>
            <w:tcW w:w="66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Current year</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153.6</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136.3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148.8</w:t>
            </w:r>
          </w:p>
        </w:tc>
        <w:tc>
          <w:tcPr>
            <w:tcW w:w="180" w:type="dxa"/>
            <w:vAlign w:val="bottom"/>
            <w:shd w:val="clear" w:color="auto" w:fill="CCEEFF"/>
          </w:tcPr>
          <w:p>
            <w:pPr>
              <w:spacing w:after="0"/>
              <w:rPr>
                <w:sz w:val="16"/>
                <w:szCs w:val="16"/>
                <w:color w:val="auto"/>
              </w:rPr>
            </w:pPr>
          </w:p>
        </w:tc>
      </w:tr>
      <w:tr>
        <w:trPr>
          <w:trHeight w:val="171"/>
        </w:trPr>
        <w:tc>
          <w:tcPr>
            <w:tcW w:w="66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Prior years</w:t>
            </w: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0.4</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color w:val="auto"/>
              </w:rPr>
              <w:t>(8.4</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8"/>
        </w:trPr>
        <w:tc>
          <w:tcPr>
            <w:tcW w:w="66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Total claim loss provision</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154.0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127.9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139.5</w:t>
            </w:r>
          </w:p>
        </w:tc>
        <w:tc>
          <w:tcPr>
            <w:tcW w:w="180" w:type="dxa"/>
            <w:vAlign w:val="bottom"/>
            <w:shd w:val="clear" w:color="auto" w:fill="CCEEFF"/>
          </w:tcPr>
          <w:p>
            <w:pPr>
              <w:spacing w:after="0"/>
              <w:rPr>
                <w:sz w:val="15"/>
                <w:szCs w:val="15"/>
                <w:color w:val="auto"/>
              </w:rPr>
            </w:pPr>
          </w:p>
        </w:tc>
      </w:tr>
      <w:tr>
        <w:trPr>
          <w:trHeight w:val="171"/>
        </w:trPr>
        <w:tc>
          <w:tcPr>
            <w:tcW w:w="6660" w:type="dxa"/>
            <w:vAlign w:val="bottom"/>
          </w:tcPr>
          <w:p>
            <w:pPr>
              <w:ind w:left="220"/>
              <w:spacing w:after="0"/>
              <w:rPr>
                <w:sz w:val="20"/>
                <w:szCs w:val="20"/>
                <w:color w:val="auto"/>
              </w:rPr>
            </w:pPr>
            <w:r>
              <w:rPr>
                <w:rFonts w:ascii="Arial" w:cs="Arial" w:eastAsia="Arial" w:hAnsi="Arial"/>
                <w:sz w:val="12"/>
                <w:szCs w:val="12"/>
                <w:color w:val="auto"/>
              </w:rPr>
              <w:t>Claims paid, net of recoupments related to:</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9"/>
        </w:trPr>
        <w:tc>
          <w:tcPr>
            <w:tcW w:w="66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Current year</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(108.2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(99.9</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(106.5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66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Prior years</w:t>
            </w: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color w:val="auto"/>
              </w:rPr>
              <w:t>(35.0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9"/>
        </w:trPr>
        <w:tc>
          <w:tcPr>
            <w:tcW w:w="6660" w:type="dxa"/>
            <w:vAlign w:val="bottom"/>
            <w:shd w:val="clear" w:color="auto" w:fill="CCEEFF"/>
          </w:tcPr>
          <w:p>
            <w:pPr>
              <w:ind w:left="540"/>
              <w:spacing w:after="0"/>
              <w:rPr>
                <w:sz w:val="20"/>
                <w:szCs w:val="20"/>
                <w:color w:val="auto"/>
              </w:rPr>
            </w:pPr>
            <w:r>
              <w:rPr>
                <w:rFonts w:ascii="Arial" w:cs="Arial" w:eastAsia="Arial" w:hAnsi="Arial"/>
                <w:sz w:val="12"/>
                <w:szCs w:val="12"/>
                <w:color w:val="auto"/>
              </w:rPr>
              <w:t>Total claims paid, net of recoupments</w:t>
            </w: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(144.8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2"/>
                <w:szCs w:val="12"/>
                <w:color w:val="auto"/>
              </w:rPr>
              <w:t>(134.9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(145.7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6660" w:type="dxa"/>
            <w:vAlign w:val="bottom"/>
          </w:tcPr>
          <w:p>
            <w:pPr>
              <w:ind w:left="220"/>
              <w:spacing w:after="0"/>
              <w:rPr>
                <w:sz w:val="20"/>
                <w:szCs w:val="20"/>
                <w:color w:val="auto"/>
              </w:rPr>
            </w:pPr>
            <w:r>
              <w:rPr>
                <w:rFonts w:ascii="Arial" w:cs="Arial" w:eastAsia="Arial" w:hAnsi="Arial"/>
                <w:sz w:val="12"/>
                <w:szCs w:val="12"/>
                <w:color w:val="auto"/>
              </w:rPr>
              <w:t>Ending balance</w:t>
            </w: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61.8</w:t>
            </w:r>
          </w:p>
        </w:tc>
        <w:tc>
          <w:tcPr>
            <w:tcW w:w="1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color w:val="auto"/>
              </w:rPr>
              <w:t>52.6</w:t>
            </w:r>
          </w:p>
        </w:tc>
        <w:tc>
          <w:tcPr>
            <w:tcW w:w="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59.6</w:t>
            </w:r>
          </w:p>
        </w:tc>
        <w:tc>
          <w:tcPr>
            <w:tcW w:w="180" w:type="dxa"/>
            <w:vAlign w:val="bottom"/>
            <w:tcBorders>
              <w:bottom w:val="single" w:sz="8" w:color="auto"/>
            </w:tcBorders>
          </w:tcPr>
          <w:p>
            <w:pPr>
              <w:spacing w:after="0"/>
              <w:rPr>
                <w:sz w:val="16"/>
                <w:szCs w:val="16"/>
                <w:color w:val="auto"/>
              </w:rPr>
            </w:pPr>
          </w:p>
        </w:tc>
      </w:tr>
    </w:tbl>
    <w:p>
      <w:pPr>
        <w:spacing w:after="0" w:line="99"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Corporate and Other Segment</w:t>
      </w:r>
    </w:p>
    <w:p>
      <w:pPr>
        <w:spacing w:after="0" w:line="11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corporate and other segment is primarily comprised of the operations of our parent holding company and smaller entities not included in our operating segments. It generated pretax earnings (losses) of $44.1 million, $(71.6) million, and $(83.7) million for the years ended December 31, 2010, 2009, and 2008, respectively. The increase in pretax earnings in 2010 from 2009 is due to a $98.4 million gain on the sale of our 32% interest in Sedgwick and a $27.2 million gain on the sale of a corporate bond. Interest expense in this segment was $45.9 million, $35.9 million, and $52.4 million for the years ended December 31, 2010, 2009 and 2008, respectively. See the analysis of interest expense under “</w:t>
      </w:r>
      <w:r>
        <w:rPr>
          <w:rFonts w:ascii="Arial" w:cs="Arial" w:eastAsia="Arial" w:hAnsi="Arial"/>
          <w:sz w:val="12"/>
          <w:szCs w:val="12"/>
          <w:i w:val="1"/>
          <w:iCs w:val="1"/>
          <w:color w:val="auto"/>
        </w:rPr>
        <w:t>Consolidated Results of Operations</w:t>
      </w:r>
      <w:r>
        <w:rPr>
          <w:rFonts w:ascii="Arial" w:cs="Arial" w:eastAsia="Arial" w:hAnsi="Arial"/>
          <w:sz w:val="12"/>
          <w:szCs w:val="12"/>
          <w:color w:val="auto"/>
        </w:rPr>
        <w:t>” for further discussion.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i w:val="1"/>
          <w:iCs w:val="1"/>
          <w:color w:val="auto"/>
        </w:rPr>
        <w:t xml:space="preserve">Cash Requirements. </w:t>
      </w:r>
      <w:r>
        <w:rPr>
          <w:rFonts w:ascii="Arial" w:cs="Arial" w:eastAsia="Arial" w:hAnsi="Arial"/>
          <w:sz w:val="11"/>
          <w:szCs w:val="11"/>
          <w:color w:val="auto"/>
        </w:rPr>
        <w:t>Our current cash requirements include operating expenses, taxes, payments of interest and principal on our debt, capital expenditures, business acquisitions, and dividends on our common stock. We paid dividends</w:t>
      </w:r>
      <w:r>
        <w:rPr>
          <w:rFonts w:ascii="Arial" w:cs="Arial" w:eastAsia="Arial" w:hAnsi="Arial"/>
          <w:sz w:val="11"/>
          <w:szCs w:val="11"/>
          <w:i w:val="1"/>
          <w:iCs w:val="1"/>
          <w:color w:val="auto"/>
        </w:rPr>
        <w:t xml:space="preserve"> </w:t>
      </w:r>
      <w:r>
        <w:rPr>
          <w:rFonts w:ascii="Arial" w:cs="Arial" w:eastAsia="Arial" w:hAnsi="Arial"/>
          <w:sz w:val="11"/>
          <w:szCs w:val="11"/>
          <w:color w:val="auto"/>
        </w:rPr>
        <w:t>of $0.69 per share during 2010, or approximately $156.6 million. During the forth quarter of 2010, our Board of Directors set a new dividend payout target of 30% of 2010 net earnings for 2011 common stock dividends, which results in a decrease from the dividend payout level in 2010. Additional uses of cash flow are expected to include stock repurchases, acquisitions, and debt repayments. On January 27, 2011, our Board of Directors formally declared a $0.12 per share cash dividend that is payable on March 31, 2011 to stockholders of record as of March 17, 2011. We continually assess our capital allocation strategy, including decisions relatin g to the amount of our dividend, reducing debt, repurchasing our stock, and/or conserving cash. The declaration of any future dividends is at the discretion of our Board of Directors.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0" w:lineRule="exact"/>
        <w:rPr>
          <w:sz w:val="20"/>
          <w:szCs w:val="20"/>
          <w:color w:val="auto"/>
        </w:rPr>
      </w:pPr>
    </w:p>
    <w:p>
      <w:pPr>
        <w:jc w:val="both"/>
        <w:ind w:firstLine="246"/>
        <w:spacing w:after="0" w:line="323" w:lineRule="auto"/>
        <w:rPr>
          <w:sz w:val="20"/>
          <w:szCs w:val="20"/>
          <w:color w:val="auto"/>
        </w:rPr>
      </w:pPr>
      <w:r>
        <w:rPr>
          <w:rFonts w:ascii="Arial" w:cs="Arial" w:eastAsia="Arial" w:hAnsi="Arial"/>
          <w:sz w:val="11"/>
          <w:szCs w:val="11"/>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56" w:lineRule="exact"/>
        <w:rPr>
          <w:sz w:val="20"/>
          <w:szCs w:val="20"/>
          <w:color w:val="auto"/>
        </w:rPr>
      </w:pPr>
    </w:p>
    <w:p>
      <w:pPr>
        <w:jc w:val="both"/>
        <w:ind w:firstLine="255"/>
        <w:spacing w:after="0" w:line="286" w:lineRule="auto"/>
        <w:rPr>
          <w:sz w:val="20"/>
          <w:szCs w:val="20"/>
          <w:color w:val="auto"/>
        </w:rPr>
      </w:pPr>
      <w:r>
        <w:rPr>
          <w:rFonts w:ascii="Arial" w:cs="Arial" w:eastAsia="Arial" w:hAnsi="Arial"/>
          <w:sz w:val="11"/>
          <w:szCs w:val="11"/>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 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2010, $2,825.9 million of our net assets were restricted from dividend payments without prior approval from the relevant departments of insurance. During 2011, our first tier title insurance subsidiaries can pay or make distributions to us of approximately $76.1 million without prior regulatory approval. Our underwritten title companies and non-title insurance subsidiaries collect revenue and pay operating expenses. However, they are not regulated to the same extent as our insurance subsidiaries.</w:t>
      </w: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177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21" w:lineRule="exact"/>
        <w:rPr>
          <w:sz w:val="20"/>
          <w:szCs w:val="20"/>
          <w:color w:val="auto"/>
        </w:rPr>
      </w:pPr>
    </w:p>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 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89"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2"/>
          <w:szCs w:val="12"/>
          <w:color w:val="auto"/>
        </w:rPr>
        <w:t>We are focused on evaluating our non-core assets and investments as potential vehicles for creating liquidity. Our intent is to use that liquidity for general corporate purposes, including payment of dividends as declared by the Board of Directors and potentially reducing debt, repurchasing shares of our stock, and/or conserving cash. During 2010, we were able to create additional liquidity through the sale of our 32% interest in Sedgwick, which generated approximately $193.6 million in proceeds in 2010.</w:t>
      </w:r>
    </w:p>
    <w:p>
      <w:pPr>
        <w:spacing w:after="0" w:line="87" w:lineRule="exact"/>
        <w:rPr>
          <w:sz w:val="20"/>
          <w:szCs w:val="20"/>
          <w:color w:val="auto"/>
        </w:rPr>
      </w:pPr>
    </w:p>
    <w:p>
      <w:pPr>
        <w:jc w:val="both"/>
        <w:ind w:firstLine="246"/>
        <w:spacing w:after="0" w:line="259" w:lineRule="auto"/>
        <w:rPr>
          <w:sz w:val="20"/>
          <w:szCs w:val="20"/>
          <w:color w:val="auto"/>
        </w:rPr>
      </w:pPr>
      <w:r>
        <w:rPr>
          <w:rFonts w:ascii="Arial" w:cs="Arial" w:eastAsia="Arial" w:hAnsi="Arial"/>
          <w:sz w:val="12"/>
          <w:szCs w:val="12"/>
          <w:color w:val="auto"/>
        </w:rPr>
        <w:t>Our cash flows provided by operations for the years ended December 31, 2010, 2009, and 2008 were $182.5 million, $380.3 million, and $4.6 million, respectively. The decrease in cash provided by operations of $197.8 million from 2009 to 2010 included an increase in claims paid of approximately $148.1 million and an increase in income taxes paid of $36.3 mill ion resulting from net income tax payments of $33.8 million in 2010 compared with tax refunds of $2.5 million in 2009. The remainder of the decrease was due to the 2010 net income including a higher proportion of income relating to investing activities as compared to 2009. The increase in cash provided by operations of $375.7 million from 2009 to 2008 was primarily due to overall higher income in 2009 versus 2008.</w:t>
      </w:r>
    </w:p>
    <w:p>
      <w:pPr>
        <w:spacing w:after="0" w:line="89" w:lineRule="exact"/>
        <w:rPr>
          <w:sz w:val="20"/>
          <w:szCs w:val="20"/>
          <w:color w:val="auto"/>
        </w:rPr>
      </w:pPr>
    </w:p>
    <w:p>
      <w:pPr>
        <w:jc w:val="both"/>
        <w:ind w:firstLine="246"/>
        <w:spacing w:after="0" w:line="298" w:lineRule="auto"/>
        <w:rPr>
          <w:sz w:val="20"/>
          <w:szCs w:val="20"/>
          <w:color w:val="auto"/>
        </w:rPr>
      </w:pPr>
      <w:r>
        <w:rPr>
          <w:rFonts w:ascii="Arial" w:cs="Arial" w:eastAsia="Arial" w:hAnsi="Arial"/>
          <w:sz w:val="11"/>
          <w:szCs w:val="11"/>
          <w:i w:val="1"/>
          <w:iCs w:val="1"/>
          <w:color w:val="auto"/>
        </w:rPr>
        <w:t xml:space="preserve">Capital Expenditures. </w:t>
      </w:r>
      <w:r>
        <w:rPr>
          <w:rFonts w:ascii="Arial" w:cs="Arial" w:eastAsia="Arial" w:hAnsi="Arial"/>
          <w:sz w:val="11"/>
          <w:szCs w:val="11"/>
          <w:color w:val="auto"/>
        </w:rPr>
        <w:t>Total capital expenditu res for property and equipment were $44.4 million, $50.8 million, and $84.2 million for the years ended December 31, 2010, 2009, and 2008, respectively. For the years ended December</w:t>
      </w:r>
      <w:r>
        <w:rPr>
          <w:rFonts w:ascii="Arial" w:cs="Arial" w:eastAsia="Arial" w:hAnsi="Arial"/>
          <w:sz w:val="11"/>
          <w:szCs w:val="11"/>
          <w:i w:val="1"/>
          <w:iCs w:val="1"/>
          <w:color w:val="auto"/>
        </w:rPr>
        <w:t xml:space="preserve"> </w:t>
      </w:r>
      <w:r>
        <w:rPr>
          <w:rFonts w:ascii="Arial" w:cs="Arial" w:eastAsia="Arial" w:hAnsi="Arial"/>
          <w:sz w:val="11"/>
          <w:szCs w:val="11"/>
          <w:color w:val="auto"/>
        </w:rPr>
        <w:t>31, 2009 and 2008, capital expenditures included $21.0 million and $60.6 million, respectively, for the purchase of assets leased to others, including FIS. The decrease from 2008 to 2009 is due to the sale of FN Capital in 2009, to which the majority of these asset purchases leased to others were related. Total capital expenditures for software were $9.5 million, $7.1 million, and $17.1 million in 2010, 2009, and 2008, respectively.</w:t>
      </w:r>
    </w:p>
    <w:p>
      <w:pPr>
        <w:spacing w:after="0" w:line="69" w:lineRule="exact"/>
        <w:rPr>
          <w:sz w:val="20"/>
          <w:szCs w:val="20"/>
          <w:color w:val="auto"/>
        </w:rPr>
      </w:pPr>
    </w:p>
    <w:p>
      <w:pPr>
        <w:jc w:val="both"/>
        <w:ind w:firstLine="255"/>
        <w:spacing w:after="0" w:line="286" w:lineRule="auto"/>
        <w:rPr>
          <w:sz w:val="20"/>
          <w:szCs w:val="20"/>
          <w:color w:val="auto"/>
        </w:rPr>
      </w:pPr>
      <w:r>
        <w:rPr>
          <w:rFonts w:ascii="Arial" w:cs="Arial" w:eastAsia="Arial" w:hAnsi="Arial"/>
          <w:sz w:val="11"/>
          <w:szCs w:val="11"/>
          <w:i w:val="1"/>
          <w:iCs w:val="1"/>
          <w:color w:val="auto"/>
        </w:rPr>
        <w:t xml:space="preserve">Financing. </w:t>
      </w:r>
      <w:r>
        <w:rPr>
          <w:rFonts w:ascii="Arial" w:cs="Arial" w:eastAsia="Arial" w:hAnsi="Arial"/>
          <w:sz w:val="11"/>
          <w:szCs w:val="11"/>
          <w:color w:val="auto"/>
        </w:rPr>
        <w:t>On May 5, 2010, we completed an offering of $300.0 million in aggregate principal amount of our 6.60% notes due May 2017 (the "notes"), pursuant to an effective registration statement previously filed with the</w:t>
      </w:r>
      <w:r>
        <w:rPr>
          <w:rFonts w:ascii="Arial" w:cs="Arial" w:eastAsia="Arial" w:hAnsi="Arial"/>
          <w:sz w:val="11"/>
          <w:szCs w:val="11"/>
          <w:i w:val="1"/>
          <w:iCs w:val="1"/>
          <w:color w:val="auto"/>
        </w:rPr>
        <w:t xml:space="preserve"> </w:t>
      </w:r>
      <w:r>
        <w:rPr>
          <w:rFonts w:ascii="Arial" w:cs="Arial" w:eastAsia="Arial" w:hAnsi="Arial"/>
          <w:sz w:val="11"/>
          <w:szCs w:val="11"/>
          <w:color w:val="auto"/>
        </w:rPr>
        <w:t>Securities and Exchange Commission. The notes were priced at 99.897% of par to yield 6.61% annual interest. As such we recorded a discount of $0.3 million, which is netted against the $300.0 million aggregate principal amount of notes. The discount is amortized to May 2017 when the notes mature. We received net procee ds of $297.3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11"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Effective March 5, 2010, we entered into an agreement to amend and extend our credit agreement dated September 12, 2006 (t he “Credit Agreement”) with Bank of America, N.A. as administrative agent and swing line lender (the “Administrative Agent”), and the other financial institutions party thereto, and an agreement to change the aggregate size of the credit facility under the Credit Agreement. These agreements reduced the total size of the credit facility from $1.1 billion to $951.2 million, with an option to increase the size of the credit facility to $1.1 billion, and created a new tranche, representing $925.0 million of the total credit facility, with an extended maturity date of March 5, 2013. Pricing for the new tranche is based on an applicable margin between 110 basis points to 190 basis points over LIBOR, depending on the senior debt ratings of FNF, and is at 150 basis points over LIBOR as of December 31, 2010. The Credit Agreement remains subject to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prohibits us from paying dividends to our stockholders if an event of default has occurred and is continuing or would result therefrom. The Credit Agreement requires us to maintain certain financial 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 he lenders’ commitments will</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131" w:right="199" w:bottom="1440" w:gutter="0" w:footer="0" w:header="0"/>
        </w:sectPr>
      </w:pPr>
    </w:p>
    <w:bookmarkStart w:id="42" w:name="page43"/>
    <w:bookmarkEnd w:id="42"/>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automatically terminate. As of December 31, 2010, we had outstanding debt with a principal amount of $250.0 million under the Credit Agreement, composed of $6.9 million due October 2011 with interest payable monthly at LIBOR plus 0.475% (0.74% at December 31, 2010) and $243.1 million due March 2013 with interest payable monthly at LIBOR plus 1.50% (1.76% at December 31, 2010.)</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outstanding debt also includes $165.6 million aggregate principal amount of our 7.30% notes due 2011 and $236.2&amp;nbs p;million aggregate principal amount of our 5.25% notes due 2013. These notes contain customary covenants and events of default for investment grade public debt. The available capacity under our Credit Agreement as of December 31. 2010 would be more than enough to repay the $165.6 million aggregate principal amount of our 7.30% notes due in August 2011.</w:t>
      </w:r>
    </w:p>
    <w:p>
      <w:pPr>
        <w:spacing w:after="0" w:line="123"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The indenture governing the 7.30% notes and the 5.25% notes also contains customary events of default. These events of default include a cross default provision, with respect to any other debt of the Company in an aggregat e amount exceeding $20 million for all such debt, arising from (i) failure to make a principal payment when due or (ii) the occurrence of an event which results in such debt being due and payable prior to its scheduled maturity.</w:t>
      </w:r>
    </w:p>
    <w:p>
      <w:pPr>
        <w:spacing w:after="0" w:line="9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April 14, 2009, we received $331.4 million in net proceeds from our offering of a total of 18,170,000 shares of our common stock. The proceeds were partially used to repay $135.0 million in borrowings under our $1.1 billion revolving credit facility. In addition, we used the proceeds to purchase $67.8 million in par value of our 7.30% notes due in 2011 for an aggregate purchase price of $68.7 million, including accrued interest of $1.2 m illion, and $3.0 million in par value of our 5.25% notes due in 2013 for an aggregate purchase price of $2.8 million. In the third and fourth quarters of 2009, one of our underwriters purchased $7.8 million in par value of our 7.30% notes for a total purchase price of $8.0 million.</w:t>
      </w:r>
    </w:p>
    <w:p>
      <w:pPr>
        <w:spacing w:after="0" w:line="12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December 22, 2008, in connection with the acquisition of the LFG Underwriters, we entered into a $50.0 million subordinated note payable to LFG, due December 2013, with interest of 2.36% payable annually. On March 1, 2010, we paid approximately $49.0 million to the LFG Liquidation Trust in full satisfaction of this obligation.</w:t>
      </w:r>
    </w:p>
    <w:p>
      <w:pPr>
        <w:spacing w:after="0" w:line="7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i w:val="1"/>
          <w:iCs w:val="1"/>
          <w:color w:val="auto"/>
        </w:rPr>
        <w:t xml:space="preserve">Seasonality. </w:t>
      </w:r>
      <w:r>
        <w:rPr>
          <w:rFonts w:ascii="Arial" w:cs="Arial" w:eastAsia="Arial" w:hAnsi="Arial"/>
          <w:sz w:val="12"/>
          <w:szCs w:val="12"/>
          <w:color w:val="auto"/>
        </w:rPr>
        <w:t>Historically, real estate transactions have produced seasonal revenue levels for title insurers. The first calendar quarter is typically the weakest quarter in terms of revenue due to the generally low volume of home sales</w:t>
      </w:r>
      <w:r>
        <w:rPr>
          <w:rFonts w:ascii="Arial" w:cs="Arial" w:eastAsia="Arial" w:hAnsi="Arial"/>
          <w:sz w:val="12"/>
          <w:szCs w:val="12"/>
          <w:i w:val="1"/>
          <w:iCs w:val="1"/>
          <w:color w:val="auto"/>
        </w:rPr>
        <w:t xml:space="preserve"> </w:t>
      </w:r>
      <w:r>
        <w:rPr>
          <w:rFonts w:ascii="Arial" w:cs="Arial" w:eastAsia="Arial" w:hAnsi="Arial"/>
          <w:sz w:val="12"/>
          <w:szCs w:val="12"/>
          <w:color w:val="auto"/>
        </w:rPr>
        <w:t>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In the past four years, we have seen a divergence from these historical trends with orders being negatively effected by a reduction in the availability of financing, rising default levels, and falling home values causing an overall downward trend in home sales. In addition we have noted short term fluctuations through recent years in resale and refinance transactions as a result of changes in interest rates and the implementation and subsequent expiration of government programs designed to stimulate the real estate market.</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1"/>
          <w:szCs w:val="11"/>
          <w:i w:val="1"/>
          <w:iCs w:val="1"/>
          <w:color w:val="auto"/>
        </w:rPr>
        <w:t xml:space="preserve">Contractual Obligations.  </w:t>
      </w:r>
      <w:r>
        <w:rPr>
          <w:rFonts w:ascii="Arial" w:cs="Arial" w:eastAsia="Arial" w:hAnsi="Arial"/>
          <w:sz w:val="11"/>
          <w:szCs w:val="11"/>
          <w:color w:val="auto"/>
        </w:rPr>
        <w:t>Our long term contractual obligations generally include our loss reserves, our credit agreements and other debt facilities and operating lease payments on certain of our premises and equipment. As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2010, our r equired annual payments relating to these contractual obligations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9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2011</w:t>
            </w: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2012</w:t>
            </w:r>
          </w:p>
        </w:tc>
        <w:tc>
          <w:tcPr>
            <w:tcW w:w="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2013</w:t>
            </w:r>
          </w:p>
        </w:tc>
        <w:tc>
          <w:tcPr>
            <w:tcW w:w="2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2014</w:t>
            </w: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2015</w:t>
            </w: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Thereafter</w:t>
            </w: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Total</w:t>
            </w:r>
          </w:p>
        </w:tc>
      </w:tr>
      <w:tr>
        <w:trPr>
          <w:trHeight w:val="124"/>
        </w:trPr>
        <w:tc>
          <w:tcPr>
            <w:tcW w:w="1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0"/>
                <w:szCs w:val="10"/>
                <w:b w:val="1"/>
                <w:bCs w:val="1"/>
                <w:color w:val="auto"/>
              </w:rPr>
              <w:t>(In millions)</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84"/>
        </w:trPr>
        <w:tc>
          <w:tcPr>
            <w:tcW w:w="1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Notes payable</w:t>
            </w:r>
          </w:p>
        </w:tc>
        <w:tc>
          <w:tcPr>
            <w:tcW w:w="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172.7</w:t>
            </w:r>
          </w:p>
        </w:tc>
        <w:tc>
          <w:tcPr>
            <w:tcW w:w="300" w:type="dxa"/>
            <w:vAlign w:val="bottom"/>
            <w:shd w:val="clear" w:color="auto" w:fill="CCEEFF"/>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0.3</w:t>
            </w: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479.3</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299.7</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952.0</w:t>
            </w:r>
          </w:p>
        </w:tc>
      </w:tr>
      <w:tr>
        <w:trPr>
          <w:trHeight w:val="180"/>
        </w:trPr>
        <w:tc>
          <w:tcPr>
            <w:tcW w:w="1920" w:type="dxa"/>
            <w:vAlign w:val="bottom"/>
          </w:tcPr>
          <w:p>
            <w:pPr>
              <w:ind w:left="220"/>
              <w:spacing w:after="0"/>
              <w:rPr>
                <w:sz w:val="20"/>
                <w:szCs w:val="20"/>
                <w:color w:val="auto"/>
              </w:rPr>
            </w:pPr>
            <w:r>
              <w:rPr>
                <w:rFonts w:ascii="Arial" w:cs="Arial" w:eastAsia="Arial" w:hAnsi="Arial"/>
                <w:sz w:val="12"/>
                <w:szCs w:val="12"/>
                <w:color w:val="auto"/>
              </w:rPr>
              <w:t>Operating lease payments</w:t>
            </w:r>
          </w:p>
        </w:tc>
        <w:tc>
          <w:tcPr>
            <w:tcW w:w="42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117.2</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181"/>
              <w:spacing w:after="0"/>
              <w:rPr>
                <w:sz w:val="20"/>
                <w:szCs w:val="20"/>
                <w:color w:val="auto"/>
              </w:rPr>
            </w:pPr>
            <w:r>
              <w:rPr>
                <w:rFonts w:ascii="Arial" w:cs="Arial" w:eastAsia="Arial" w:hAnsi="Arial"/>
                <w:sz w:val="12"/>
                <w:szCs w:val="12"/>
                <w:color w:val="auto"/>
              </w:rPr>
              <w:t>85.0</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ind w:right="201"/>
              <w:spacing w:after="0"/>
              <w:rPr>
                <w:sz w:val="20"/>
                <w:szCs w:val="20"/>
                <w:color w:val="auto"/>
              </w:rPr>
            </w:pPr>
            <w:r>
              <w:rPr>
                <w:rFonts w:ascii="Arial" w:cs="Arial" w:eastAsia="Arial" w:hAnsi="Arial"/>
                <w:sz w:val="12"/>
                <w:szCs w:val="12"/>
                <w:color w:val="auto"/>
              </w:rPr>
              <w:t>52.1</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Arial" w:cs="Arial" w:eastAsia="Arial" w:hAnsi="Arial"/>
                <w:sz w:val="12"/>
                <w:szCs w:val="12"/>
                <w:color w:val="auto"/>
              </w:rPr>
              <w:t>33.4</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181"/>
              <w:spacing w:after="0"/>
              <w:rPr>
                <w:sz w:val="20"/>
                <w:szCs w:val="20"/>
                <w:color w:val="auto"/>
              </w:rPr>
            </w:pPr>
            <w:r>
              <w:rPr>
                <w:rFonts w:ascii="Arial" w:cs="Arial" w:eastAsia="Arial" w:hAnsi="Arial"/>
                <w:sz w:val="12"/>
                <w:szCs w:val="12"/>
                <w:color w:val="auto"/>
              </w:rPr>
              <w:t>17.6</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201"/>
              <w:spacing w:after="0"/>
              <w:rPr>
                <w:sz w:val="20"/>
                <w:szCs w:val="20"/>
                <w:color w:val="auto"/>
              </w:rPr>
            </w:pPr>
            <w:r>
              <w:rPr>
                <w:rFonts w:ascii="Arial" w:cs="Arial" w:eastAsia="Arial" w:hAnsi="Arial"/>
                <w:sz w:val="12"/>
                <w:szCs w:val="12"/>
                <w:color w:val="auto"/>
              </w:rPr>
              <w:t>88.2</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ind w:right="181"/>
              <w:spacing w:after="0"/>
              <w:rPr>
                <w:sz w:val="20"/>
                <w:szCs w:val="20"/>
                <w:color w:val="auto"/>
              </w:rPr>
            </w:pPr>
            <w:r>
              <w:rPr>
                <w:rFonts w:ascii="Arial" w:cs="Arial" w:eastAsia="Arial" w:hAnsi="Arial"/>
                <w:sz w:val="12"/>
                <w:szCs w:val="12"/>
                <w:color w:val="auto"/>
              </w:rPr>
              <w:t>393.5</w:t>
            </w:r>
          </w:p>
        </w:tc>
      </w:tr>
      <w:tr>
        <w:trPr>
          <w:trHeight w:val="180"/>
        </w:trPr>
        <w:tc>
          <w:tcPr>
            <w:tcW w:w="1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Pension payments</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11.6</w:t>
            </w: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11.5</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11.7</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11.6</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100.2</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158.1</w:t>
            </w:r>
          </w:p>
        </w:tc>
      </w:tr>
      <w:tr>
        <w:trPr>
          <w:trHeight w:val="171"/>
        </w:trPr>
        <w:tc>
          <w:tcPr>
            <w:tcW w:w="1920" w:type="dxa"/>
            <w:vAlign w:val="bottom"/>
          </w:tcPr>
          <w:p>
            <w:pPr>
              <w:ind w:left="220"/>
              <w:spacing w:after="0"/>
              <w:rPr>
                <w:sz w:val="20"/>
                <w:szCs w:val="20"/>
                <w:color w:val="auto"/>
              </w:rPr>
            </w:pPr>
            <w:r>
              <w:rPr>
                <w:rFonts w:ascii="Arial" w:cs="Arial" w:eastAsia="Arial" w:hAnsi="Arial"/>
                <w:sz w:val="12"/>
                <w:szCs w:val="12"/>
                <w:color w:val="auto"/>
              </w:rPr>
              <w:t>Title claim losses</w:t>
            </w: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429.0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2"/>
                <w:szCs w:val="12"/>
                <w:color w:val="auto"/>
              </w:rPr>
              <w:t>332.2</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ind w:right="201"/>
              <w:spacing w:after="0"/>
              <w:rPr>
                <w:sz w:val="20"/>
                <w:szCs w:val="20"/>
                <w:color w:val="auto"/>
              </w:rPr>
            </w:pPr>
            <w:r>
              <w:rPr>
                <w:rFonts w:ascii="Arial" w:cs="Arial" w:eastAsia="Arial" w:hAnsi="Arial"/>
                <w:sz w:val="12"/>
                <w:szCs w:val="12"/>
                <w:color w:val="auto"/>
              </w:rPr>
              <w:t>218.1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203"/>
              <w:spacing w:after="0"/>
              <w:rPr>
                <w:sz w:val="20"/>
                <w:szCs w:val="20"/>
                <w:color w:val="auto"/>
              </w:rPr>
            </w:pPr>
            <w:r>
              <w:rPr>
                <w:rFonts w:ascii="Arial" w:cs="Arial" w:eastAsia="Arial" w:hAnsi="Arial"/>
                <w:sz w:val="12"/>
                <w:szCs w:val="12"/>
                <w:color w:val="auto"/>
              </w:rPr>
              <w:t>166.2</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2"/>
                <w:szCs w:val="12"/>
                <w:color w:val="auto"/>
              </w:rPr>
              <w:t>125.4</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201"/>
              <w:spacing w:after="0"/>
              <w:rPr>
                <w:sz w:val="20"/>
                <w:szCs w:val="20"/>
                <w:color w:val="auto"/>
              </w:rPr>
            </w:pPr>
            <w:r>
              <w:rPr>
                <w:rFonts w:ascii="Arial" w:cs="Arial" w:eastAsia="Arial" w:hAnsi="Arial"/>
                <w:sz w:val="12"/>
                <w:szCs w:val="12"/>
                <w:color w:val="auto"/>
              </w:rPr>
              <w:t>698.3</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ind w:right="181"/>
              <w:spacing w:after="0"/>
              <w:rPr>
                <w:sz w:val="20"/>
                <w:szCs w:val="20"/>
                <w:color w:val="auto"/>
              </w:rPr>
            </w:pPr>
            <w:r>
              <w:rPr>
                <w:rFonts w:ascii="Arial" w:cs="Arial" w:eastAsia="Arial" w:hAnsi="Arial"/>
                <w:sz w:val="12"/>
                <w:szCs w:val="12"/>
                <w:color w:val="auto"/>
              </w:rPr>
              <w:t>1,969.2</w:t>
            </w:r>
          </w:p>
        </w:tc>
      </w:tr>
      <w:tr>
        <w:trPr>
          <w:trHeight w:val="189"/>
        </w:trPr>
        <w:tc>
          <w:tcPr>
            <w:tcW w:w="1920" w:type="dxa"/>
            <w:vAlign w:val="bottom"/>
            <w:shd w:val="clear" w:color="auto" w:fill="CCEEFF"/>
          </w:tcPr>
          <w:p>
            <w:pPr>
              <w:ind w:left="220"/>
              <w:spacing w:after="0"/>
              <w:rPr>
                <w:sz w:val="20"/>
                <w:szCs w:val="20"/>
                <w:color w:val="auto"/>
              </w:rPr>
            </w:pPr>
            <w:r>
              <w:rPr>
                <w:rFonts w:ascii="Arial" w:cs="Arial" w:eastAsia="Arial" w:hAnsi="Arial"/>
                <w:sz w:val="12"/>
                <w:szCs w:val="12"/>
                <w:color w:val="auto"/>
                <w:w w:val="97"/>
              </w:rPr>
              <w:t>Specialty insurance claim losses</w:t>
            </w:r>
          </w:p>
        </w:tc>
        <w:tc>
          <w:tcPr>
            <w:tcW w:w="4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42.4</w:t>
            </w: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11.2</w:t>
            </w: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5.4</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2.1</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0.7</w:t>
            </w: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61.8</w:t>
            </w:r>
          </w:p>
        </w:tc>
      </w:tr>
      <w:tr>
        <w:trPr>
          <w:trHeight w:val="171"/>
        </w:trPr>
        <w:tc>
          <w:tcPr>
            <w:tcW w:w="19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benefit payments</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3.0</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color w:val="auto"/>
              </w:rPr>
              <w:t>3.1</w:t>
            </w:r>
          </w:p>
        </w:tc>
        <w:tc>
          <w:tcPr>
            <w:tcW w:w="3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3.1</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color w:val="auto"/>
              </w:rPr>
              <w:t>2.8</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color w:val="auto"/>
              </w:rPr>
              <w:t>2.6</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11.4</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color w:val="auto"/>
              </w:rPr>
              <w:t>26.0</w:t>
            </w:r>
          </w:p>
        </w:tc>
      </w:tr>
      <w:tr>
        <w:trPr>
          <w:trHeight w:val="185"/>
        </w:trPr>
        <w:tc>
          <w:tcPr>
            <w:tcW w:w="1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775.8</w:t>
            </w:r>
          </w:p>
        </w:tc>
        <w:tc>
          <w:tcPr>
            <w:tcW w:w="300" w:type="dxa"/>
            <w:vAlign w:val="bottom"/>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2"/>
                <w:szCs w:val="12"/>
                <w:color w:val="auto"/>
              </w:rPr>
              <w:t>443.4</w:t>
            </w:r>
          </w:p>
        </w:tc>
        <w:tc>
          <w:tcPr>
            <w:tcW w:w="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769.5</w:t>
            </w:r>
          </w:p>
        </w:tc>
        <w:tc>
          <w:tcPr>
            <w:tcW w:w="2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2"/>
                <w:szCs w:val="12"/>
                <w:color w:val="auto"/>
              </w:rPr>
              <w:t>216.2</w:t>
            </w:r>
          </w:p>
        </w:tc>
        <w:tc>
          <w:tcPr>
            <w:tcW w:w="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2"/>
                <w:szCs w:val="12"/>
                <w:color w:val="auto"/>
              </w:rPr>
              <w:t>157.9</w:t>
            </w:r>
          </w:p>
        </w:tc>
        <w:tc>
          <w:tcPr>
            <w:tcW w:w="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1,197.8</w:t>
            </w:r>
          </w:p>
        </w:tc>
        <w:tc>
          <w:tcPr>
            <w:tcW w:w="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2"/>
                <w:szCs w:val="12"/>
                <w:color w:val="auto"/>
              </w:rPr>
              <w:t>3,560.6</w:t>
            </w:r>
          </w:p>
        </w:tc>
      </w:tr>
    </w:tbl>
    <w:p>
      <w:pPr>
        <w:spacing w:after="0" w:line="9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As of December ;31, 2010, we had title insurance reserves of $2,210.9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79"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2"/>
          <w:szCs w:val="12"/>
          <w:color w:val="auto"/>
        </w:rPr>
        <w:t>• &amp;nbs p;</w:t>
      </w:r>
      <w:r>
        <w:rPr>
          <w:sz w:val="20"/>
          <w:szCs w:val="20"/>
          <w:color w:val="auto"/>
        </w:rPr>
        <w:tab/>
      </w:r>
      <w:r>
        <w:rPr>
          <w:rFonts w:ascii="Arial" w:cs="Arial" w:eastAsia="Arial" w:hAnsi="Arial"/>
          <w:sz w:val="10"/>
          <w:szCs w:val="10"/>
          <w:color w:val="auto"/>
        </w:rPr>
        <w:t>future mortgage interest rates, which will affect the number of real estate and refinancing transactions and, therefore, the rate at which title insurance claims will emerge;</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131" w:right="199" w:bottom="1440" w:gutter="0" w:footer="0" w:header="0"/>
        </w:sectPr>
      </w:pPr>
    </w:p>
    <w:bookmarkStart w:id="43" w:name="page44"/>
    <w:bookmarkEnd w:id="43"/>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800" w:hanging="376"/>
        <w:spacing w:after="0"/>
        <w:tabs>
          <w:tab w:leader="none" w:pos="8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legal environment whereby court decisions and reinterpretations of title insurance policy language to broaden coverage could increase total obligations and influence claim payout patterns;</w:t>
      </w:r>
    </w:p>
    <w:p>
      <w:pPr>
        <w:spacing w:after="0" w:line="114" w:lineRule="exact"/>
        <w:rPr>
          <w:rFonts w:ascii="Arial" w:cs="Arial" w:eastAsia="Arial" w:hAnsi="Arial"/>
          <w:sz w:val="12"/>
          <w:szCs w:val="12"/>
          <w:color w:val="auto"/>
        </w:rPr>
      </w:pPr>
    </w:p>
    <w:p>
      <w:pPr>
        <w:ind w:left="580" w:right="20" w:hanging="156"/>
        <w:spacing w:after="0" w:line="276" w:lineRule="auto"/>
        <w:tabs>
          <w:tab w:leader="none" w:pos="796" w:val="left"/>
        </w:tabs>
        <w:numPr>
          <w:ilvl w:val="0"/>
          <w:numId w:val="28"/>
        </w:numPr>
        <w:rPr>
          <w:rFonts w:ascii="Arial" w:cs="Arial" w:eastAsia="Arial" w:hAnsi="Arial"/>
          <w:sz w:val="12"/>
          <w:szCs w:val="12"/>
          <w:color w:val="auto"/>
        </w:rPr>
      </w:pPr>
      <w:r>
        <w:rPr>
          <w:rFonts w:ascii="Arial" w:cs="Arial" w:eastAsia="Arial" w:hAnsi="Arial"/>
          <w:sz w:val="12"/>
          <w:szCs w:val="12"/>
          <w:color w:val="auto"/>
        </w:rPr>
        <w:t>events such as fraud, defalca tion, multiple property title defects, foreclosure rates and individual large loss events that can substantially and unexpectedly cause increases in both the amount and timing of estimated title insurance loss payments; and</w:t>
      </w:r>
    </w:p>
    <w:p>
      <w:pPr>
        <w:spacing w:after="0" w:line="78" w:lineRule="exact"/>
        <w:rPr>
          <w:rFonts w:ascii="Arial" w:cs="Arial" w:eastAsia="Arial" w:hAnsi="Arial"/>
          <w:sz w:val="12"/>
          <w:szCs w:val="12"/>
          <w:color w:val="auto"/>
        </w:rPr>
      </w:pPr>
    </w:p>
    <w:p>
      <w:pPr>
        <w:ind w:left="800" w:hanging="376"/>
        <w:spacing w:after="0"/>
        <w:tabs>
          <w:tab w:leader="none" w:pos="8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loss cost trends whereby increases or decreases in inflationary factors (including the value of real estate) will influence the ultimate amount of title insurance loss payments.</w:t>
      </w:r>
    </w:p>
    <w:p>
      <w:pPr>
        <w:spacing w:after="0" w:line="1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Based on historical title insurance claim experience, we anticipate the above payment patterns. The estimated payment stream excludes unallocated loss adjustment expense (ULAE) and other adjustments which are included in our claim loss provision. ULAE is composed of administrative claims handling expenses, including determination of coverage.</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uncertainty and variation in the timing and amount of claim payments could have a material impact on our cash flows from operations in a particular period.</w:t>
      </w:r>
    </w:p>
    <w:p>
      <w:pPr>
        <w:spacing w:after="0" w:line="114"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2"/>
          <w:szCs w:val="12"/>
          <w:color w:val="auto"/>
        </w:rPr>
        <w:t>In addition to our title insurance reserves, at December 31, 2010, we held claim reserves of $61.8 million in our specialty insurance business segment. There is also uncertainty with respect to the precise payout pattern of these reserves, which we have estimated in the table above based on historical experience.</w:t>
      </w:r>
    </w:p>
    <w:p>
      <w:pPr>
        <w:spacing w:after="0" w:line="79" w:lineRule="exact"/>
        <w:rPr>
          <w:sz w:val="20"/>
          <w:szCs w:val="20"/>
          <w:color w:val="auto"/>
        </w:rPr>
      </w:pPr>
    </w:p>
    <w:p>
      <w:pPr>
        <w:jc w:val="both"/>
        <w:ind w:firstLine="246"/>
        <w:spacing w:after="0" w:line="290" w:lineRule="auto"/>
        <w:rPr>
          <w:sz w:val="20"/>
          <w:szCs w:val="20"/>
          <w:color w:val="auto"/>
        </w:rPr>
      </w:pPr>
      <w:r>
        <w:rPr>
          <w:rFonts w:ascii="Arial" w:cs="Arial" w:eastAsia="Arial" w:hAnsi="Arial"/>
          <w:sz w:val="11"/>
          <w:szCs w:val="11"/>
          <w:i w:val="1"/>
          <w:iCs w:val="1"/>
          <w:color w:val="auto"/>
        </w:rPr>
        <w:t xml:space="preserve">Capital Stock Transactions. </w:t>
      </w:r>
      <w:r>
        <w:rPr>
          <w:rFonts w:ascii="Arial" w:cs="Arial" w:eastAsia="Arial" w:hAnsi="Arial"/>
          <w:sz w:val="11"/>
          <w:szCs w:val="11"/>
          <w:color w:val="auto"/>
        </w:rPr>
        <w:t>On April 14, 2009, we offered 15,800,000 shares of common stock at an offering price of $19.00 per share, pursuant to an effective registration statement previously filed with the Securities and Exchange</w:t>
      </w:r>
      <w:r>
        <w:rPr>
          <w:rFonts w:ascii="Arial" w:cs="Arial" w:eastAsia="Arial" w:hAnsi="Arial"/>
          <w:sz w:val="11"/>
          <w:szCs w:val="11"/>
          <w:i w:val="1"/>
          <w:iCs w:val="1"/>
          <w:color w:val="auto"/>
        </w:rPr>
        <w:t xml:space="preserve"> </w:t>
      </w:r>
      <w:r>
        <w:rPr>
          <w:rFonts w:ascii="Arial" w:cs="Arial" w:eastAsia="Arial" w:hAnsi="Arial"/>
          <w:sz w:val="11"/>
          <w:szCs w:val="11"/>
          <w:color w:val="auto"/>
        </w:rPr>
        <w:t>Commission. The underwriters were granted and chose to exercise an option to purchase additional shares equal to 15% of the offering, or 2,370,000 shares, at the offering price. A total of 18,170,000 shares was issued on April 20, 2009, for net proceeds of approximately $331.4 million. The proceeds were used as follows: $135.0 million to repay borrowings under our $1.1 billion revolving credit facility, $71.5 million to repurchase our public bonds, $50.8 million to repurchase shares of our common stock, $25.0 million as part o f a $57.1 million capital infusion into Lawyers Title and Commonwealth Land Title, and the remainder for general corporate purposes.</w:t>
      </w:r>
    </w:p>
    <w:p>
      <w:pPr>
        <w:spacing w:after="0" w:line="73" w:lineRule="exact"/>
        <w:rPr>
          <w:sz w:val="20"/>
          <w:szCs w:val="20"/>
          <w:color w:val="auto"/>
        </w:rPr>
      </w:pPr>
    </w:p>
    <w:p>
      <w:pPr>
        <w:jc w:val="both"/>
        <w:ind w:firstLine="246"/>
        <w:spacing w:after="0" w:line="310" w:lineRule="auto"/>
        <w:rPr>
          <w:sz w:val="20"/>
          <w:szCs w:val="20"/>
          <w:color w:val="auto"/>
        </w:rPr>
      </w:pPr>
      <w:r>
        <w:rPr>
          <w:rFonts w:ascii="Arial" w:cs="Arial" w:eastAsia="Arial" w:hAnsi="Arial"/>
          <w:sz w:val="10"/>
          <w:szCs w:val="10"/>
          <w:color w:val="auto"/>
        </w:rPr>
        <w:t>On October 25, 2006, the Board of Directors approved a three-year stock repurchase program under which we can repurchase up to 25 million shares of our common stock. We may make repurchases from time to time in the open market, in block purchases or in privately negotiated transactions, depending on market conditions and other factors. Since the original commencement of the plan adopted in October 2006, and through September 2009, we repurchased a total of 17,161,120 shares for $286.2 million, or an average of $16.68 per share. This includes 4,320,750 shares repurchased in 2009 for $57.1 million, or an average of $13.21 per share and 3,165,470 shares repurchased in 2008 for $46.0 million, or $14.53 per share. On July 21, 2009, the Board of Directors approved a three-year stock repurchase program under which we can repurchase up to 15 million shares through July 31, 2012. We began repurchasing shares under this program in October 2009, and we repurchased a total of 1,294,400 shares for $17.9 million, or an average of $13.83 per share in 2009 and 8,664,262 shares for $117.6 million, or an average of $13.57 per share in 2010, including 859,866 shares purchased on January 4, 2010 for $11.6 million from the administrator of two of our former subsidiaries’ employee benefit plans. Because we were actively repurchasing shares of our stock on the open market as part of the stock repurchase plan, we agreed to purchase the shares from the administrator at a price of $13.46 per share, the market price at the time of purchase. Subsequent to year-end we repurchased a total of 560,150 shares for $7.8 million or an average of $13.92 per share through market close on February 22, 2011. Since the original commencement of the plan adopted July 21, 2009, we have repurchased a total of 10,518,812 shares for $143.3 million, or an average of $13.62 per share. On January 27, 2011, our Board of Directors approved an increase in the number of shares that may be repurchased under the program, resulting in 10,000,000 shares in the aggregate remaining that may be purchased under the plan.</w:t>
      </w:r>
    </w:p>
    <w:p>
      <w:pPr>
        <w:spacing w:after="0" w:line="6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Equity Security Investments. </w:t>
      </w:r>
      <w:r>
        <w:rPr>
          <w:rFonts w:ascii="Arial" w:cs="Arial" w:eastAsia="Arial" w:hAnsi="Arial"/>
          <w:sz w:val="12"/>
          <w:szCs w:val="12"/>
          <w:color w:val="auto"/>
        </w:rPr>
        <w:t>Our equity security investments are in companies whose values are subject to significant volatility. Should the fair value of these investments fall below our cost basis and/or the financial condition or</w:t>
      </w:r>
      <w:r>
        <w:rPr>
          <w:rFonts w:ascii="Arial" w:cs="Arial" w:eastAsia="Arial" w:hAnsi="Arial"/>
          <w:sz w:val="12"/>
          <w:szCs w:val="12"/>
          <w:i w:val="1"/>
          <w:iCs w:val="1"/>
          <w:color w:val="auto"/>
        </w:rPr>
        <w:t xml:space="preserve"> </w:t>
      </w:r>
      <w:r>
        <w:rPr>
          <w:rFonts w:ascii="Arial" w:cs="Arial" w:eastAsia="Arial" w:hAnsi="Arial"/>
          <w:sz w:val="12"/>
          <w:szCs w:val="12"/>
          <w:color w:val="auto"/>
        </w:rPr>
        <w:t>prospects of these companies deteriorate, we may determine in a future period that this decline in fair value is other-than-temporary, requiring that an impairment loss be recognized in the period such a determination is made. During the year ended December 31, 2010, we determined that none of our equity securities were other-than-temporarily impaired.</w:t>
      </w:r>
    </w:p>
    <w:p>
      <w:pPr>
        <w:spacing w:after="0" w:line="87" w:lineRule="exact"/>
        <w:rPr>
          <w:sz w:val="20"/>
          <w:szCs w:val="20"/>
          <w:color w:val="auto"/>
        </w:rPr>
      </w:pPr>
    </w:p>
    <w:p>
      <w:pPr>
        <w:jc w:val="both"/>
        <w:ind w:firstLine="246"/>
        <w:spacing w:after="0" w:line="290" w:lineRule="auto"/>
        <w:rPr>
          <w:sz w:val="20"/>
          <w:szCs w:val="20"/>
          <w:color w:val="auto"/>
        </w:rPr>
      </w:pPr>
      <w:r>
        <w:rPr>
          <w:rFonts w:ascii="Arial" w:cs="Arial" w:eastAsia="Arial" w:hAnsi="Arial"/>
          <w:sz w:val="11"/>
          <w:szCs w:val="11"/>
          <w:color w:val="auto"/>
        </w:rPr>
        <w:t>On October 1, 2009, pursuant to an investment agreement between us and FIS dated March 31, 2009 (the “Investment Agreement”), we invested a total of $50.0 million in FIS common stock in connection with a merger between FIS and Metavante Technologies, Inc. Under the terms of the Investment Agreement, we purchased 3 ,215,434 shares of FIS’s common stock at a price of $15.55 per share. Additionally, we received a transaction fee of $1.5 million from FIS. During the third quarter of 2010, we sold 1,611,574 shares as part of a tender offer by FIS at $29.00 per share for a realized gain of $21.7 million. The fair value of this investment is $43.9 million and $75.4 million as of December 31, 2010 and 2009, respectively, and is recorded in equity securities. Changes in fair value of the FIS stock are recorded as other comprehensive earnings.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131" w:right="199" w:bottom="1440" w:gutter="0" w:footer="0" w:header="0"/>
        </w:sectPr>
      </w:pPr>
    </w:p>
    <w:bookmarkStart w:id="44" w:name="page45"/>
    <w:bookmarkEnd w:id="44"/>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1"/>
          <w:szCs w:val="11"/>
          <w:i w:val="1"/>
          <w:iCs w:val="1"/>
          <w:color w:val="auto"/>
        </w:rPr>
        <w:t xml:space="preserve">Off-Balance Sheet Arrangements. </w:t>
      </w:r>
      <w:r>
        <w:rPr>
          <w:rFonts w:ascii="Arial" w:cs="Arial" w:eastAsia="Arial" w:hAnsi="Arial"/>
          <w:sz w:val="11"/>
          <w:szCs w:val="11"/>
          <w:color w:val="auto"/>
        </w:rPr>
        <w:t>We do not engage in off-balance sheet activities other than facility and equipment leasing arrangements. We are party to an off-balance sheet financing arrangement (commonly referred to as a</w:t>
      </w:r>
      <w:r>
        <w:rPr>
          <w:rFonts w:ascii="Arial" w:cs="Arial" w:eastAsia="Arial" w:hAnsi="Arial"/>
          <w:sz w:val="11"/>
          <w:szCs w:val="11"/>
          <w:i w:val="1"/>
          <w:iCs w:val="1"/>
          <w:color w:val="auto"/>
        </w:rPr>
        <w:t xml:space="preserve"> </w:t>
      </w:r>
      <w:r>
        <w:rPr>
          <w:rFonts w:ascii="Arial" w:cs="Arial" w:eastAsia="Arial" w:hAnsi="Arial"/>
          <w:sz w:val="11"/>
          <w:szCs w:val="11"/>
          <w:color w:val="auto"/>
        </w:rPr>
        <w:t>“synthetic lease”). The owner/lessor in this arrangement acquired land and various real property improvements associated with new construction of an office building in Jacksonville, Florida, that are part of FNF’s corporate campus and headquarters. The lease expires on June 28, 2011, with renewal subject to consent of the lessor and the lenders. The lessor is a third-party limited liability company. The synthetic lease facility provides for amounts up to $75.0 million. As of December 31, 2010, the full $75.0 million had been drawn on the facility to finance land costs and related fees and expenses and the outstanding balance was $70.1 million. The lease includes guarantees by us of up to 86.7% of the outstanding lease balance, and options to purchase the facilities at the outstanding lease balance. The guarantee becomes effective if we decline to purchase the facilities at the end of the lease and also decline to renew the lease. In February 2011, we started the process of renewing th e lease. The lessor financed the acquisition of the facilities through funding provided by third-party financial institutions.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Operations. We do not believe the lessor is a variable interest entity, as defined by generally accepted accounting principles on consolidation of variable interest entities.</w:t>
      </w:r>
    </w:p>
    <w:p>
      <w:pPr>
        <w:spacing w:after="0" w:line="80"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December 31, 2010 related to these arrangements.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Recent Accounting Pronouncements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 a description of recent accounting pronouncements, see note R of Notes to Consolidated Financial Statements included elsewhere herein.</w:t>
      </w:r>
    </w:p>
    <w:p>
      <w:pPr>
        <w:spacing w:after="0" w:line="254"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0"/>
          <w:szCs w:val="10"/>
          <w:b w:val="1"/>
          <w:bCs w:val="1"/>
          <w:i w:val="1"/>
          <w:iCs w:val="1"/>
          <w:color w:val="auto"/>
        </w:rPr>
        <w:t>Quantitative and Qualitative Disclosure about Market Risk</w:t>
      </w:r>
    </w:p>
    <w:p>
      <w:pPr>
        <w:spacing w:after="0" w:line="118"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color w:val="auto"/>
        </w:rPr>
        <w:t>In the normal course of business, we are routinely subject to a variety of risks, as described in the Risk Factors section of this Annual Report on Form 10-K and in our other filings with the Securities and Exchange Commission. For example, we are exposed to the risk that decreased real estate activity, which depends in part on the level of interest rates, may reduce our title insurance revenues.</w:t>
      </w:r>
    </w:p>
    <w:p>
      <w:pPr>
        <w:spacing w:after="0" w:line="79"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regularly assess these market risks and have established policies and business practices designed to protect against the adverse effects of these exposures.</w:t>
      </w:r>
    </w:p>
    <w:p>
      <w:pPr>
        <w:spacing w:after="0" w:line="114" w:lineRule="exact"/>
        <w:rPr>
          <w:sz w:val="20"/>
          <w:szCs w:val="20"/>
          <w:color w:val="auto"/>
        </w:rPr>
      </w:pPr>
    </w:p>
    <w:p>
      <w:pPr>
        <w:jc w:val="both"/>
        <w:ind w:firstLine="246"/>
        <w:spacing w:after="0" w:line="290" w:lineRule="auto"/>
        <w:rPr>
          <w:sz w:val="20"/>
          <w:szCs w:val="20"/>
          <w:color w:val="auto"/>
        </w:rPr>
      </w:pPr>
      <w:r>
        <w:rPr>
          <w:rFonts w:ascii="Arial" w:cs="Arial" w:eastAsia="Arial" w:hAnsi="Arial"/>
          <w:sz w:val="11"/>
          <w:szCs w:val="11"/>
          <w:color w:val="auto"/>
        </w:rPr>
        <w:t>At December 31, 2010, we had $952.0 million in long-term debt, of which $ 250.5 million bears interest at a floating rate. Our fixed maturity investments and borrowings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However, we do not currently use derivative financial instruments in any material amount to hedge these r isks.</w:t>
      </w:r>
    </w:p>
    <w:p>
      <w:pPr>
        <w:spacing w:after="0" w:line="73" w:lineRule="exact"/>
        <w:rPr>
          <w:sz w:val="20"/>
          <w:szCs w:val="20"/>
          <w:color w:val="auto"/>
        </w:rPr>
      </w:pPr>
    </w:p>
    <w:p>
      <w:pPr>
        <w:jc w:val="both"/>
        <w:ind w:firstLine="246"/>
        <w:spacing w:after="0" w:line="255" w:lineRule="auto"/>
        <w:rPr>
          <w:sz w:val="20"/>
          <w:szCs w:val="20"/>
          <w:color w:val="auto"/>
        </w:rPr>
      </w:pPr>
      <w:r>
        <w:rPr>
          <w:rFonts w:ascii="Arial" w:cs="Arial" w:eastAsia="Arial" w:hAnsi="Arial"/>
          <w:sz w:val="12"/>
          <w:szCs w:val="12"/>
          <w:color w:val="auto"/>
        </w:rPr>
        <w:t>Equity price risk is the risk that we will incur economic losses due to adverse changes in equity prices. In the past, our exposure to changes in equity prices primarily resulted from our holdings of equity securities. At December 31, 2010, we held $75.2 million in marketable equity securities (not including our equity method investments such as Ceri dian and Remy, which amounted to $527.7 million at December 31, 2010). The balance of equity securities is primarily composed of an investment in FIS stock valued at $43.9 million at December 31, 2010.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131" w:right="199" w:bottom="1440" w:gutter="0" w:footer="0" w:header="0"/>
        </w:sectPr>
      </w:pPr>
    </w:p>
    <w:bookmarkStart w:id="45" w:name="page46"/>
    <w:bookmarkEnd w:id="45"/>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5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 purposes of this Annual Report on Form 10-K, we perform a sensitivity analysis to determine the effects that market risk exposures may have on the fair values of our debt and other financial instruments.</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financial instruments that are included in the sensitivity analysis with respect to interest rate risk include fixed maturity investments and notes payable. The financial instrumen 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8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 re determined by comparing the market price of investments against their reported values as of the balance sheet date.</w:t>
      </w:r>
    </w:p>
    <w:p>
      <w:pPr>
        <w:spacing w:after="0" w:line="87" w:lineRule="exact"/>
        <w:rPr>
          <w:sz w:val="20"/>
          <w:szCs w:val="20"/>
          <w:color w:val="auto"/>
        </w:rPr>
      </w:pPr>
    </w:p>
    <w:p>
      <w:pPr>
        <w:jc w:val="both"/>
        <w:ind w:right="20" w:firstLine="255"/>
        <w:spacing w:after="0" w:line="276" w:lineRule="auto"/>
        <w:rPr>
          <w:sz w:val="20"/>
          <w:szCs w:val="20"/>
          <w:color w:val="auto"/>
        </w:rPr>
      </w:pPr>
      <w:r>
        <w:rPr>
          <w:rFonts w:ascii="Arial" w:cs="Arial" w:eastAsia="Arial" w:hAnsi="Arial"/>
          <w:sz w:val="12"/>
          <w:szCs w:val="12"/>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claim losses (representing 51.2% of total liabilities at December 31, 2010) is not included in the hypothetical effects.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We have no market risk sensitive instruments entered into for trading purposes; therefore, all of our market risk sensitive instruments were entered into for purposes other than trading. The results of the sensitivity analysis at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2010, and December 31, 2009, are as follows: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Interest Rate Risk</w:t>
      </w:r>
    </w:p>
    <w:p>
      <w:pPr>
        <w:spacing w:after="0" w:line="11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2"/>
          <w:szCs w:val="12"/>
          <w:color w:val="auto"/>
        </w:rPr>
        <w:t>At December 31, 2010, an increase (decrease) in the levels of interest rates of 100 basis points, with all other variables held constant, would result in a (decrease) increase in the fai r value of our fixed maturity securities of $111.5 million as compared with a (decrease) increase of $112.5 million at December 31, 2009.</w:t>
      </w:r>
    </w:p>
    <w:p>
      <w:pPr>
        <w:spacing w:after="0" w:line="79"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color w:val="auto"/>
        </w:rPr>
        <w:t>Additionally, fo r the year ended December 31, 2010, an increase (decrease) of 100 basis points in the levels of interest rates, with all other variables held constant, would result in an increase (decrease) in the interest expense on our average outstanding floating rate debt of $2.1 million as compared to an increase (decrease) of $4.4 million for the year ended December 31, 2009.</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Equity Price Risk</w:t>
      </w:r>
    </w:p>
    <w:p>
      <w:pPr>
        <w:spacing w:after="0" w:line="118"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2"/>
          <w:szCs w:val="12"/>
          <w:color w:val="auto"/>
        </w:rPr>
        <w:t>At December 31, 2010, a 20% increase (decrease) in market prices, with all other variables held constant, would result in an increase (de crease) in the fair value of our equity securities portfolio of $15.0 million, as compared with an increase (decrease) of $18.5 million at December 31, 2009. At December 31, 2010, a 20% incre ase (decrease) in the market price of FIS stock, with all other variables held constant, would result in an increase (decrease) in the fair value of our equity securities portfolio of $8.8 million, as compared with an increase (decrease) of $15.1 million at December 31, 2009.</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Other</w:t>
      </w:r>
    </w:p>
    <w:p>
      <w:pPr>
        <w:spacing w:after="0" w:line="118" w:lineRule="exact"/>
        <w:rPr>
          <w:sz w:val="20"/>
          <w:szCs w:val="20"/>
          <w:color w:val="auto"/>
        </w:rPr>
      </w:pPr>
    </w:p>
    <w:p>
      <w:pPr>
        <w:jc w:val="both"/>
        <w:ind w:firstLine="246"/>
        <w:spacing w:after="0" w:line="255" w:lineRule="auto"/>
        <w:rPr>
          <w:sz w:val="20"/>
          <w:szCs w:val="20"/>
          <w:color w:val="auto"/>
        </w:rPr>
      </w:pPr>
      <w:r>
        <w:rPr>
          <w:rFonts w:ascii="Arial" w:cs="Arial" w:eastAsia="Arial" w:hAnsi="Arial"/>
          <w:sz w:val="12"/>
          <w:szCs w:val="12"/>
          <w:color w:val="auto"/>
        </w:rPr>
        <w:t>In addition to our equity securities, fixed maturity investments and borrowings, we hold structured notes which were purchased during 2009 with a par value of $75.0 million and fair value of $90.1 million at December 31, 2010. These instruments are subject to market risks including commodity price risks, foreign currency risks and interest rate risks. The fair value of these instruments represents exit prices obtained from a proprietary valuation model utilized by the trading desk of a broker-dealer. The fair value of the structured notes is subject to various assumptions utilized in the valuation model, some of which include the level of interest rates, and the underlying value of the relevant indexes, exchange-traded funds, and foreign currencies. The structured notes are held for general investment purposes and represent less than two percent of our total investment portfolio. In part because of the relatively small size of this investment, we do not believe that an adverse change in the relevant commodity prices, foreign exchange rates or interest rates on which the value of the notes depends would likely have a material effect on our financial position, and therefore we have not provided a sensitivity analysis for these items.</w:t>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131" w:right="199" w:bottom="1440" w:gutter="0" w:footer="0" w:header="0"/>
        </w:sectPr>
      </w:pPr>
    </w:p>
    <w:bookmarkStart w:id="46" w:name="page47"/>
    <w:bookmarkEnd w:id="4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8.&amp;nb sp;  </w:t>
      </w:r>
      <w:r>
        <w:rPr>
          <w:rFonts w:ascii="Arial" w:cs="Arial" w:eastAsia="Arial" w:hAnsi="Arial"/>
          <w:sz w:val="12"/>
          <w:szCs w:val="12"/>
          <w:b w:val="1"/>
          <w:bCs w:val="1"/>
          <w:i w:val="1"/>
          <w:iCs w:val="1"/>
          <w:color w:val="auto"/>
        </w:rPr>
        <w:t>Financial Statements and Supplementary Data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 TO FINANCIAL INFORMATION</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3"/>
              </w:rPr>
              <w:t>Page</w:t>
            </w:r>
          </w:p>
        </w:tc>
      </w:tr>
      <w:tr>
        <w:trPr>
          <w:trHeight w:val="128"/>
        </w:trPr>
        <w:tc>
          <w:tcPr>
            <w:tcW w:w="2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89"/>
              </w:rPr>
              <w:t>Number</w:t>
            </w:r>
          </w:p>
        </w:tc>
      </w:tr>
      <w:tr>
        <w:trPr>
          <w:trHeight w:val="128"/>
        </w:trPr>
        <w:tc>
          <w:tcPr>
            <w:tcW w:w="10120" w:type="dxa"/>
            <w:vAlign w:val="bottom"/>
            <w:gridSpan w:val="9"/>
          </w:tcPr>
          <w:p>
            <w:pPr>
              <w:spacing w:after="0" w:line="128" w:lineRule="exact"/>
              <w:rPr>
                <w:rFonts w:ascii="Arial" w:cs="Arial" w:eastAsia="Arial" w:hAnsi="Arial"/>
                <w:sz w:val="12"/>
                <w:szCs w:val="12"/>
                <w:color w:val="0000FF"/>
              </w:rPr>
            </w:pPr>
            <w:hyperlink w:anchor="page47">
              <w:r>
                <w:rPr>
                  <w:rFonts w:ascii="Arial" w:cs="Arial" w:eastAsia="Arial" w:hAnsi="Arial"/>
                  <w:sz w:val="12"/>
                  <w:szCs w:val="12"/>
                  <w:color w:val="0000FF"/>
                </w:rPr>
                <w:t>Report of Independent Registered Public Accounting Firm on Effectiveness of Internal Control over Financial Reporting</w:t>
              </w:r>
            </w:hyperlink>
          </w:p>
        </w:tc>
        <w:tc>
          <w:tcPr>
            <w:tcW w:w="740" w:type="dxa"/>
            <w:vAlign w:val="bottom"/>
            <w:gridSpan w:val="4"/>
          </w:tcPr>
          <w:p>
            <w:pPr>
              <w:jc w:val="center"/>
              <w:ind w:left="560"/>
              <w:spacing w:after="0" w:line="128" w:lineRule="exact"/>
              <w:rPr>
                <w:rFonts w:ascii="Arial" w:cs="Arial" w:eastAsia="Arial" w:hAnsi="Arial"/>
                <w:sz w:val="12"/>
                <w:szCs w:val="12"/>
                <w:color w:val="0000FF"/>
                <w:w w:val="89"/>
              </w:rPr>
            </w:pPr>
            <w:hyperlink w:anchor="page47">
              <w:r>
                <w:rPr>
                  <w:rFonts w:ascii="Arial" w:cs="Arial" w:eastAsia="Arial" w:hAnsi="Arial"/>
                  <w:sz w:val="12"/>
                  <w:szCs w:val="12"/>
                  <w:color w:val="0000FF"/>
                  <w:w w:val="89"/>
                </w:rPr>
                <w:t>48</w:t>
              </w:r>
            </w:hyperlink>
          </w:p>
        </w:tc>
        <w:tc>
          <w:tcPr>
            <w:tcW w:w="400" w:type="dxa"/>
            <w:vAlign w:val="bottom"/>
          </w:tcPr>
          <w:p>
            <w:pPr>
              <w:spacing w:after="0"/>
              <w:rPr>
                <w:sz w:val="11"/>
                <w:szCs w:val="11"/>
                <w:color w:val="auto"/>
              </w:rPr>
            </w:pPr>
          </w:p>
        </w:tc>
      </w:tr>
      <w:tr>
        <w:trPr>
          <w:trHeight w:val="160"/>
        </w:trPr>
        <w:tc>
          <w:tcPr>
            <w:tcW w:w="5800" w:type="dxa"/>
            <w:vAlign w:val="bottom"/>
            <w:tcBorders>
              <w:top w:val="single" w:sz="8" w:color="0000FF"/>
            </w:tcBorders>
            <w:gridSpan w:val="8"/>
          </w:tcPr>
          <w:p>
            <w:pPr>
              <w:spacing w:after="0"/>
              <w:rPr>
                <w:rFonts w:ascii="Arial" w:cs="Arial" w:eastAsia="Arial" w:hAnsi="Arial"/>
                <w:sz w:val="12"/>
                <w:szCs w:val="12"/>
                <w:color w:val="0000FF"/>
              </w:rPr>
            </w:pPr>
            <w:hyperlink w:anchor="page48">
              <w:r>
                <w:rPr>
                  <w:rFonts w:ascii="Arial" w:cs="Arial" w:eastAsia="Arial" w:hAnsi="Arial"/>
                  <w:sz w:val="12"/>
                  <w:szCs w:val="12"/>
                  <w:color w:val="0000FF"/>
                </w:rPr>
                <w:t>Report of Independent Registered Public Accounting Firm on Financial Statements</w:t>
              </w:r>
            </w:hyperlink>
          </w:p>
        </w:tc>
        <w:tc>
          <w:tcPr>
            <w:tcW w:w="4320" w:type="dxa"/>
            <w:vAlign w:val="bottom"/>
          </w:tcPr>
          <w:p>
            <w:pPr>
              <w:spacing w:after="0"/>
              <w:rPr>
                <w:sz w:val="13"/>
                <w:szCs w:val="13"/>
                <w:color w:val="auto"/>
              </w:rPr>
            </w:pPr>
          </w:p>
        </w:tc>
        <w:tc>
          <w:tcPr>
            <w:tcW w:w="340" w:type="dxa"/>
            <w:vAlign w:val="bottom"/>
            <w:gridSpan w:val="2"/>
          </w:tcPr>
          <w:p>
            <w:pPr>
              <w:jc w:val="right"/>
              <w:spacing w:after="0"/>
              <w:rPr>
                <w:rFonts w:ascii="Arial" w:cs="Arial" w:eastAsia="Arial" w:hAnsi="Arial"/>
                <w:sz w:val="12"/>
                <w:szCs w:val="12"/>
                <w:color w:val="0000FF"/>
              </w:rPr>
            </w:pPr>
            <w:hyperlink w:anchor="page48">
              <w:r>
                <w:rPr>
                  <w:rFonts w:ascii="Arial" w:cs="Arial" w:eastAsia="Arial" w:hAnsi="Arial"/>
                  <w:sz w:val="12"/>
                  <w:szCs w:val="12"/>
                  <w:color w:val="0000FF"/>
                </w:rPr>
                <w:t>49</w:t>
              </w:r>
            </w:hyperlink>
          </w:p>
        </w:tc>
        <w:tc>
          <w:tcPr>
            <w:tcW w:w="2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r>
      <w:tr>
        <w:trPr>
          <w:trHeight w:val="160"/>
        </w:trPr>
        <w:tc>
          <w:tcPr>
            <w:tcW w:w="4000" w:type="dxa"/>
            <w:vAlign w:val="bottom"/>
            <w:tcBorders>
              <w:top w:val="single" w:sz="8" w:color="0000FF"/>
            </w:tcBorders>
            <w:gridSpan w:val="3"/>
          </w:tcPr>
          <w:p>
            <w:pPr>
              <w:spacing w:after="0"/>
              <w:rPr>
                <w:rFonts w:ascii="Arial" w:cs="Arial" w:eastAsia="Arial" w:hAnsi="Arial"/>
                <w:sz w:val="12"/>
                <w:szCs w:val="12"/>
                <w:color w:val="0000FF"/>
              </w:rPr>
            </w:pPr>
            <w:hyperlink w:anchor="page49">
              <w:r>
                <w:rPr>
                  <w:rFonts w:ascii="Arial" w:cs="Arial" w:eastAsia="Arial" w:hAnsi="Arial"/>
                  <w:sz w:val="12"/>
                  <w:szCs w:val="12"/>
                  <w:color w:val="0000FF"/>
                </w:rPr>
                <w:t>Consolidated Balance Sheets as of December 31, 2010 and 2009</w:t>
              </w:r>
            </w:hyperlink>
          </w:p>
        </w:tc>
        <w:tc>
          <w:tcPr>
            <w:tcW w:w="6120" w:type="dxa"/>
            <w:vAlign w:val="bottom"/>
            <w:gridSpan w:val="6"/>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0" w:type="dxa"/>
            <w:vAlign w:val="bottom"/>
            <w:gridSpan w:val="2"/>
          </w:tcPr>
          <w:p>
            <w:pPr>
              <w:jc w:val="center"/>
              <w:ind w:left="228"/>
              <w:spacing w:after="0"/>
              <w:rPr>
                <w:rFonts w:ascii="Arial" w:cs="Arial" w:eastAsia="Arial" w:hAnsi="Arial"/>
                <w:sz w:val="12"/>
                <w:szCs w:val="12"/>
                <w:color w:val="0000FF"/>
                <w:w w:val="89"/>
              </w:rPr>
            </w:pPr>
            <w:hyperlink w:anchor="page49">
              <w:r>
                <w:rPr>
                  <w:rFonts w:ascii="Arial" w:cs="Arial" w:eastAsia="Arial" w:hAnsi="Arial"/>
                  <w:sz w:val="12"/>
                  <w:szCs w:val="12"/>
                  <w:color w:val="0000FF"/>
                  <w:w w:val="89"/>
                </w:rPr>
                <w:t>50</w:t>
              </w:r>
            </w:hyperlink>
          </w:p>
        </w:tc>
        <w:tc>
          <w:tcPr>
            <w:tcW w:w="400" w:type="dxa"/>
            <w:vAlign w:val="bottom"/>
          </w:tcPr>
          <w:p>
            <w:pPr>
              <w:spacing w:after="0"/>
              <w:rPr>
                <w:sz w:val="13"/>
                <w:szCs w:val="13"/>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0"/>
        </w:trPr>
        <w:tc>
          <w:tcPr>
            <w:tcW w:w="10120" w:type="dxa"/>
            <w:vAlign w:val="bottom"/>
            <w:gridSpan w:val="9"/>
          </w:tcPr>
          <w:p>
            <w:pPr>
              <w:spacing w:after="0"/>
              <w:rPr>
                <w:rFonts w:ascii="Arial" w:cs="Arial" w:eastAsia="Arial" w:hAnsi="Arial"/>
                <w:sz w:val="12"/>
                <w:szCs w:val="12"/>
                <w:color w:val="0000FF"/>
              </w:rPr>
            </w:pPr>
            <w:hyperlink w:anchor="page50">
              <w:r>
                <w:rPr>
                  <w:rFonts w:ascii="Arial" w:cs="Arial" w:eastAsia="Arial" w:hAnsi="Arial"/>
                  <w:sz w:val="12"/>
                  <w:szCs w:val="12"/>
                  <w:color w:val="0000FF"/>
                </w:rPr>
                <w:t>Consolidated Statements of Operations for the years ended December 31, 2010, 2009, and 2008</w:t>
              </w:r>
            </w:hyperlink>
          </w:p>
        </w:tc>
        <w:tc>
          <w:tcPr>
            <w:tcW w:w="740" w:type="dxa"/>
            <w:vAlign w:val="bottom"/>
            <w:gridSpan w:val="4"/>
          </w:tcPr>
          <w:p>
            <w:pPr>
              <w:jc w:val="center"/>
              <w:ind w:left="560"/>
              <w:spacing w:after="0"/>
              <w:rPr>
                <w:rFonts w:ascii="Arial" w:cs="Arial" w:eastAsia="Arial" w:hAnsi="Arial"/>
                <w:sz w:val="12"/>
                <w:szCs w:val="12"/>
                <w:color w:val="0000FF"/>
                <w:w w:val="89"/>
              </w:rPr>
            </w:pPr>
            <w:hyperlink w:anchor="page50">
              <w:r>
                <w:rPr>
                  <w:rFonts w:ascii="Arial" w:cs="Arial" w:eastAsia="Arial" w:hAnsi="Arial"/>
                  <w:sz w:val="12"/>
                  <w:szCs w:val="12"/>
                  <w:color w:val="0000FF"/>
                  <w:w w:val="89"/>
                </w:rPr>
                <w:t>51</w:t>
              </w:r>
            </w:hyperlink>
          </w:p>
        </w:tc>
        <w:tc>
          <w:tcPr>
            <w:tcW w:w="400" w:type="dxa"/>
            <w:vAlign w:val="bottom"/>
          </w:tcPr>
          <w:p>
            <w:pPr>
              <w:spacing w:after="0"/>
              <w:rPr>
                <w:sz w:val="13"/>
                <w:szCs w:val="13"/>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0"/>
        </w:trPr>
        <w:tc>
          <w:tcPr>
            <w:tcW w:w="10120" w:type="dxa"/>
            <w:vAlign w:val="bottom"/>
            <w:gridSpan w:val="9"/>
          </w:tcPr>
          <w:p>
            <w:pPr>
              <w:spacing w:after="0"/>
              <w:rPr>
                <w:rFonts w:ascii="Arial" w:cs="Arial" w:eastAsia="Arial" w:hAnsi="Arial"/>
                <w:sz w:val="12"/>
                <w:szCs w:val="12"/>
                <w:color w:val="0000FF"/>
              </w:rPr>
            </w:pPr>
            <w:hyperlink w:anchor="page51">
              <w:r>
                <w:rPr>
                  <w:rFonts w:ascii="Arial" w:cs="Arial" w:eastAsia="Arial" w:hAnsi="Arial"/>
                  <w:sz w:val="12"/>
                  <w:szCs w:val="12"/>
                  <w:color w:val="0000FF"/>
                </w:rPr>
                <w:t>Consolidated Statements of Comprehensive Earni ngs for the years ended December 31, 2010, 2009, and 2008</w:t>
              </w:r>
            </w:hyperlink>
          </w:p>
        </w:tc>
        <w:tc>
          <w:tcPr>
            <w:tcW w:w="740" w:type="dxa"/>
            <w:vAlign w:val="bottom"/>
            <w:gridSpan w:val="4"/>
          </w:tcPr>
          <w:p>
            <w:pPr>
              <w:jc w:val="center"/>
              <w:ind w:left="560"/>
              <w:spacing w:after="0"/>
              <w:rPr>
                <w:rFonts w:ascii="Arial" w:cs="Arial" w:eastAsia="Arial" w:hAnsi="Arial"/>
                <w:sz w:val="12"/>
                <w:szCs w:val="12"/>
                <w:color w:val="0000FF"/>
                <w:w w:val="89"/>
              </w:rPr>
            </w:pPr>
            <w:hyperlink w:anchor="page51">
              <w:r>
                <w:rPr>
                  <w:rFonts w:ascii="Arial" w:cs="Arial" w:eastAsia="Arial" w:hAnsi="Arial"/>
                  <w:sz w:val="12"/>
                  <w:szCs w:val="12"/>
                  <w:color w:val="0000FF"/>
                  <w:w w:val="89"/>
                </w:rPr>
                <w:t>52</w:t>
              </w:r>
            </w:hyperlink>
          </w:p>
        </w:tc>
        <w:tc>
          <w:tcPr>
            <w:tcW w:w="400" w:type="dxa"/>
            <w:vAlign w:val="bottom"/>
          </w:tcPr>
          <w:p>
            <w:pPr>
              <w:spacing w:after="0"/>
              <w:rPr>
                <w:sz w:val="13"/>
                <w:szCs w:val="13"/>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0"/>
        </w:trPr>
        <w:tc>
          <w:tcPr>
            <w:tcW w:w="5320" w:type="dxa"/>
            <w:vAlign w:val="bottom"/>
            <w:gridSpan w:val="7"/>
          </w:tcPr>
          <w:p>
            <w:pPr>
              <w:spacing w:after="0"/>
              <w:rPr>
                <w:rFonts w:ascii="Arial" w:cs="Arial" w:eastAsia="Arial" w:hAnsi="Arial"/>
                <w:sz w:val="12"/>
                <w:szCs w:val="12"/>
                <w:color w:val="0000FF"/>
              </w:rPr>
            </w:pPr>
            <w:hyperlink w:anchor="page52">
              <w:r>
                <w:rPr>
                  <w:rFonts w:ascii="Arial" w:cs="Arial" w:eastAsia="Arial" w:hAnsi="Arial"/>
                  <w:sz w:val="12"/>
                  <w:szCs w:val="12"/>
                  <w:color w:val="0000FF"/>
                </w:rPr>
                <w:t>Consolidated Statements of Equity for the years ended December 31, 2010, 2009, and 2008</w:t>
              </w:r>
            </w:hyperlink>
          </w:p>
        </w:tc>
        <w:tc>
          <w:tcPr>
            <w:tcW w:w="4800" w:type="dxa"/>
            <w:vAlign w:val="bottom"/>
            <w:gridSpan w:val="2"/>
          </w:tcPr>
          <w:p>
            <w:pPr>
              <w:spacing w:after="0"/>
              <w:rPr>
                <w:sz w:val="13"/>
                <w:szCs w:val="13"/>
                <w:color w:val="auto"/>
              </w:rPr>
            </w:pPr>
          </w:p>
        </w:tc>
        <w:tc>
          <w:tcPr>
            <w:tcW w:w="740" w:type="dxa"/>
            <w:vAlign w:val="bottom"/>
            <w:gridSpan w:val="4"/>
          </w:tcPr>
          <w:p>
            <w:pPr>
              <w:jc w:val="center"/>
              <w:ind w:left="560"/>
              <w:spacing w:after="0"/>
              <w:rPr>
                <w:rFonts w:ascii="Arial" w:cs="Arial" w:eastAsia="Arial" w:hAnsi="Arial"/>
                <w:sz w:val="12"/>
                <w:szCs w:val="12"/>
                <w:color w:val="0000EE"/>
                <w:w w:val="89"/>
              </w:rPr>
            </w:pPr>
            <w:hyperlink w:anchor="page52">
              <w:r>
                <w:rPr>
                  <w:rFonts w:ascii="Arial" w:cs="Arial" w:eastAsia="Arial" w:hAnsi="Arial"/>
                  <w:sz w:val="12"/>
                  <w:szCs w:val="12"/>
                  <w:color w:val="0000EE"/>
                  <w:w w:val="89"/>
                </w:rPr>
                <w:t>53</w:t>
              </w:r>
            </w:hyperlink>
          </w:p>
        </w:tc>
        <w:tc>
          <w:tcPr>
            <w:tcW w:w="400" w:type="dxa"/>
            <w:vAlign w:val="bottom"/>
          </w:tcPr>
          <w:p>
            <w:pPr>
              <w:spacing w:after="0"/>
              <w:rPr>
                <w:sz w:val="13"/>
                <w:szCs w:val="13"/>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0"/>
        </w:trPr>
        <w:tc>
          <w:tcPr>
            <w:tcW w:w="10120" w:type="dxa"/>
            <w:vAlign w:val="bottom"/>
            <w:gridSpan w:val="9"/>
          </w:tcPr>
          <w:p>
            <w:pPr>
              <w:spacing w:after="0"/>
              <w:rPr>
                <w:rFonts w:ascii="Arial" w:cs="Arial" w:eastAsia="Arial" w:hAnsi="Arial"/>
                <w:sz w:val="12"/>
                <w:szCs w:val="12"/>
                <w:color w:val="0000FF"/>
              </w:rPr>
            </w:pPr>
            <w:hyperlink w:anchor="page54">
              <w:r>
                <w:rPr>
                  <w:rFonts w:ascii="Arial" w:cs="Arial" w:eastAsia="Arial" w:hAnsi="Arial"/>
                  <w:sz w:val="12"/>
                  <w:szCs w:val="12"/>
                  <w:color w:val="0000FF"/>
                </w:rPr>
                <w:t>Consolidated Statements of Cash Flows for the years ended December 31, 2010, 2009, and 2008</w:t>
              </w:r>
            </w:hyperlink>
          </w:p>
        </w:tc>
        <w:tc>
          <w:tcPr>
            <w:tcW w:w="740" w:type="dxa"/>
            <w:vAlign w:val="bottom"/>
            <w:gridSpan w:val="4"/>
          </w:tcPr>
          <w:p>
            <w:pPr>
              <w:jc w:val="center"/>
              <w:ind w:left="560"/>
              <w:spacing w:after="0"/>
              <w:rPr>
                <w:rFonts w:ascii="Arial" w:cs="Arial" w:eastAsia="Arial" w:hAnsi="Arial"/>
                <w:sz w:val="12"/>
                <w:szCs w:val="12"/>
                <w:color w:val="0000FF"/>
                <w:w w:val="89"/>
              </w:rPr>
            </w:pPr>
            <w:hyperlink w:anchor="page54">
              <w:r>
                <w:rPr>
                  <w:rFonts w:ascii="Arial" w:cs="Arial" w:eastAsia="Arial" w:hAnsi="Arial"/>
                  <w:sz w:val="12"/>
                  <w:szCs w:val="12"/>
                  <w:color w:val="0000FF"/>
                  <w:w w:val="89"/>
                </w:rPr>
                <w:t>54</w:t>
              </w:r>
            </w:hyperlink>
          </w:p>
        </w:tc>
        <w:tc>
          <w:tcPr>
            <w:tcW w:w="400" w:type="dxa"/>
            <w:vAlign w:val="bottom"/>
          </w:tcPr>
          <w:p>
            <w:pPr>
              <w:spacing w:after="0"/>
              <w:rPr>
                <w:sz w:val="13"/>
                <w:szCs w:val="13"/>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0"/>
        </w:trPr>
        <w:tc>
          <w:tcPr>
            <w:tcW w:w="4640" w:type="dxa"/>
            <w:vAlign w:val="bottom"/>
            <w:gridSpan w:val="6"/>
          </w:tcPr>
          <w:p>
            <w:pPr>
              <w:spacing w:after="0"/>
              <w:rPr>
                <w:rFonts w:ascii="Arial" w:cs="Arial" w:eastAsia="Arial" w:hAnsi="Arial"/>
                <w:sz w:val="12"/>
                <w:szCs w:val="12"/>
                <w:color w:val="0000FF"/>
              </w:rPr>
            </w:pPr>
            <w:hyperlink w:anchor="page56">
              <w:r>
                <w:rPr>
                  <w:rFonts w:ascii="Arial" w:cs="Arial" w:eastAsia="Arial" w:hAnsi="Arial"/>
                  <w:sz w:val="12"/>
                  <w:szCs w:val="12"/>
                  <w:color w:val="0000FF"/>
                </w:rPr>
                <w:t>Notes to Consolidated Financial Statements</w:t>
              </w:r>
            </w:hyperlink>
          </w:p>
        </w:tc>
        <w:tc>
          <w:tcPr>
            <w:tcW w:w="5480" w:type="dxa"/>
            <w:vAlign w:val="bottom"/>
            <w:gridSpan w:val="3"/>
          </w:tcPr>
          <w:p>
            <w:pPr>
              <w:spacing w:after="0"/>
              <w:rPr>
                <w:sz w:val="13"/>
                <w:szCs w:val="13"/>
                <w:color w:val="auto"/>
              </w:rPr>
            </w:pPr>
          </w:p>
        </w:tc>
        <w:tc>
          <w:tcPr>
            <w:tcW w:w="740" w:type="dxa"/>
            <w:vAlign w:val="bottom"/>
            <w:gridSpan w:val="4"/>
          </w:tcPr>
          <w:p>
            <w:pPr>
              <w:jc w:val="center"/>
              <w:ind w:left="560"/>
              <w:spacing w:after="0"/>
              <w:rPr>
                <w:rFonts w:ascii="Arial" w:cs="Arial" w:eastAsia="Arial" w:hAnsi="Arial"/>
                <w:sz w:val="12"/>
                <w:szCs w:val="12"/>
                <w:color w:val="0000FF"/>
                <w:w w:val="89"/>
              </w:rPr>
            </w:pPr>
            <w:hyperlink w:anchor="page55">
              <w:r>
                <w:rPr>
                  <w:rFonts w:ascii="Arial" w:cs="Arial" w:eastAsia="Arial" w:hAnsi="Arial"/>
                  <w:sz w:val="12"/>
                  <w:szCs w:val="12"/>
                  <w:color w:val="0000FF"/>
                  <w:w w:val="89"/>
                </w:rPr>
                <w:t>55</w:t>
              </w:r>
            </w:hyperlink>
          </w:p>
        </w:tc>
        <w:tc>
          <w:tcPr>
            <w:tcW w:w="400" w:type="dxa"/>
            <w:vAlign w:val="bottom"/>
          </w:tcPr>
          <w:p>
            <w:pPr>
              <w:spacing w:after="0"/>
              <w:rPr>
                <w:sz w:val="13"/>
                <w:szCs w:val="13"/>
                <w:color w:val="auto"/>
              </w:rPr>
            </w:pPr>
          </w:p>
        </w:tc>
      </w:tr>
      <w:tr>
        <w:trPr>
          <w:trHeight w:val="457"/>
        </w:trPr>
        <w:tc>
          <w:tcPr>
            <w:tcW w:w="2100" w:type="dxa"/>
            <w:vAlign w:val="bottom"/>
            <w:tcBorders>
              <w:top w:val="single" w:sz="8" w:color="0000FF"/>
            </w:tcBorders>
          </w:tcPr>
          <w:p>
            <w:pPr>
              <w:spacing w:after="0"/>
              <w:rPr>
                <w:sz w:val="24"/>
                <w:szCs w:val="24"/>
                <w:color w:val="auto"/>
              </w:rPr>
            </w:pPr>
          </w:p>
        </w:tc>
        <w:tc>
          <w:tcPr>
            <w:tcW w:w="3700" w:type="dxa"/>
            <w:vAlign w:val="bottom"/>
            <w:gridSpan w:val="7"/>
          </w:tcPr>
          <w:p>
            <w:pPr>
              <w:jc w:val="right"/>
              <w:ind w:right="120"/>
              <w:spacing w:after="0"/>
              <w:rPr>
                <w:sz w:val="20"/>
                <w:szCs w:val="20"/>
                <w:color w:val="auto"/>
              </w:rPr>
            </w:pPr>
            <w:r>
              <w:rPr>
                <w:rFonts w:ascii="Arial" w:cs="Arial" w:eastAsia="Arial" w:hAnsi="Arial"/>
                <w:sz w:val="12"/>
                <w:szCs w:val="12"/>
                <w:color w:val="auto"/>
              </w:rPr>
              <w:t>47</w:t>
            </w: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80"/>
          </w:cols>
          <w:pgMar w:left="420" w:top="131" w:right="199" w:bottom="1440" w:gutter="0" w:footer="0" w:header="0"/>
        </w:sectPr>
      </w:pPr>
    </w:p>
    <w:bookmarkStart w:id="47" w:name="page48"/>
    <w:bookmarkEnd w:id="47"/>
    <w:p>
      <w:pPr>
        <w:ind w:left="200"/>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Board of Directors and Stockholders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Fidelity National Financial, Inc.:</w:t>
      </w:r>
    </w:p>
    <w:p>
      <w:pPr>
        <w:spacing w:after="0" w:line="14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 xml:space="preserve">We have audited Fidelity National Financial, Inc.’s internal control over financial reporting as of December 31, 2010,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Fidelity National Financial, Inc.’s management is responsible for maintaining effective internal control over financial reporting and for its assessment of the effectiveness of internal control over financ ial reporting, included in the accompanying Management’s Report on Internal Control over Financial Reporting. Our responsibility is to express an opinion on the Company’s internal control over financial reporting based on our audit.</w:t>
      </w:r>
    </w:p>
    <w:p>
      <w:pPr>
        <w:spacing w:after="0" w:line="125" w:lineRule="exact"/>
        <w:rPr>
          <w:sz w:val="20"/>
          <w:szCs w:val="20"/>
          <w:color w:val="auto"/>
        </w:rPr>
      </w:pPr>
    </w:p>
    <w:p>
      <w:pPr>
        <w:jc w:val="both"/>
        <w:ind w:firstLine="246"/>
        <w:spacing w:after="0" w:line="25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5"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 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 xml:space="preserve">In our opinion, Fidelity National Financial, Inc. maintained, in all material respects, effective internal control over financial reporting as of December 31, 2010,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Fidelity National Financial, Inc. and subsidiaries as of December 31, 2010 and 2009, and the related Consolidated Statements of Operations, Comprehensive Earnings, Equity and Cash Flows for each of the years in the three-year period ended December 31, 2010, and our report dated February 23, 2011 ex pressed an unqualified opinion on those Consolidated Financial Statements.</w:t>
      </w: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 KPMG LLP</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February 23, 2011</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Jacksonville, Florida</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Certified Public Accountants</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131" w:right="199" w:bottom="1440" w:gutter="0" w:footer="0" w:header="0"/>
        </w:sectPr>
      </w:pPr>
    </w:p>
    <w:bookmarkStart w:id="48" w:name="page49"/>
    <w:bookmarkEnd w:id="48"/>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Board of Directors and Stockholders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Fidelity National Financial, Inc.:</w:t>
      </w:r>
    </w:p>
    <w:p>
      <w:pPr>
        <w:spacing w:after="0" w:line="14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audited the accompanying Consolidated Balance Sheets of Fidelity National Financial, Inc. and subsidiaries as of December 31, 2010 and 2009, and the related Consolidated Statements of Operations, Comprehensive Earnings, Equity and Cash Flows for each of the years in the three-year period ended December 31, 2010. These Consolidated Financial Statements are the responsibility of the Company’s management. Our responsibility is to express an opinion on these Consolidated Financial Statements based on our audits.</w:t>
      </w:r>
    </w:p>
    <w:p>
      <w:pPr>
        <w:spacing w:after="0" w:line="6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Fidelity National Financial, Inc. and subsidiaries as of December 31, 2010 and 2009, and the results of their operations and their cash flows for each of the years in the three-year period ended December 31, 2010, in conformity with U.S. generally accepted accounting principles.</w:t>
      </w:r>
    </w:p>
    <w:p>
      <w:pPr>
        <w:spacing w:after="0" w:line="5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Fidelity National Financial, Inc.’s internal control over financial reporting as of December 31, 2010,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 e of Sponsoring Organizations of the Treadway Commission (COSO), and our report dated February 23, 2011 expressed an unqualified opinion on the effectiveness of the Company’s internal control over financial reporting.</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 KPMG LLP</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February 23, 2011</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Jacksonville, Florida</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Certified Public Accountants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131" w:right="199" w:bottom="1440" w:gutter="0" w:footer="0" w:header="0"/>
        </w:sectPr>
      </w:pPr>
    </w:p>
    <w:bookmarkStart w:id="49" w:name="page50"/>
    <w:bookmarkEnd w:id="49"/>
    <w:p>
      <w:pPr>
        <w:jc w:val="center"/>
        <w:ind w:left="122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jc w:val="center"/>
        <w:ind w:left="1220"/>
        <w:spacing w:after="0"/>
        <w:rPr>
          <w:sz w:val="20"/>
          <w:szCs w:val="20"/>
          <w:color w:val="auto"/>
        </w:rPr>
      </w:pPr>
      <w:r>
        <w:rPr>
          <w:rFonts w:ascii="Arial" w:cs="Arial" w:eastAsia="Arial" w:hAnsi="Arial"/>
          <w:sz w:val="12"/>
          <w:szCs w:val="1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154940</wp:posOffset>
            </wp:positionV>
            <wp:extent cx="1143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30" cy="28575"/>
                    </a:xfrm>
                    <a:prstGeom prst="rect">
                      <a:avLst/>
                    </a:prstGeom>
                    <a:noFill/>
                  </pic:spPr>
                </pic:pic>
              </a:graphicData>
            </a:graphic>
          </wp:anchor>
        </w:drawing>
      </w:r>
    </w:p>
    <w:p>
      <w:pPr>
        <w:spacing w:after="0" w:line="273" w:lineRule="exact"/>
        <w:rPr>
          <w:sz w:val="20"/>
          <w:szCs w:val="20"/>
          <w:color w:val="auto"/>
        </w:rPr>
      </w:pPr>
    </w:p>
    <w:p>
      <w:pPr>
        <w:jc w:val="right"/>
        <w:ind w:right="54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4816475</wp:posOffset>
            </wp:positionH>
            <wp:positionV relativeFrom="paragraph">
              <wp:posOffset>10795</wp:posOffset>
            </wp:positionV>
            <wp:extent cx="247078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78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8"/>
          <w:szCs w:val="8"/>
          <w:color w:val="auto"/>
        </w:rPr>
        <w:t>1,470.7</w:t>
      </w:r>
    </w:p>
    <w:p>
      <w:pPr>
        <w:spacing w:after="0" w:line="176" w:lineRule="exact"/>
        <w:rPr>
          <w:sz w:val="20"/>
          <w:szCs w:val="20"/>
          <w:color w:val="auto"/>
        </w:rPr>
      </w:pPr>
    </w:p>
    <w:p>
      <w:pPr>
        <w:sectPr>
          <w:pgSz w:w="11900" w:h="16838" w:orient="portrait"/>
          <w:cols w:equalWidth="0" w:num="2">
            <w:col w:w="10460" w:space="720"/>
            <w:col w:w="300"/>
          </w:cols>
          <w:pgMar w:left="220" w:top="199" w:right="199" w:bottom="1440" w:gutter="0" w:footer="0" w:header="0"/>
        </w:sectPr>
      </w:pPr>
    </w:p>
    <w:p>
      <w:pPr>
        <w:jc w:val="both"/>
        <w:ind w:left="8460"/>
        <w:spacing w:after="0"/>
        <w:tabs>
          <w:tab w:leader="none" w:pos="10620" w:val="left"/>
        </w:tabs>
        <w:rPr>
          <w:sz w:val="20"/>
          <w:szCs w:val="20"/>
          <w:color w:val="auto"/>
        </w:rPr>
      </w:pPr>
      <w:r>
        <w:rPr>
          <w:rFonts w:ascii="Arial" w:cs="Arial" w:eastAsia="Arial" w:hAnsi="Arial"/>
          <w:sz w:val="10"/>
          <w:szCs w:val="10"/>
          <w:b w:val="1"/>
          <w:bCs w:val="1"/>
          <w:color w:val="auto"/>
        </w:rPr>
        <w:t>2010</w:t>
      </w:r>
      <w:r>
        <w:rPr>
          <w:sz w:val="20"/>
          <w:szCs w:val="20"/>
          <w:color w:val="auto"/>
        </w:rPr>
        <w:tab/>
      </w:r>
      <w:r>
        <w:rPr>
          <w:rFonts w:ascii="Arial" w:cs="Arial" w:eastAsia="Arial" w:hAnsi="Arial"/>
          <w:sz w:val="10"/>
          <w:szCs w:val="10"/>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4816475</wp:posOffset>
            </wp:positionH>
            <wp:positionV relativeFrom="paragraph">
              <wp:posOffset>10795</wp:posOffset>
            </wp:positionV>
            <wp:extent cx="24707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785" cy="5715"/>
                    </a:xfrm>
                    <a:prstGeom prst="rect">
                      <a:avLst/>
                    </a:prstGeom>
                    <a:noFill/>
                  </pic:spPr>
                </pic:pic>
              </a:graphicData>
            </a:graphic>
          </wp:anchor>
        </w:drawing>
      </w:r>
    </w:p>
    <w:p>
      <w:pPr>
        <w:spacing w:after="0" w:line="9" w:lineRule="exact"/>
        <w:rPr>
          <w:sz w:val="20"/>
          <w:szCs w:val="20"/>
          <w:color w:val="auto"/>
        </w:rPr>
      </w:pPr>
    </w:p>
    <w:p>
      <w:pPr>
        <w:ind w:left="9020"/>
        <w:spacing w:after="0"/>
        <w:rPr>
          <w:sz w:val="20"/>
          <w:szCs w:val="20"/>
          <w:color w:val="auto"/>
        </w:rPr>
      </w:pPr>
      <w:r>
        <w:rPr>
          <w:rFonts w:ascii="Arial" w:cs="Arial" w:eastAsia="Arial" w:hAnsi="Arial"/>
          <w:sz w:val="10"/>
          <w:szCs w:val="10"/>
          <w:b w:val="1"/>
          <w:bCs w:val="1"/>
          <w:color w:val="auto"/>
        </w:rPr>
        <w:t>(In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29234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45" w:lineRule="exact"/>
        <w:rPr>
          <w:sz w:val="20"/>
          <w:szCs w:val="20"/>
          <w:color w:val="auto"/>
        </w:rPr>
      </w:pPr>
    </w:p>
    <w:p>
      <w:pPr>
        <w:ind w:left="3720"/>
        <w:spacing w:after="0"/>
        <w:rPr>
          <w:sz w:val="20"/>
          <w:szCs w:val="20"/>
          <w:color w:val="auto"/>
        </w:rPr>
      </w:pPr>
      <w:r>
        <w:rPr>
          <w:rFonts w:ascii="Arial" w:cs="Arial" w:eastAsia="Arial" w:hAnsi="Arial"/>
          <w:sz w:val="10"/>
          <w:szCs w:val="10"/>
          <w:b w:val="1"/>
          <w:bCs w:val="1"/>
          <w:color w:val="auto"/>
        </w:rPr>
        <w:t>ASSETS</w:t>
      </w:r>
    </w:p>
    <w:p>
      <w:pPr>
        <w:sectPr>
          <w:pgSz w:w="11900" w:h="16838" w:orient="portrait"/>
          <w:cols w:equalWidth="0" w:num="1">
            <w:col w:w="11480"/>
          </w:cols>
          <w:pgMar w:left="220" w:top="199" w:right="199" w:bottom="1440" w:gutter="0" w:footer="0" w:header="0"/>
          <w:type w:val="continuous"/>
        </w:sectPr>
      </w:pPr>
    </w:p>
    <w:p>
      <w:pPr>
        <w:spacing w:after="0" w:line="166" w:lineRule="exact"/>
        <w:rPr>
          <w:sz w:val="20"/>
          <w:szCs w:val="20"/>
          <w:color w:val="auto"/>
        </w:rPr>
      </w:pPr>
    </w:p>
    <w:p>
      <w:pPr>
        <w:ind w:left="220"/>
        <w:spacing w:after="0"/>
        <w:rPr>
          <w:sz w:val="20"/>
          <w:szCs w:val="20"/>
          <w:color w:val="auto"/>
        </w:rPr>
      </w:pPr>
      <w:r>
        <w:rPr>
          <w:rFonts w:ascii="Arial" w:cs="Arial" w:eastAsia="Arial" w:hAnsi="Arial"/>
          <w:sz w:val="10"/>
          <w:szCs w:val="10"/>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48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148590"/>
                    </a:xfrm>
                    <a:prstGeom prst="rect">
                      <a:avLst/>
                    </a:prstGeom>
                    <a:noFill/>
                  </pic:spPr>
                </pic:pic>
              </a:graphicData>
            </a:graphic>
          </wp:anchor>
        </w:drawing>
      </w:r>
    </w:p>
    <w:p>
      <w:pPr>
        <w:ind w:left="100" w:right="260" w:firstLine="216"/>
        <w:spacing w:after="0" w:line="230" w:lineRule="auto"/>
        <w:rPr>
          <w:sz w:val="20"/>
          <w:szCs w:val="20"/>
          <w:color w:val="auto"/>
        </w:rPr>
      </w:pPr>
      <w:r>
        <w:rPr>
          <w:rFonts w:ascii="Arial" w:cs="Arial" w:eastAsia="Arial" w:hAnsi="Arial"/>
          <w:sz w:val="10"/>
          <w:szCs w:val="10"/>
          <w:color w:val="auto"/>
        </w:rPr>
        <w:t>Fixed maturities available for sale, at fair value, at December&amp;nbs p;31, 2010 and 2009, includes pledged fixed maturities of $251.9 and $249.5, respectively, related to secured trust deposits and $9.1 and $25.6, respectively, related to the securities lending program</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Equity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3232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14300"/>
                    </a:xfrm>
                    <a:prstGeom prst="rect">
                      <a:avLst/>
                    </a:prstGeom>
                    <a:noFill/>
                  </pic:spPr>
                </pic:pic>
              </a:graphicData>
            </a:graphic>
          </wp:anchor>
        </w:drawing>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0"/>
          <w:szCs w:val="10"/>
          <w:color w:val="auto"/>
        </w:rPr>
        <w:t>Investments in unconsolidated affiliates</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0"/>
          <w:szCs w:val="10"/>
          <w:color w:val="auto"/>
        </w:rPr>
        <w:t>Other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45" w:lineRule="exact"/>
        <w:rPr>
          <w:sz w:val="20"/>
          <w:szCs w:val="20"/>
          <w:color w:val="auto"/>
        </w:rPr>
      </w:pPr>
    </w:p>
    <w:p>
      <w:pPr>
        <w:ind w:left="320"/>
        <w:spacing w:after="0"/>
        <w:rPr>
          <w:sz w:val="20"/>
          <w:szCs w:val="20"/>
          <w:color w:val="auto"/>
        </w:rPr>
      </w:pPr>
      <w:r>
        <w:rPr>
          <w:rFonts w:ascii="Arial" w:cs="Arial" w:eastAsia="Arial" w:hAnsi="Arial"/>
          <w:sz w:val="8"/>
          <w:szCs w:val="8"/>
          <w:color w:val="auto"/>
        </w:rPr>
        <w:t>Short-term investments, at December 31, 2010 and 2009, includes $0.2 and $39.2, respectively, of pledged short-term investments related to secured trust deposits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0"/>
          <w:szCs w:val="10"/>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48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148590"/>
                    </a:xfrm>
                    <a:prstGeom prst="rect">
                      <a:avLst/>
                    </a:prstGeom>
                    <a:noFill/>
                  </pic:spPr>
                </pic:pic>
              </a:graphicData>
            </a:graphic>
          </wp:anchor>
        </w:drawing>
      </w:r>
    </w:p>
    <w:p>
      <w:pPr>
        <w:ind w:left="20" w:firstLine="216"/>
        <w:spacing w:after="0" w:line="230" w:lineRule="auto"/>
        <w:rPr>
          <w:sz w:val="20"/>
          <w:szCs w:val="20"/>
          <w:color w:val="auto"/>
        </w:rPr>
      </w:pPr>
      <w:r>
        <w:rPr>
          <w:rFonts w:ascii="Arial" w:cs="Arial" w:eastAsia="Arial" w:hAnsi="Arial"/>
          <w:sz w:val="10"/>
          <w:szCs w:val="10"/>
          <w:color w:val="auto"/>
        </w:rPr>
        <w:t>Cash and cash equivalents, at December 31, 2010 and 2009, includes pledged cash of $146.2 and $96.8, respectively, related to secured trust deposits and $9.4 and $26.5, respectively, related to the securities lending program</w:t>
      </w:r>
    </w:p>
    <w:p>
      <w:pPr>
        <w:spacing w:after="0" w:line="59" w:lineRule="exact"/>
        <w:rPr>
          <w:sz w:val="20"/>
          <w:szCs w:val="20"/>
          <w:color w:val="auto"/>
        </w:rPr>
      </w:pPr>
    </w:p>
    <w:p>
      <w:pPr>
        <w:ind w:left="220" w:right="3060"/>
        <w:spacing w:after="0" w:line="375" w:lineRule="auto"/>
        <w:rPr>
          <w:sz w:val="20"/>
          <w:szCs w:val="20"/>
          <w:color w:val="auto"/>
        </w:rPr>
      </w:pPr>
      <w:r>
        <w:rPr>
          <w:rFonts w:ascii="Arial" w:cs="Arial" w:eastAsia="Arial" w:hAnsi="Arial"/>
          <w:sz w:val="10"/>
          <w:szCs w:val="10"/>
          <w:color w:val="auto"/>
        </w:rPr>
        <w:t>Trade and notes receivables, net of allowance of $28.8 and $29.5 at December 31, 2010 and 2009, respectively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6525895"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5895" cy="11430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0"/>
          <w:szCs w:val="10"/>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0"/>
          <w:szCs w:val="10"/>
          <w:color w:val="auto"/>
        </w:rPr>
        <w:t>Capitalized software, net</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0"/>
          <w:szCs w:val="10"/>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0"/>
          <w:szCs w:val="10"/>
          <w:color w:val="auto"/>
        </w:rPr>
        <w:t>Title plants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0"/>
          <w:szCs w:val="10"/>
          <w:color w:val="auto"/>
        </w:rPr>
        <w:t>Property and equipment, net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color w:val="auto"/>
        </w:rPr>
        <w:t>&lt; /td&gt;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80" w:type="dxa"/>
            <w:vAlign w:val="bottom"/>
          </w:tcPr>
          <w:p>
            <w:pPr>
              <w:ind w:left="240"/>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3,494.3</w:t>
            </w:r>
          </w:p>
        </w:tc>
        <w:tc>
          <w:tcPr>
            <w:tcW w:w="1180" w:type="dxa"/>
            <w:vAlign w:val="bottom"/>
            <w:gridSpan w:val="2"/>
          </w:tcPr>
          <w:p>
            <w:pPr>
              <w:jc w:val="right"/>
              <w:ind w:right="440"/>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3,524.2</w:t>
            </w:r>
          </w:p>
        </w:tc>
      </w:tr>
      <w:tr>
        <w:trPr>
          <w:trHeight w:val="180"/>
        </w:trPr>
        <w:tc>
          <w:tcPr>
            <w:tcW w:w="780" w:type="dxa"/>
            <w:vAlign w:val="bottom"/>
          </w:tcPr>
          <w:p>
            <w:pPr>
              <w:ind w:left="240"/>
              <w:spacing w:after="0"/>
              <w:rPr>
                <w:sz w:val="20"/>
                <w:szCs w:val="20"/>
                <w:color w:val="auto"/>
              </w:rPr>
            </w:pPr>
            <w:r>
              <w:rPr>
                <w:rFonts w:ascii="Arial" w:cs="Arial" w:eastAsia="Arial" w:hAnsi="Arial"/>
                <w:sz w:val="10"/>
                <w:szCs w:val="10"/>
                <w:color w:val="auto"/>
              </w:rPr>
              <w:t>75.2</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92.5</w:t>
            </w:r>
          </w:p>
        </w:tc>
      </w:tr>
      <w:tr>
        <w:trPr>
          <w:trHeight w:val="180"/>
        </w:trPr>
        <w:tc>
          <w:tcPr>
            <w:tcW w:w="7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527.7</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617.1</w:t>
            </w:r>
          </w:p>
        </w:tc>
      </w:tr>
      <w:tr>
        <w:trPr>
          <w:trHeight w:val="180"/>
        </w:trPr>
        <w:tc>
          <w:tcPr>
            <w:tcW w:w="7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132.7</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103.5</w:t>
            </w:r>
          </w:p>
        </w:tc>
      </w:tr>
      <w:tr>
        <w:trPr>
          <w:trHeight w:val="184"/>
        </w:trPr>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128.6</w:t>
            </w:r>
          </w:p>
        </w:tc>
        <w:tc>
          <w:tcPr>
            <w:tcW w:w="4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348.1</w:t>
            </w:r>
          </w:p>
        </w:tc>
      </w:tr>
      <w:tr>
        <w:trPr>
          <w:trHeight w:val="156"/>
        </w:trPr>
        <w:tc>
          <w:tcPr>
            <w:tcW w:w="780" w:type="dxa"/>
            <w:vAlign w:val="bottom"/>
          </w:tcPr>
          <w:p>
            <w:pPr>
              <w:spacing w:after="0"/>
              <w:rPr>
                <w:sz w:val="13"/>
                <w:szCs w:val="13"/>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4,358.5</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4,685.4</w:t>
            </w:r>
          </w:p>
        </w:tc>
      </w:tr>
      <w:tr>
        <w:trPr>
          <w:trHeight w:val="234"/>
        </w:trPr>
        <w:tc>
          <w:tcPr>
            <w:tcW w:w="780" w:type="dxa"/>
            <w:vAlign w:val="bottom"/>
          </w:tcPr>
          <w:p>
            <w:pPr>
              <w:spacing w:after="0"/>
              <w:rPr>
                <w:sz w:val="20"/>
                <w:szCs w:val="20"/>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580.8</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202.1</w:t>
            </w:r>
          </w:p>
        </w:tc>
      </w:tr>
      <w:tr>
        <w:trPr>
          <w:trHeight w:val="180"/>
        </w:trPr>
        <w:tc>
          <w:tcPr>
            <w:tcW w:w="7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270.7</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254.1</w:t>
            </w:r>
          </w:p>
        </w:tc>
      </w:tr>
      <w:tr>
        <w:trPr>
          <w:trHeight w:val="180"/>
        </w:trPr>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1,455.2</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7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389.1</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332.0</w:t>
            </w:r>
          </w:p>
        </w:tc>
      </w:tr>
      <w:tr>
        <w:trPr>
          <w:trHeight w:val="180"/>
        </w:trPr>
        <w:tc>
          <w:tcPr>
            <w:tcW w:w="7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44.0</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56.0</w:t>
            </w:r>
          </w:p>
        </w:tc>
      </w:tr>
      <w:tr>
        <w:trPr>
          <w:trHeight w:val="180"/>
        </w:trPr>
        <w:tc>
          <w:tcPr>
            <w:tcW w:w="7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155.2</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166.9</w:t>
            </w:r>
          </w:p>
        </w:tc>
      </w:tr>
      <w:tr>
        <w:trPr>
          <w:trHeight w:val="180"/>
        </w:trPr>
        <w:tc>
          <w:tcPr>
            <w:tcW w:w="7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390.8</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407.5</w:t>
            </w:r>
          </w:p>
        </w:tc>
      </w:tr>
      <w:tr>
        <w:trPr>
          <w:trHeight w:val="180"/>
        </w:trPr>
        <w:tc>
          <w:tcPr>
            <w:tcW w:w="78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Arial" w:cs="Arial" w:eastAsia="Arial" w:hAnsi="Arial"/>
                <w:sz w:val="10"/>
                <w:szCs w:val="10"/>
                <w:color w:val="auto"/>
              </w:rPr>
              <w:t>179.9</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189.8</w:t>
            </w:r>
          </w:p>
        </w:tc>
      </w:tr>
    </w:tbl>
    <w:p>
      <w:pPr>
        <w:spacing w:after="0" w:line="20" w:lineRule="exact"/>
        <w:rPr>
          <w:sz w:val="20"/>
          <w:szCs w:val="20"/>
          <w:color w:val="auto"/>
        </w:rPr>
      </w:pPr>
    </w:p>
    <w:p>
      <w:pPr>
        <w:sectPr>
          <w:pgSz w:w="11900" w:h="16838" w:orient="portrait"/>
          <w:cols w:equalWidth="0" w:num="2">
            <w:col w:w="7540" w:space="40"/>
            <w:col w:w="3900"/>
          </w:cols>
          <w:pgMar w:left="220" w:top="199" w:right="19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7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w w:val="99"/>
              </w:rPr>
              <w:t>sp;</w:t>
            </w:r>
          </w:p>
        </w:tc>
        <w:tc>
          <w:tcPr>
            <w:tcW w:w="8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&amp;nb</w:t>
            </w: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5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Income taxes receivable</w:t>
            </w:r>
          </w:p>
        </w:tc>
        <w:tc>
          <w:tcPr>
            <w:tcW w:w="6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15.7</w:t>
            </w:r>
          </w:p>
        </w:tc>
        <w:tc>
          <w:tcPr>
            <w:tcW w:w="20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56.5</w:t>
            </w:r>
          </w:p>
        </w:tc>
        <w:tc>
          <w:tcPr>
            <w:tcW w:w="0" w:type="dxa"/>
            <w:vAlign w:val="bottom"/>
          </w:tcPr>
          <w:p>
            <w:pPr>
              <w:spacing w:after="0"/>
              <w:rPr>
                <w:sz w:val="1"/>
                <w:szCs w:val="1"/>
                <w:color w:val="auto"/>
              </w:rPr>
            </w:pPr>
          </w:p>
        </w:tc>
      </w:tr>
      <w:tr>
        <w:trPr>
          <w:trHeight w:val="176"/>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Deferred tax assets</w:t>
            </w: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color w:val="auto"/>
              </w:rPr>
              <w:t>32.1</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color w:val="auto"/>
              </w:rPr>
              <w:t>128.9</w:t>
            </w:r>
          </w:p>
        </w:tc>
        <w:tc>
          <w:tcPr>
            <w:tcW w:w="0" w:type="dxa"/>
            <w:vAlign w:val="bottom"/>
          </w:tcPr>
          <w:p>
            <w:pPr>
              <w:spacing w:after="0"/>
              <w:rPr>
                <w:sz w:val="1"/>
                <w:szCs w:val="1"/>
                <w:color w:val="auto"/>
              </w:rPr>
            </w:pPr>
          </w:p>
        </w:tc>
      </w:tr>
      <w:tr>
        <w:trPr>
          <w:trHeight w:val="175"/>
        </w:trPr>
        <w:tc>
          <w:tcPr>
            <w:tcW w:w="7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0"/>
                <w:szCs w:val="10"/>
                <w:color w:val="auto"/>
              </w:rPr>
              <w:t>Total assets</w:t>
            </w:r>
          </w:p>
        </w:tc>
        <w:tc>
          <w:tcPr>
            <w:tcW w:w="6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7,887.5</w:t>
            </w:r>
          </w:p>
        </w:tc>
        <w:tc>
          <w:tcPr>
            <w:tcW w:w="3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7,934.4</w:t>
            </w:r>
          </w:p>
        </w:tc>
        <w:tc>
          <w:tcPr>
            <w:tcW w:w="0" w:type="dxa"/>
            <w:vAlign w:val="bottom"/>
          </w:tcPr>
          <w:p>
            <w:pPr>
              <w:spacing w:after="0"/>
              <w:rPr>
                <w:sz w:val="1"/>
                <w:szCs w:val="1"/>
                <w:color w:val="auto"/>
              </w:rPr>
            </w:pPr>
          </w:p>
        </w:tc>
      </w:tr>
      <w:tr>
        <w:trPr>
          <w:trHeight w:val="352"/>
        </w:trPr>
        <w:tc>
          <w:tcPr>
            <w:tcW w:w="7580" w:type="dxa"/>
            <w:vAlign w:val="bottom"/>
          </w:tcPr>
          <w:p>
            <w:pPr>
              <w:ind w:left="3280"/>
              <w:spacing w:after="0"/>
              <w:rPr>
                <w:sz w:val="20"/>
                <w:szCs w:val="20"/>
                <w:color w:val="auto"/>
              </w:rPr>
            </w:pPr>
            <w:r>
              <w:rPr>
                <w:rFonts w:ascii="Arial" w:cs="Arial" w:eastAsia="Arial" w:hAnsi="Arial"/>
                <w:sz w:val="10"/>
                <w:szCs w:val="10"/>
                <w:b w:val="1"/>
                <w:bCs w:val="1"/>
                <w:color w:val="auto"/>
              </w:rPr>
              <w:t>LIABILITIES AND EQUITY</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5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Liabilities:</w:t>
            </w: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80" w:type="dxa"/>
            <w:vAlign w:val="bottom"/>
          </w:tcPr>
          <w:p>
            <w:pPr>
              <w:ind w:left="320"/>
              <w:spacing w:after="0"/>
              <w:rPr>
                <w:sz w:val="20"/>
                <w:szCs w:val="20"/>
                <w:color w:val="auto"/>
              </w:rPr>
            </w:pPr>
            <w:r>
              <w:rPr>
                <w:rFonts w:ascii="Arial" w:cs="Arial" w:eastAsia="Arial" w:hAnsi="Arial"/>
                <w:sz w:val="10"/>
                <w:szCs w:val="10"/>
                <w:color w:val="auto"/>
                <w:w w:val="95"/>
              </w:rPr>
              <w:t>Accounts payable and accrued liabilities, at De cember 31, 2010 and 2009, includes $9.4 and $26.5, respectively, of security loans related to the securities lending program</w:t>
            </w:r>
          </w:p>
        </w:tc>
        <w:tc>
          <w:tcPr>
            <w:tcW w:w="600" w:type="dxa"/>
            <w:vAlign w:val="bottom"/>
          </w:tcPr>
          <w:p>
            <w:pPr>
              <w:ind w:left="240"/>
              <w:spacing w:after="0"/>
              <w:rPr>
                <w:sz w:val="20"/>
                <w:szCs w:val="20"/>
                <w:color w:val="auto"/>
              </w:rPr>
            </w:pPr>
            <w:r>
              <w:rPr>
                <w:rFonts w:ascii="Arial" w:cs="Arial" w:eastAsia="Arial" w:hAnsi="Arial"/>
                <w:sz w:val="10"/>
                <w:szCs w:val="10"/>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0"/>
                <w:szCs w:val="10"/>
                <w:color w:val="auto"/>
              </w:rPr>
              <w:t>700.3</w:t>
            </w:r>
          </w:p>
        </w:tc>
        <w:tc>
          <w:tcPr>
            <w:tcW w:w="200" w:type="dxa"/>
            <w:vAlign w:val="bottom"/>
          </w:tcPr>
          <w:p>
            <w:pPr>
              <w:spacing w:after="0"/>
              <w:rPr>
                <w:sz w:val="15"/>
                <w:szCs w:val="15"/>
                <w:color w:val="auto"/>
              </w:rPr>
            </w:pPr>
          </w:p>
        </w:tc>
        <w:tc>
          <w:tcPr>
            <w:tcW w:w="740" w:type="dxa"/>
            <w:vAlign w:val="bottom"/>
            <w:gridSpan w:val="2"/>
          </w:tcPr>
          <w:p>
            <w:pPr>
              <w:ind w:left="5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color w:val="auto"/>
              </w:rPr>
              <w:t>696.0</w:t>
            </w:r>
          </w:p>
        </w:tc>
        <w:tc>
          <w:tcPr>
            <w:tcW w:w="0" w:type="dxa"/>
            <w:vAlign w:val="bottom"/>
          </w:tcPr>
          <w:p>
            <w:pPr>
              <w:spacing w:after="0"/>
              <w:rPr>
                <w:sz w:val="1"/>
                <w:szCs w:val="1"/>
                <w:color w:val="auto"/>
              </w:rPr>
            </w:pPr>
          </w:p>
        </w:tc>
      </w:tr>
      <w:tr>
        <w:trPr>
          <w:trHeight w:val="184"/>
        </w:trPr>
        <w:tc>
          <w:tcPr>
            <w:tcW w:w="75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Accounts payable to related parties</w:t>
            </w:r>
          </w:p>
        </w:tc>
        <w:tc>
          <w:tcPr>
            <w:tcW w:w="6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8.3</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6.9</w:t>
            </w:r>
          </w:p>
        </w:tc>
        <w:tc>
          <w:tcPr>
            <w:tcW w:w="0" w:type="dxa"/>
            <w:vAlign w:val="bottom"/>
          </w:tcPr>
          <w:p>
            <w:pPr>
              <w:spacing w:after="0"/>
              <w:rPr>
                <w:sz w:val="1"/>
                <w:szCs w:val="1"/>
                <w:color w:val="auto"/>
              </w:rPr>
            </w:pPr>
          </w:p>
        </w:tc>
      </w:tr>
      <w:tr>
        <w:trPr>
          <w:trHeight w:val="176"/>
        </w:trPr>
        <w:tc>
          <w:tcPr>
            <w:tcW w:w="7580" w:type="dxa"/>
            <w:vAlign w:val="bottom"/>
          </w:tcPr>
          <w:p>
            <w:pPr>
              <w:ind w:left="320"/>
              <w:spacing w:after="0"/>
              <w:rPr>
                <w:sz w:val="20"/>
                <w:szCs w:val="20"/>
                <w:color w:val="auto"/>
              </w:rPr>
            </w:pPr>
            <w:r>
              <w:rPr>
                <w:rFonts w:ascii="Arial" w:cs="Arial" w:eastAsia="Arial" w:hAnsi="Arial"/>
                <w:sz w:val="10"/>
                <w:szCs w:val="10"/>
                <w:color w:val="auto"/>
              </w:rPr>
              <w:t>Deferred revenue</w:t>
            </w:r>
          </w:p>
        </w:tc>
        <w:tc>
          <w:tcPr>
            <w:tcW w:w="60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0"/>
                <w:szCs w:val="10"/>
                <w:color w:val="auto"/>
              </w:rPr>
              <w:t>121.4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color w:val="auto"/>
              </w:rPr>
              <w:t>110.0</w:t>
            </w:r>
          </w:p>
        </w:tc>
        <w:tc>
          <w:tcPr>
            <w:tcW w:w="0" w:type="dxa"/>
            <w:vAlign w:val="bottom"/>
          </w:tcPr>
          <w:p>
            <w:pPr>
              <w:spacing w:after="0"/>
              <w:rPr>
                <w:sz w:val="1"/>
                <w:szCs w:val="1"/>
                <w:color w:val="auto"/>
              </w:rPr>
            </w:pPr>
          </w:p>
        </w:tc>
      </w:tr>
      <w:tr>
        <w:trPr>
          <w:trHeight w:val="184"/>
        </w:trPr>
        <w:tc>
          <w:tcPr>
            <w:tcW w:w="75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Notes payable</w:t>
            </w:r>
          </w:p>
        </w:tc>
        <w:tc>
          <w:tcPr>
            <w:tcW w:w="6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952.0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861.9</w:t>
            </w:r>
          </w:p>
        </w:tc>
        <w:tc>
          <w:tcPr>
            <w:tcW w:w="0" w:type="dxa"/>
            <w:vAlign w:val="bottom"/>
          </w:tcPr>
          <w:p>
            <w:pPr>
              <w:spacing w:after="0"/>
              <w:rPr>
                <w:sz w:val="1"/>
                <w:szCs w:val="1"/>
                <w:color w:val="auto"/>
              </w:rPr>
            </w:pPr>
          </w:p>
        </w:tc>
      </w:tr>
      <w:tr>
        <w:trPr>
          <w:trHeight w:val="176"/>
        </w:trPr>
        <w:tc>
          <w:tcPr>
            <w:tcW w:w="7580" w:type="dxa"/>
            <w:vAlign w:val="bottom"/>
          </w:tcPr>
          <w:p>
            <w:pPr>
              <w:ind w:left="320"/>
              <w:spacing w:after="0"/>
              <w:rPr>
                <w:sz w:val="20"/>
                <w:szCs w:val="20"/>
                <w:color w:val="auto"/>
              </w:rPr>
            </w:pPr>
            <w:r>
              <w:rPr>
                <w:rFonts w:ascii="Arial" w:cs="Arial" w:eastAsia="Arial" w:hAnsi="Arial"/>
                <w:sz w:val="10"/>
                <w:szCs w:val="10"/>
                <w:color w:val="auto"/>
              </w:rPr>
              <w:t>Reserve for claim losses</w:t>
            </w: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2,272.7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color w:val="auto"/>
              </w:rPr>
              <w:t>2,541.4</w:t>
            </w:r>
          </w:p>
        </w:tc>
        <w:tc>
          <w:tcPr>
            <w:tcW w:w="0" w:type="dxa"/>
            <w:vAlign w:val="bottom"/>
          </w:tcPr>
          <w:p>
            <w:pPr>
              <w:spacing w:after="0"/>
              <w:rPr>
                <w:sz w:val="1"/>
                <w:szCs w:val="1"/>
                <w:color w:val="auto"/>
              </w:rPr>
            </w:pPr>
          </w:p>
        </w:tc>
      </w:tr>
      <w:tr>
        <w:trPr>
          <w:trHeight w:val="180"/>
        </w:trPr>
        <w:tc>
          <w:tcPr>
            <w:tcW w:w="75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Secured trust deposits</w:t>
            </w:r>
          </w:p>
        </w:tc>
        <w:tc>
          <w:tcPr>
            <w:tcW w:w="6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388.4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373.3</w:t>
            </w:r>
          </w:p>
        </w:tc>
        <w:tc>
          <w:tcPr>
            <w:tcW w:w="0" w:type="dxa"/>
            <w:vAlign w:val="bottom"/>
          </w:tcPr>
          <w:p>
            <w:pPr>
              <w:spacing w:after="0"/>
              <w:rPr>
                <w:sz w:val="1"/>
                <w:szCs w:val="1"/>
                <w:color w:val="auto"/>
              </w:rPr>
            </w:pPr>
          </w:p>
        </w:tc>
      </w:tr>
      <w:tr>
        <w:trPr>
          <w:trHeight w:val="160"/>
        </w:trPr>
        <w:tc>
          <w:tcPr>
            <w:tcW w:w="7580" w:type="dxa"/>
            <w:vAlign w:val="bottom"/>
          </w:tcPr>
          <w:p>
            <w:pPr>
              <w:ind w:left="460"/>
              <w:spacing w:after="0"/>
              <w:rPr>
                <w:sz w:val="20"/>
                <w:szCs w:val="20"/>
                <w:color w:val="auto"/>
              </w:rPr>
            </w:pPr>
            <w:r>
              <w:rPr>
                <w:rFonts w:ascii="Arial" w:cs="Arial" w:eastAsia="Arial" w:hAnsi="Arial"/>
                <w:sz w:val="10"/>
                <w:szCs w:val="10"/>
                <w:color w:val="auto"/>
              </w:rPr>
              <w:t>Total liabilities</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4,443.1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color w:val="auto"/>
              </w:rPr>
              <w:t>4,589.5</w:t>
            </w:r>
          </w:p>
        </w:tc>
        <w:tc>
          <w:tcPr>
            <w:tcW w:w="0" w:type="dxa"/>
            <w:vAlign w:val="bottom"/>
          </w:tcPr>
          <w:p>
            <w:pPr>
              <w:spacing w:after="0"/>
              <w:rPr>
                <w:sz w:val="1"/>
                <w:szCs w:val="1"/>
                <w:color w:val="auto"/>
              </w:rPr>
            </w:pPr>
          </w:p>
        </w:tc>
      </w:tr>
      <w:tr>
        <w:trPr>
          <w:trHeight w:val="184"/>
        </w:trPr>
        <w:tc>
          <w:tcPr>
            <w:tcW w:w="75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Equity:</w:t>
            </w: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7580" w:type="dxa"/>
            <w:vAlign w:val="bottom"/>
          </w:tcPr>
          <w:p>
            <w:pPr>
              <w:ind w:left="320"/>
              <w:spacing w:after="0" w:line="105" w:lineRule="exact"/>
              <w:rPr>
                <w:sz w:val="20"/>
                <w:szCs w:val="20"/>
                <w:color w:val="auto"/>
              </w:rPr>
            </w:pPr>
            <w:r>
              <w:rPr>
                <w:rFonts w:ascii="Arial" w:cs="Arial" w:eastAsia="Arial" w:hAnsi="Arial"/>
                <w:sz w:val="10"/>
                <w:szCs w:val="10"/>
                <w:color w:val="auto"/>
                <w:w w:val="86"/>
              </w:rPr>
              <w:t>Common stock, Class A, $0.0001 par value; authorized, 600,000,000 shares as of December 31, 2010 and 2009; issued 252,184,269 shares and 249,713,996 shares at December 31, 2010</w:t>
            </w: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580" w:type="dxa"/>
            <w:vAlign w:val="bottom"/>
          </w:tcPr>
          <w:p>
            <w:pPr>
              <w:ind w:left="100"/>
              <w:spacing w:after="0"/>
              <w:rPr>
                <w:sz w:val="20"/>
                <w:szCs w:val="20"/>
                <w:color w:val="auto"/>
              </w:rPr>
            </w:pPr>
            <w:r>
              <w:rPr>
                <w:rFonts w:ascii="Arial" w:cs="Arial" w:eastAsia="Arial" w:hAnsi="Arial"/>
                <w:sz w:val="10"/>
                <w:szCs w:val="10"/>
                <w:color w:val="auto"/>
              </w:rPr>
              <w:t>and 2009, respectively</w:t>
            </w:r>
          </w:p>
        </w:tc>
        <w:tc>
          <w:tcPr>
            <w:tcW w:w="600" w:type="dxa"/>
            <w:vAlign w:val="bottom"/>
          </w:tcPr>
          <w:p>
            <w:pPr>
              <w:spacing w:after="0"/>
              <w:rPr>
                <w:sz w:val="10"/>
                <w:szCs w:val="1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4"/>
        </w:trPr>
        <w:tc>
          <w:tcPr>
            <w:tcW w:w="75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Preferred stock, $0.0001 par value; authorized, 50,000,000 shares; issued and outstanding, none</w:t>
            </w:r>
          </w:p>
        </w:tc>
        <w:tc>
          <w:tcPr>
            <w:tcW w:w="6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7580" w:type="dxa"/>
            <w:vAlign w:val="bottom"/>
          </w:tcPr>
          <w:p>
            <w:pPr>
              <w:ind w:left="320"/>
              <w:spacing w:after="0"/>
              <w:rPr>
                <w:sz w:val="20"/>
                <w:szCs w:val="20"/>
                <w:color w:val="auto"/>
              </w:rPr>
            </w:pPr>
            <w:r>
              <w:rPr>
                <w:rFonts w:ascii="Arial" w:cs="Arial" w:eastAsia="Arial" w:hAnsi="Arial"/>
                <w:sz w:val="10"/>
                <w:szCs w:val="10"/>
                <w:color w:val="auto"/>
              </w:rPr>
              <w:t>Additional paid-in capital</w:t>
            </w: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3,745.0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color w:val="auto"/>
              </w:rPr>
              <w:t>3,712.1</w:t>
            </w:r>
          </w:p>
        </w:tc>
        <w:tc>
          <w:tcPr>
            <w:tcW w:w="0" w:type="dxa"/>
            <w:vAlign w:val="bottom"/>
          </w:tcPr>
          <w:p>
            <w:pPr>
              <w:spacing w:after="0"/>
              <w:rPr>
                <w:sz w:val="1"/>
                <w:szCs w:val="1"/>
                <w:color w:val="auto"/>
              </w:rPr>
            </w:pPr>
          </w:p>
        </w:tc>
      </w:tr>
      <w:tr>
        <w:trPr>
          <w:trHeight w:val="180"/>
        </w:trPr>
        <w:tc>
          <w:tcPr>
            <w:tcW w:w="75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Retained earnings (deficit)</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110.3</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0"/>
                <w:szCs w:val="10"/>
                <w:color w:val="auto"/>
              </w:rPr>
              <w:t>(102.4</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80" w:type="dxa"/>
            <w:vAlign w:val="bottom"/>
          </w:tcPr>
          <w:p>
            <w:pPr>
              <w:ind w:left="320"/>
              <w:spacing w:after="0"/>
              <w:rPr>
                <w:sz w:val="20"/>
                <w:szCs w:val="20"/>
                <w:color w:val="auto"/>
              </w:rPr>
            </w:pPr>
            <w:r>
              <w:rPr>
                <w:rFonts w:ascii="Arial" w:cs="Arial" w:eastAsia="Arial" w:hAnsi="Arial"/>
                <w:sz w:val="10"/>
                <w:szCs w:val="10"/>
                <w:color w:val="auto"/>
              </w:rPr>
              <w:t>Accumulated other comprehensive earnings</w:t>
            </w:r>
          </w:p>
        </w:tc>
        <w:tc>
          <w:tcPr>
            <w:tcW w:w="60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0"/>
                <w:szCs w:val="10"/>
                <w:color w:val="auto"/>
              </w:rPr>
              <w:t>12.6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color w:val="auto"/>
              </w:rPr>
              <w:t>35.6</w:t>
            </w:r>
          </w:p>
        </w:tc>
        <w:tc>
          <w:tcPr>
            <w:tcW w:w="0" w:type="dxa"/>
            <w:vAlign w:val="bottom"/>
          </w:tcPr>
          <w:p>
            <w:pPr>
              <w:spacing w:after="0"/>
              <w:rPr>
                <w:sz w:val="1"/>
                <w:szCs w:val="1"/>
                <w:color w:val="auto"/>
              </w:rPr>
            </w:pPr>
          </w:p>
        </w:tc>
      </w:tr>
      <w:tr>
        <w:trPr>
          <w:trHeight w:val="180"/>
        </w:trPr>
        <w:tc>
          <w:tcPr>
            <w:tcW w:w="75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Less treasury stock, 28,435,980 shares and 19,496,888 shares as of December 31, 2010 and 2009, respectively, at cost</w:t>
            </w:r>
          </w:p>
        </w:tc>
        <w:tc>
          <w:tcPr>
            <w:tcW w:w="6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rPr>
              <w:t>(440.8</w:t>
            </w: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(3 19.4</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580" w:type="dxa"/>
            <w:vAlign w:val="bottom"/>
          </w:tcPr>
          <w:p>
            <w:pPr>
              <w:ind w:left="460"/>
              <w:spacing w:after="0"/>
              <w:rPr>
                <w:sz w:val="20"/>
                <w:szCs w:val="20"/>
                <w:color w:val="auto"/>
              </w:rPr>
            </w:pPr>
            <w:r>
              <w:rPr>
                <w:rFonts w:ascii="Arial" w:cs="Arial" w:eastAsia="Arial" w:hAnsi="Arial"/>
                <w:sz w:val="10"/>
                <w:szCs w:val="10"/>
                <w:color w:val="auto"/>
              </w:rPr>
              <w:t>Total Fidelity National Financial, Inc. shareholders’ equity</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3,427.1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0"/>
                <w:szCs w:val="10"/>
                <w:color w:val="auto"/>
              </w:rPr>
              <w:t>3,325.9</w:t>
            </w:r>
          </w:p>
        </w:tc>
        <w:tc>
          <w:tcPr>
            <w:tcW w:w="0" w:type="dxa"/>
            <w:vAlign w:val="bottom"/>
          </w:tcPr>
          <w:p>
            <w:pPr>
              <w:spacing w:after="0"/>
              <w:rPr>
                <w:sz w:val="1"/>
                <w:szCs w:val="1"/>
                <w:color w:val="auto"/>
              </w:rPr>
            </w:pPr>
          </w:p>
        </w:tc>
      </w:tr>
      <w:tr>
        <w:trPr>
          <w:trHeight w:val="180"/>
        </w:trPr>
        <w:tc>
          <w:tcPr>
            <w:tcW w:w="75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Noncontrolling interests</w:t>
            </w:r>
          </w:p>
        </w:tc>
        <w:tc>
          <w:tcPr>
            <w:tcW w:w="6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17.3</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19.0</w:t>
            </w:r>
          </w:p>
        </w:tc>
        <w:tc>
          <w:tcPr>
            <w:tcW w:w="0" w:type="dxa"/>
            <w:vAlign w:val="bottom"/>
          </w:tcPr>
          <w:p>
            <w:pPr>
              <w:spacing w:after="0"/>
              <w:rPr>
                <w:sz w:val="1"/>
                <w:szCs w:val="1"/>
                <w:color w:val="auto"/>
              </w:rPr>
            </w:pPr>
          </w:p>
        </w:tc>
      </w:tr>
      <w:tr>
        <w:trPr>
          <w:trHeight w:val="160"/>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0"/>
                <w:szCs w:val="10"/>
                <w:color w:val="auto"/>
              </w:rPr>
              <w:t>Total equity</w:t>
            </w: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3,444.4</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color w:val="auto"/>
              </w:rPr>
              <w:t>3,344.9</w:t>
            </w:r>
          </w:p>
        </w:tc>
        <w:tc>
          <w:tcPr>
            <w:tcW w:w="0" w:type="dxa"/>
            <w:vAlign w:val="bottom"/>
          </w:tcPr>
          <w:p>
            <w:pPr>
              <w:spacing w:after="0"/>
              <w:rPr>
                <w:sz w:val="1"/>
                <w:szCs w:val="1"/>
                <w:color w:val="auto"/>
              </w:rPr>
            </w:pPr>
          </w:p>
        </w:tc>
      </w:tr>
      <w:tr>
        <w:trPr>
          <w:trHeight w:val="162"/>
        </w:trPr>
        <w:tc>
          <w:tcPr>
            <w:tcW w:w="7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0"/>
                <w:szCs w:val="10"/>
                <w:color w:val="auto"/>
              </w:rPr>
              <w:t>Total liabilities and equity</w:t>
            </w:r>
          </w:p>
        </w:tc>
        <w:tc>
          <w:tcPr>
            <w:tcW w:w="6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7,887.5</w:t>
            </w:r>
          </w:p>
        </w:tc>
        <w:tc>
          <w:tcPr>
            <w:tcW w:w="3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7,934.4</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See Notes to Consolidated Financial Statements.</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199" w:right="199" w:bottom="1440" w:gutter="0" w:footer="0" w:header="0"/>
          <w:type w:val="continuous"/>
        </w:sectPr>
      </w:pPr>
    </w:p>
    <w:bookmarkStart w:id="50" w:name="page51"/>
    <w:bookmarkEnd w:id="50"/>
    <w:p>
      <w:pPr>
        <w:jc w:val="center"/>
        <w:ind w:right="-199"/>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3810</wp:posOffset>
            </wp:positionV>
            <wp:extent cx="11430" cy="108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 cy="1085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color w:val="auto"/>
        </w:rPr>
        <w:t>&lt; td colspan="2" style="vertical-align:bottom;padding-left:2px;padding-top:2px;padding-bottom:2px;border-bottom:3px double #000000;"&gt;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-70485</wp:posOffset>
            </wp:positionV>
            <wp:extent cx="1143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 cy="571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2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0"/>
                <w:szCs w:val="10"/>
                <w:b w:val="1"/>
                <w:bCs w:val="1"/>
                <w:color w:val="auto"/>
                <w:w w:val="86"/>
              </w:rPr>
              <w:t>Year Ended December 31,</w:t>
            </w: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2010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2009</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2008</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6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4"/>
          </w:tcPr>
          <w:p>
            <w:pPr>
              <w:jc w:val="center"/>
              <w:ind w:right="340"/>
              <w:spacing w:after="0"/>
              <w:rPr>
                <w:sz w:val="20"/>
                <w:szCs w:val="20"/>
                <w:color w:val="auto"/>
              </w:rPr>
            </w:pPr>
            <w:r>
              <w:rPr>
                <w:rFonts w:ascii="Arial" w:cs="Arial" w:eastAsia="Arial" w:hAnsi="Arial"/>
                <w:sz w:val="10"/>
                <w:szCs w:val="10"/>
                <w:b w:val="1"/>
                <w:bCs w:val="1"/>
                <w:color w:val="auto"/>
                <w:w w:val="87"/>
              </w:rPr>
              <w:t>(In millio ns, except share data)</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b w:val="1"/>
                <w:bCs w:val="1"/>
                <w:color w:val="auto"/>
              </w:rPr>
              <w:t>Revenues:</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200"/>
              <w:spacing w:after="0"/>
              <w:rPr>
                <w:sz w:val="20"/>
                <w:szCs w:val="20"/>
                <w:color w:val="auto"/>
              </w:rPr>
            </w:pPr>
            <w:r>
              <w:rPr>
                <w:rFonts w:ascii="Arial" w:cs="Arial" w:eastAsia="Arial" w:hAnsi="Arial"/>
                <w:sz w:val="10"/>
                <w:szCs w:val="10"/>
                <w:color w:val="auto"/>
              </w:rPr>
              <w:t>Direct title insurance premiums</w:t>
            </w:r>
          </w:p>
        </w:tc>
        <w:tc>
          <w:tcPr>
            <w:tcW w:w="5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1,404.5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ind w:left="220"/>
              <w:spacing w:after="0"/>
              <w:rPr>
                <w:sz w:val="20"/>
                <w:szCs w:val="20"/>
                <w:color w:val="auto"/>
              </w:rPr>
            </w:pPr>
            <w:r>
              <w:rPr>
                <w:rFonts w:ascii="Arial" w:cs="Arial" w:eastAsia="Arial" w:hAnsi="Arial"/>
                <w:sz w:val="10"/>
                <w:szCs w:val="10"/>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1,475.3</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1,140.3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Agency title insurance premiums</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2,452.3</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1,554.7&lt; /font&gt;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20"/>
              <w:spacing w:after="0"/>
              <w:rPr>
                <w:sz w:val="20"/>
                <w:szCs w:val="20"/>
                <w:color w:val="auto"/>
              </w:rPr>
            </w:pPr>
            <w:r>
              <w:rPr>
                <w:rFonts w:ascii="Arial" w:cs="Arial" w:eastAsia="Arial" w:hAnsi="Arial"/>
                <w:sz w:val="10"/>
                <w:szCs w:val="10"/>
                <w:color w:val="auto"/>
              </w:rPr>
              <w:t>Escrow, title-related and other fees</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1,326.3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1,352.9</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1,071.3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Specialty insurance</w:t>
            </w:r>
          </w:p>
        </w:tc>
        <w:tc>
          <w:tcPr>
            <w:tcW w:w="5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391.6</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366.0</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373.4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rPr>
              <w:t>154.5</w:t>
            </w:r>
            <w:r>
              <w:rPr>
                <w:rFonts w:ascii="Arial" w:cs="Arial" w:eastAsia="Arial" w:hAnsi="Arial"/>
                <w:sz w:val="12"/>
                <w:szCs w:val="12"/>
                <w:color w:val="auto"/>
              </w:rPr>
              <w:t>p;</w:t>
            </w:r>
          </w:p>
        </w:tc>
        <w:tc>
          <w:tcPr>
            <w:tcW w:w="600" w:type="dxa"/>
            <w:vAlign w:val="bottom"/>
            <w:gridSpan w:val="2"/>
          </w:tcPr>
          <w:p>
            <w:pPr>
              <w:ind w:left="60"/>
              <w:spacing w:after="0"/>
              <w:rPr>
                <w:sz w:val="20"/>
                <w:szCs w:val="20"/>
                <w:color w:val="auto"/>
              </w:rPr>
            </w:pPr>
            <w:r>
              <w:rPr>
                <w:rFonts w:ascii="Arial" w:cs="Arial" w:eastAsia="Arial" w:hAnsi="Arial"/>
                <w:sz w:val="12"/>
                <w:szCs w:val="12"/>
                <w:color w:val="auto"/>
              </w:rPr>
              <w:t>&amp;nbs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220" w:type="dxa"/>
            <w:vAlign w:val="bottom"/>
          </w:tcPr>
          <w:p>
            <w:pPr>
              <w:ind w:left="320"/>
              <w:spacing w:after="0"/>
              <w:rPr>
                <w:sz w:val="20"/>
                <w:szCs w:val="20"/>
                <w:color w:val="auto"/>
              </w:rPr>
            </w:pPr>
            <w:r>
              <w:rPr>
                <w:rFonts w:ascii="Arial" w:cs="Arial" w:eastAsia="Arial" w:hAnsi="Arial"/>
                <w:sz w:val="10"/>
                <w:szCs w:val="10"/>
                <w:color w:val="auto"/>
              </w:rPr>
              <w:t>Interest and investment income</w:t>
            </w:r>
          </w:p>
        </w:tc>
        <w:tc>
          <w:tcPr>
            <w:tcW w:w="52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144.5</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134.0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27.4</w:t>
            </w:r>
            <w:r>
              <w:rPr>
                <w:rFonts w:ascii="Arial" w:cs="Arial" w:eastAsia="Arial" w:hAnsi="Arial"/>
                <w:sz w:val="12"/>
                <w:szCs w:val="12"/>
                <w:color w:val="auto"/>
              </w:rPr>
              <w:t>p;</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&amp;nbs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Realized gains and losses, net</w:t>
            </w:r>
          </w:p>
        </w:tc>
        <w:tc>
          <w:tcPr>
            <w:tcW w:w="5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236.7</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(22.5</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6220" w:type="dxa"/>
            <w:vAlign w:val="bottom"/>
            <w:tcBorders>
              <w:bottom w:val="single" w:sz="8" w:color="CCEEFF"/>
            </w:tcBorders>
          </w:tcPr>
          <w:p>
            <w:pPr>
              <w:ind w:left="460"/>
              <w:spacing w:after="0"/>
              <w:rPr>
                <w:sz w:val="20"/>
                <w:szCs w:val="20"/>
                <w:color w:val="auto"/>
              </w:rPr>
            </w:pPr>
            <w:r>
              <w:rPr>
                <w:rFonts w:ascii="Arial" w:cs="Arial" w:eastAsia="Arial" w:hAnsi="Arial"/>
                <w:sz w:val="10"/>
                <w:szCs w:val="10"/>
                <w:color w:val="auto"/>
              </w:rPr>
              <w:t>Total Revenues</w:t>
            </w:r>
          </w:p>
        </w:tc>
        <w:tc>
          <w:tcPr>
            <w:tcW w:w="5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5,740.3</w:t>
            </w:r>
          </w:p>
        </w:tc>
        <w:tc>
          <w:tcPr>
            <w:tcW w:w="1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5,828.4</w:t>
            </w:r>
          </w:p>
        </w:tc>
        <w:tc>
          <w:tcPr>
            <w:tcW w:w="32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0"/>
                <w:szCs w:val="10"/>
                <w:color w:val="auto"/>
              </w:rPr>
              <w:t>4,251.2</w:t>
            </w: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b w:val="1"/>
                <w:bCs w:val="1"/>
                <w:color w:val="auto"/>
              </w:rPr>
              <w:t>Expenses:</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20"/>
              <w:spacing w:after="0"/>
              <w:rPr>
                <w:sz w:val="20"/>
                <w:szCs w:val="20"/>
                <w:color w:val="auto"/>
              </w:rPr>
            </w:pPr>
            <w:r>
              <w:rPr>
                <w:rFonts w:ascii="Arial" w:cs="Arial" w:eastAsia="Arial" w:hAnsi="Arial"/>
                <w:sz w:val="10"/>
                <w:szCs w:val="10"/>
                <w:color w:val="auto"/>
              </w:rPr>
              <w:t>Personnel costs</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1,610.1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1,649.8</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1,322.0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20" w:type="dxa"/>
            <w:vAlign w:val="bottom"/>
          </w:tcPr>
          <w:p>
            <w:pPr>
              <w:ind w:left="320"/>
              <w:spacing w:after="0"/>
              <w:rPr>
                <w:sz w:val="20"/>
                <w:szCs w:val="20"/>
                <w:color w:val="auto"/>
              </w:rPr>
            </w:pPr>
            <w:r>
              <w:rPr>
                <w:rFonts w:ascii="Arial" w:cs="Arial" w:eastAsia="Arial" w:hAnsi="Arial"/>
                <w:sz w:val="10"/>
                <w:szCs w:val="10"/>
                <w:color w:val="auto"/>
              </w:rPr>
              <w:t>Other operating expenses</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1,343.5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1,179.8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20"/>
              <w:spacing w:after="0"/>
              <w:rPr>
                <w:sz w:val="20"/>
                <w:szCs w:val="20"/>
                <w:color w:val="auto"/>
              </w:rPr>
            </w:pPr>
            <w:r>
              <w:rPr>
                <w:rFonts w:ascii="Arial" w:cs="Arial" w:eastAsia="Arial" w:hAnsi="Arial"/>
                <w:sz w:val="10"/>
                <w:szCs w:val="10"/>
                <w:color w:val="auto"/>
              </w:rPr>
              <w:t>Agent commissions</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1,758.7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1,951.7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1,218.0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Depreciation and amortization</w:t>
            </w:r>
          </w:p>
        </w:tc>
        <w:tc>
          <w:tcPr>
            <w:tcW w:w="5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90.4</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109.2</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122.1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20"/>
              <w:spacing w:after="0"/>
              <w:rPr>
                <w:sz w:val="20"/>
                <w:szCs w:val="20"/>
                <w:color w:val="auto"/>
              </w:rPr>
            </w:pPr>
            <w:r>
              <w:rPr>
                <w:rFonts w:ascii="Arial" w:cs="Arial" w:eastAsia="Arial" w:hAnsi="Arial"/>
                <w:sz w:val="10"/>
                <w:szCs w:val="10"/>
                <w:color w:val="auto"/>
              </w:rPr>
              <w:t>Provision for claim losses</w:t>
            </w:r>
          </w:p>
        </w:tc>
        <w:tc>
          <w:tcPr>
            <w:tcW w:w="5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402.9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392.6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630.4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Interest expense</w:t>
            </w:r>
          </w:p>
        </w:tc>
        <w:tc>
          <w:tcPr>
            <w:tcW w:w="5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46.2</w:t>
            </w:r>
          </w:p>
        </w:tc>
        <w:tc>
          <w:tcPr>
            <w:tcW w:w="14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36.7</w:t>
            </w:r>
          </w:p>
        </w:tc>
        <w:tc>
          <w:tcPr>
            <w:tcW w:w="32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58.6</w:t>
            </w:r>
          </w:p>
        </w:tc>
        <w:tc>
          <w:tcPr>
            <w:tcW w:w="1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220" w:type="dxa"/>
            <w:vAlign w:val="bottom"/>
            <w:tcBorders>
              <w:bottom w:val="single" w:sz="8" w:color="CCEEFF"/>
            </w:tcBorders>
          </w:tcPr>
          <w:p>
            <w:pPr>
              <w:ind w:left="460"/>
              <w:spacing w:after="0"/>
              <w:rPr>
                <w:sz w:val="20"/>
                <w:szCs w:val="20"/>
                <w:color w:val="auto"/>
              </w:rPr>
            </w:pPr>
            <w:r>
              <w:rPr>
                <w:rFonts w:ascii="Arial" w:cs="Arial" w:eastAsia="Arial" w:hAnsi="Arial"/>
                <w:sz w:val="10"/>
                <w:szCs w:val="10"/>
                <w:color w:val="auto"/>
              </w:rPr>
              <w:t>Total Expenses</w:t>
            </w: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5,177.9</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5,483.5</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4,530.9</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Earnings (loss) from continuing operations before income tax expense (benefit) and equity in loss of unconsolidated affiliates</w:t>
            </w:r>
          </w:p>
        </w:tc>
        <w:tc>
          <w:tcPr>
            <w:tcW w:w="5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562.4</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344.9</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(279.7</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Income tax expense (benefit) on continuing operations</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185.6</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106.8</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(119.9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Earnings (loss) from continuing operations before equity in loss of unconsolidated affiliates</w:t>
            </w: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238.1</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(159.8</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6220" w:type="dxa"/>
            <w:vAlign w:val="bottom"/>
          </w:tcPr>
          <w:p>
            <w:pPr>
              <w:ind w:left="220"/>
              <w:spacing w:after="0"/>
              <w:rPr>
                <w:sz w:val="20"/>
                <w:szCs w:val="20"/>
                <w:color w:val="auto"/>
              </w:rPr>
            </w:pPr>
            <w:r>
              <w:rPr>
                <w:rFonts w:ascii="Arial" w:cs="Arial" w:eastAsia="Arial" w:hAnsi="Arial"/>
                <w:sz w:val="10"/>
                <w:szCs w:val="10"/>
                <w:color w:val="auto"/>
              </w:rPr>
              <w:t>Equity in loss of unconsolidated affiliates</w:t>
            </w:r>
          </w:p>
        </w:tc>
        <w:tc>
          <w:tcPr>
            <w:tcW w:w="5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(1.2</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(11.7</w:t>
            </w:r>
          </w:p>
        </w:tc>
        <w:tc>
          <w:tcPr>
            <w:tcW w:w="320" w:type="dxa"/>
            <w:vAlign w:val="bottom"/>
          </w:tcPr>
          <w:p>
            <w:pPr>
              <w:ind w:left="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(13.4</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Net earnings (loss) from continuing operations</w:t>
            </w:r>
          </w:p>
        </w:tc>
        <w:tc>
          <w:tcPr>
            <w:tcW w:w="5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375.6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226.4</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(173.2</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6220" w:type="dxa"/>
            <w:vAlign w:val="bottom"/>
          </w:tcPr>
          <w:p>
            <w:pPr>
              <w:ind w:left="220"/>
              <w:spacing w:after="0"/>
              <w:rPr>
                <w:sz w:val="20"/>
                <w:szCs w:val="20"/>
                <w:color w:val="auto"/>
              </w:rPr>
            </w:pPr>
            <w:r>
              <w:rPr>
                <w:rFonts w:ascii="Arial" w:cs="Arial" w:eastAsia="Arial" w:hAnsi="Arial"/>
                <w:sz w:val="10"/>
                <w:szCs w:val="10"/>
                <w:color w:val="auto"/>
              </w:rPr>
              <w:t>Net loss from discontinued operations, net of tax</w:t>
            </w:r>
          </w:p>
        </w:tc>
        <w:tc>
          <w:tcPr>
            <w:tcW w:w="5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(1.9</w:t>
            </w:r>
          </w:p>
        </w:tc>
        <w:tc>
          <w:tcPr>
            <w:tcW w:w="320" w:type="dxa"/>
            <w:vAlign w:val="bottom"/>
          </w:tcPr>
          <w:p>
            <w:pPr>
              <w:ind w:left="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(10.0</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Net earnings (loss)</w:t>
            </w:r>
          </w:p>
        </w:tc>
        <w:tc>
          <w:tcPr>
            <w:tcW w:w="5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375.6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224.5</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(183.2</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Less: Net earnings (loss) attributable to noncontrolling interests</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5.5</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2.2</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5"/>
        </w:trPr>
        <w:tc>
          <w:tcPr>
            <w:tcW w:w="6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0"/>
                <w:szCs w:val="10"/>
                <w:color w:val="auto"/>
              </w:rPr>
              <w:t>Net earnings (loss) attributable to Fidelity National Financial, Inc. common shareholders</w:t>
            </w:r>
          </w:p>
        </w:tc>
        <w:tc>
          <w:tcPr>
            <w:tcW w:w="5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370.1</w:t>
            </w:r>
          </w:p>
        </w:tc>
        <w:tc>
          <w:tcPr>
            <w:tcW w:w="1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222.3</w:t>
            </w:r>
          </w:p>
        </w:tc>
        <w:tc>
          <w:tcPr>
            <w:tcW w:w="3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(179.0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20" w:type="dxa"/>
            <w:vAlign w:val="bottom"/>
          </w:tcPr>
          <w:p>
            <w:pPr>
              <w:ind w:left="220"/>
              <w:spacing w:after="0"/>
              <w:rPr>
                <w:sz w:val="20"/>
                <w:szCs w:val="20"/>
                <w:color w:val="auto"/>
              </w:rPr>
            </w:pPr>
            <w:r>
              <w:rPr>
                <w:rFonts w:ascii="Arial" w:cs="Arial" w:eastAsia="Arial" w:hAnsi="Arial"/>
                <w:sz w:val="10"/>
                <w:szCs w:val="10"/>
                <w:b w:val="1"/>
                <w:bCs w:val="1"/>
                <w:color w:val="auto"/>
              </w:rPr>
              <w:t>Earnings per share</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i w:val="1"/>
                <w:iCs w:val="1"/>
                <w:color w:val="auto"/>
              </w:rPr>
              <w:t>Basic</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460"/>
              <w:spacing w:after="0"/>
              <w:rPr>
                <w:sz w:val="20"/>
                <w:szCs w:val="20"/>
                <w:color w:val="auto"/>
              </w:rPr>
            </w:pPr>
            <w:r>
              <w:rPr>
                <w:rFonts w:ascii="Arial" w:cs="Arial" w:eastAsia="Arial" w:hAnsi="Arial"/>
                <w:sz w:val="10"/>
                <w:szCs w:val="10"/>
                <w:color w:val="auto"/>
              </w:rPr>
              <w:t>Net earnings (loss) from continuing operations attributable to Fidelity National Financial, Inc. common shareholders</w:t>
            </w:r>
          </w:p>
        </w:tc>
        <w:tc>
          <w:tcPr>
            <w:tcW w:w="5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1.64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ind w:left="220"/>
              <w:spacing w:after="0"/>
              <w:rPr>
                <w:sz w:val="20"/>
                <w:szCs w:val="20"/>
                <w:color w:val="auto"/>
              </w:rPr>
            </w:pPr>
            <w:r>
              <w:rPr>
                <w:rFonts w:ascii="Arial" w:cs="Arial" w:eastAsia="Arial" w:hAnsi="Arial"/>
                <w:sz w:val="10"/>
                <w:szCs w:val="10"/>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0"/>
                <w:szCs w:val="10"/>
                <w:color w:val="auto"/>
              </w:rPr>
              <w:t>1.00</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0"/>
                <w:szCs w:val="10"/>
                <w:color w:val="auto"/>
              </w:rPr>
              <w:t>(0.83</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ind w:left="460"/>
              <w:spacing w:after="0"/>
              <w:rPr>
                <w:sz w:val="20"/>
                <w:szCs w:val="20"/>
                <w:color w:val="auto"/>
              </w:rPr>
            </w:pPr>
            <w:r>
              <w:rPr>
                <w:rFonts w:ascii="Arial" w:cs="Arial" w:eastAsia="Arial" w:hAnsi="Arial"/>
                <w:sz w:val="10"/>
                <w:szCs w:val="10"/>
                <w:color w:val="auto"/>
              </w:rPr>
              <w:t>Net loss from discontinued operations attributable to Fidelity National Financial, Inc. common shareholders</w:t>
            </w:r>
          </w:p>
        </w:tc>
        <w:tc>
          <w:tcPr>
            <w:tcW w:w="5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(0.01</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Net earnings (loss) attributable to Fidelity National Financial, Inc. common shareholders</w:t>
            </w:r>
          </w:p>
        </w:tc>
        <w:tc>
          <w:tcPr>
            <w:tcW w:w="5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1.64</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0.99</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(0.85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3"/>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Weighted average shares outstanding, basic basis</w:t>
            </w:r>
          </w:p>
        </w:tc>
        <w:tc>
          <w:tcPr>
            <w:tcW w:w="5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226.2</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224.7</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210.0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6220" w:type="dxa"/>
            <w:vAlign w:val="bottom"/>
            <w:tcBorders>
              <w:top w:val="single" w:sz="8" w:color="CCEEFF"/>
            </w:tcBorders>
          </w:tcPr>
          <w:p>
            <w:pPr>
              <w:ind w:left="220"/>
              <w:spacing w:after="0"/>
              <w:rPr>
                <w:sz w:val="20"/>
                <w:szCs w:val="20"/>
                <w:color w:val="auto"/>
              </w:rPr>
            </w:pPr>
            <w:r>
              <w:rPr>
                <w:rFonts w:ascii="Arial" w:cs="Arial" w:eastAsia="Arial" w:hAnsi="Arial"/>
                <w:sz w:val="10"/>
                <w:szCs w:val="10"/>
                <w:i w:val="1"/>
                <w:iCs w:val="1"/>
                <w:color w:val="auto"/>
              </w:rPr>
              <w:t>Diluted</w:t>
            </w: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EFF"/>
          </w:tcPr>
          <w:p>
            <w:pPr>
              <w:ind w:left="460"/>
              <w:spacing w:after="0"/>
              <w:rPr>
                <w:sz w:val="20"/>
                <w:szCs w:val="20"/>
                <w:color w:val="auto"/>
              </w:rPr>
            </w:pPr>
            <w:r>
              <w:rPr>
                <w:rFonts w:ascii="Arial" w:cs="Arial" w:eastAsia="Arial" w:hAnsi="Arial"/>
                <w:sz w:val="10"/>
                <w:szCs w:val="10"/>
                <w:color w:val="auto"/>
              </w:rPr>
              <w:t>Net e arnings (loss) from continuing operations attributable to Fidelity National Financial, Inc. common shareholders</w:t>
            </w: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1.61</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0.98</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(0.83</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6220" w:type="dxa"/>
            <w:vAlign w:val="bottom"/>
            <w:tcBorders>
              <w:bottom w:val="single" w:sz="8" w:color="CCEEFF"/>
            </w:tcBorders>
          </w:tcPr>
          <w:p>
            <w:pPr>
              <w:ind w:left="460"/>
              <w:spacing w:after="0"/>
              <w:rPr>
                <w:sz w:val="20"/>
                <w:szCs w:val="20"/>
                <w:color w:val="auto"/>
              </w:rPr>
            </w:pPr>
            <w:r>
              <w:rPr>
                <w:rFonts w:ascii="Arial" w:cs="Arial" w:eastAsia="Arial" w:hAnsi="Arial"/>
                <w:sz w:val="10"/>
                <w:szCs w:val="10"/>
                <w:color w:val="auto"/>
              </w:rPr>
              <w:t>Net loss from discontinued operations attributable to Fidelity National Financial, Inc. common shareholders</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(0.01</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(0.02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2"/>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Net earnings (loss) attributable to Fidelity National Financial, Inc. common shareholders</w:t>
            </w:r>
          </w:p>
        </w:tc>
        <w:tc>
          <w:tcPr>
            <w:tcW w:w="5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1.61</w:t>
            </w:r>
          </w:p>
        </w:tc>
        <w:tc>
          <w:tcPr>
            <w:tcW w:w="1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0.97</w:t>
            </w:r>
          </w:p>
        </w:tc>
        <w:tc>
          <w:tcPr>
            <w:tcW w:w="3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(0.85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0"/>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Weighted average shares outstanding, diluted basis</w:t>
            </w: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229.3</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228.5</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Dividends per share</w:t>
            </w:r>
          </w:p>
        </w:tc>
        <w:tc>
          <w:tcPr>
            <w:tcW w:w="5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0.69</w:t>
            </w:r>
          </w:p>
        </w:tc>
        <w:tc>
          <w:tcPr>
            <w:tcW w:w="1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rPr>
              <w:t>0.60</w:t>
            </w:r>
          </w:p>
        </w:tc>
        <w:tc>
          <w:tcPr>
            <w:tcW w:w="1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1.05</w:t>
            </w:r>
          </w:p>
        </w:tc>
        <w:tc>
          <w:tcPr>
            <w:tcW w:w="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6220" w:type="dxa"/>
            <w:vAlign w:val="bottom"/>
          </w:tcPr>
          <w:p>
            <w:pPr>
              <w:ind w:left="220"/>
              <w:spacing w:after="0"/>
              <w:rPr>
                <w:sz w:val="20"/>
                <w:szCs w:val="20"/>
                <w:color w:val="auto"/>
              </w:rPr>
            </w:pPr>
            <w:r>
              <w:rPr>
                <w:rFonts w:ascii="Arial" w:cs="Arial" w:eastAsia="Arial" w:hAnsi="Arial"/>
                <w:sz w:val="10"/>
                <w:szCs w:val="10"/>
                <w:b w:val="1"/>
                <w:bCs w:val="1"/>
                <w:color w:val="auto"/>
              </w:rPr>
              <w:t>Amounts attributable to Fidelity National Financial, Inc., common shareholders: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Net earnings (loss) from continuing operations, net of tax, attributable to Fidelity National Financial, Inc. common shareholders</w:t>
            </w: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370.1</w:t>
            </w:r>
          </w:p>
        </w:tc>
        <w:tc>
          <w:tcPr>
            <w:tcW w:w="14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224.1</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(173.7</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Net loss from discontinued operations, net of tax, attributable to Fidelity National Financial, Inc. common shareholders</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(1.8</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2"/>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Net earnings (loss) attributable to Fidelity National Financial, Inc. common shareholders</w:t>
            </w:r>
          </w:p>
        </w:tc>
        <w:tc>
          <w:tcPr>
            <w:tcW w:w="5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370.1</w:t>
            </w:r>
          </w:p>
        </w:tc>
        <w:tc>
          <w:tcPr>
            <w:tcW w:w="1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222.3</w:t>
            </w:r>
          </w:p>
        </w:tc>
        <w:tc>
          <w:tcPr>
            <w:tcW w:w="3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(179.0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See Notes to Consolidated Financial Statements.</w:t>
      </w: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127" w:right="199" w:bottom="1440" w:gutter="0" w:footer="0" w:header="0"/>
        </w:sectPr>
      </w:pPr>
    </w:p>
    <w:bookmarkStart w:id="51" w:name="page52"/>
    <w:bookmarkEnd w:id="51"/>
    <w:p>
      <w:pPr>
        <w:jc w:val="center"/>
        <w:ind w:right="-199"/>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CONSOLIDATED STATEMENTS OF C OMPREHENSIVE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154940</wp:posOffset>
            </wp:positionV>
            <wp:extent cx="11430" cy="108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 cy="10858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gridSpan w:val="2"/>
          </w:tcPr>
          <w:p>
            <w:pPr>
              <w:ind w:left="100"/>
              <w:spacing w:after="0"/>
              <w:rPr>
                <w:sz w:val="20"/>
                <w:szCs w:val="20"/>
                <w:color w:val="auto"/>
              </w:rPr>
            </w:pPr>
            <w:r>
              <w:rPr>
                <w:rFonts w:ascii="Arial" w:cs="Arial" w:eastAsia="Arial" w:hAnsi="Arial"/>
                <w:sz w:val="11"/>
                <w:szCs w:val="11"/>
                <w:color w:val="auto"/>
                <w:w w:val="78"/>
              </w:rPr>
              <w:t>0.1</w:t>
            </w:r>
          </w:p>
        </w:tc>
      </w:tr>
      <w:tr>
        <w:trPr>
          <w:trHeight w:val="297"/>
        </w:trPr>
        <w:tc>
          <w:tcPr>
            <w:tcW w:w="7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6"/>
          </w:tcPr>
          <w:p>
            <w:pPr>
              <w:jc w:val="center"/>
              <w:ind w:right="60"/>
              <w:spacing w:after="0"/>
              <w:rPr>
                <w:sz w:val="20"/>
                <w:szCs w:val="20"/>
                <w:color w:val="auto"/>
              </w:rPr>
            </w:pPr>
            <w:r>
              <w:rPr>
                <w:rFonts w:ascii="Arial" w:cs="Arial" w:eastAsia="Arial" w:hAnsi="Arial"/>
                <w:sz w:val="11"/>
                <w:szCs w:val="11"/>
                <w:color w:val="auto"/>
                <w:w w:val="87"/>
              </w:rPr>
              <w:t>Year Ended December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
        </w:trPr>
        <w:tc>
          <w:tcPr>
            <w:tcW w:w="7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7"/>
        </w:trPr>
        <w:tc>
          <w:tcPr>
            <w:tcW w:w="7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2010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2009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26"/>
              <w:spacing w:after="0"/>
              <w:rPr>
                <w:sz w:val="20"/>
                <w:szCs w:val="20"/>
                <w:color w:val="auto"/>
              </w:rPr>
            </w:pPr>
            <w:r>
              <w:rPr>
                <w:rFonts w:ascii="Arial" w:cs="Arial" w:eastAsia="Arial" w:hAnsi="Arial"/>
                <w:sz w:val="11"/>
                <w:szCs w:val="11"/>
                <w:b w:val="1"/>
                <w:bCs w:val="1"/>
                <w:color w:val="auto"/>
              </w:rPr>
              <w:t>2008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
        </w:trPr>
        <w:tc>
          <w:tcPr>
            <w:tcW w:w="7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8"/>
        </w:trPr>
        <w:tc>
          <w:tcPr>
            <w:tcW w:w="7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(In millions)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
        </w:trPr>
        <w:tc>
          <w:tcPr>
            <w:tcW w:w="7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Net earnings (loss)</w:t>
            </w: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375.6</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224.5</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(183.2</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r>
      <w:tr>
        <w:trPr>
          <w:trHeight w:val="158"/>
        </w:trPr>
        <w:tc>
          <w:tcPr>
            <w:tcW w:w="7100" w:type="dxa"/>
            <w:vAlign w:val="bottom"/>
          </w:tcPr>
          <w:p>
            <w:pPr>
              <w:ind w:left="220"/>
              <w:spacing w:after="0"/>
              <w:rPr>
                <w:sz w:val="20"/>
                <w:szCs w:val="20"/>
                <w:color w:val="auto"/>
              </w:rPr>
            </w:pPr>
            <w:r>
              <w:rPr>
                <w:rFonts w:ascii="Arial" w:cs="Arial" w:eastAsia="Arial" w:hAnsi="Arial"/>
                <w:sz w:val="11"/>
                <w:szCs w:val="11"/>
                <w:color w:val="auto"/>
              </w:rPr>
              <w:t>Other comprehensive earnings (loss):</w:t>
            </w:r>
          </w:p>
        </w:tc>
        <w:tc>
          <w:tcPr>
            <w:tcW w:w="4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Unrealized (loss) gain on investments and other financial instruments, net (excluding investments in unconsolidated affiliates)&lt; /font&gt;</w:t>
            </w:r>
          </w:p>
        </w:tc>
        <w:tc>
          <w:tcPr>
            <w:tcW w:w="4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123.4</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(37.6</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r>
      <w:tr>
        <w:trPr>
          <w:trHeight w:val="158"/>
        </w:trPr>
        <w:tc>
          <w:tcPr>
            <w:tcW w:w="7100" w:type="dxa"/>
            <w:vAlign w:val="bottom"/>
          </w:tcPr>
          <w:p>
            <w:pPr>
              <w:ind w:left="380"/>
              <w:spacing w:after="0"/>
              <w:rPr>
                <w:sz w:val="20"/>
                <w:szCs w:val="20"/>
                <w:color w:val="auto"/>
              </w:rPr>
            </w:pPr>
            <w:r>
              <w:rPr>
                <w:rFonts w:ascii="Arial" w:cs="Arial" w:eastAsia="Arial" w:hAnsi="Arial"/>
                <w:sz w:val="11"/>
                <w:szCs w:val="11"/>
                <w:color w:val="auto"/>
              </w:rPr>
              <w:t>Unrealized gain (loss) relating to investments in unconsolidated affiliates</w:t>
            </w:r>
          </w:p>
        </w:tc>
        <w:tc>
          <w:tcPr>
            <w:tcW w:w="46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(5.0</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(45.1</w:t>
            </w:r>
          </w:p>
        </w:tc>
        <w:tc>
          <w:tcPr>
            <w:tcW w:w="160" w:type="dxa"/>
            <w:vAlign w:val="bottom"/>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r>
      <w:tr>
        <w:trPr>
          <w:trHeight w:val="22"/>
        </w:trPr>
        <w:tc>
          <w:tcPr>
            <w:tcW w:w="7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Unrealized gain (loss) on foreign currency translation</w:t>
            </w:r>
          </w:p>
        </w:tc>
        <w:tc>
          <w:tcPr>
            <w:tcW w:w="4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346"/>
              <w:spacing w:after="0"/>
              <w:rPr>
                <w:sz w:val="20"/>
                <w:szCs w:val="20"/>
                <w:color w:val="auto"/>
              </w:rPr>
            </w:pPr>
            <w:r>
              <w:rPr>
                <w:rFonts w:ascii="Arial" w:cs="Arial" w:eastAsia="Arial" w:hAnsi="Arial"/>
                <w:sz w:val="11"/>
                <w:szCs w:val="11"/>
                <w:color w:val="auto"/>
              </w:rPr>
              <w:t>11.1</w:t>
            </w: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7100" w:type="dxa"/>
            <w:vAlign w:val="bottom"/>
          </w:tcPr>
          <w:p>
            <w:pPr>
              <w:ind w:left="380"/>
              <w:spacing w:after="0"/>
              <w:rPr>
                <w:sz w:val="20"/>
                <w:szCs w:val="20"/>
                <w:color w:val="auto"/>
              </w:rPr>
            </w:pPr>
            <w:r>
              <w:rPr>
                <w:rFonts w:ascii="Arial" w:cs="Arial" w:eastAsia="Arial" w:hAnsi="Arial"/>
                <w:sz w:val="11"/>
                <w:szCs w:val="11"/>
                <w:color w:val="auto"/>
              </w:rPr>
              <w:t>Reclassification adjustments for change in unrealized gains and losses included in net earnings</w:t>
            </w:r>
          </w:p>
        </w:tc>
        <w:tc>
          <w:tcPr>
            <w:tcW w:w="46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34.5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(4.9</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
        </w:trPr>
        <w:tc>
          <w:tcPr>
            <w:tcW w:w="7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Minimum pension liability adjustment</w:t>
            </w:r>
          </w:p>
        </w:tc>
        <w:tc>
          <w:tcPr>
            <w:tcW w:w="4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(17.9</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r>
      <w:tr>
        <w:trPr>
          <w:trHeight w:val="138"/>
        </w:trPr>
        <w:tc>
          <w:tcPr>
            <w:tcW w:w="7100" w:type="dxa"/>
            <w:vAlign w:val="bottom"/>
          </w:tcPr>
          <w:p>
            <w:pPr>
              <w:ind w:left="220"/>
              <w:spacing w:after="0"/>
              <w:rPr>
                <w:sz w:val="20"/>
                <w:szCs w:val="20"/>
                <w:color w:val="auto"/>
              </w:rPr>
            </w:pPr>
            <w:r>
              <w:rPr>
                <w:rFonts w:ascii="Arial" w:cs="Arial" w:eastAsia="Arial" w:hAnsi="Arial"/>
                <w:sz w:val="11"/>
                <w:szCs w:val="11"/>
                <w:color w:val="auto"/>
              </w:rPr>
              <w:t>Other comprehensive (l oss) earnings</w:t>
            </w: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127.4</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(75.1</w:t>
            </w:r>
          </w:p>
        </w:tc>
        <w:tc>
          <w:tcPr>
            <w:tcW w:w="160" w:type="dxa"/>
            <w:vAlign w:val="bottom"/>
            <w:tcBorders>
              <w:top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0"/>
        </w:trPr>
        <w:tc>
          <w:tcPr>
            <w:tcW w:w="7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Comprehensive earnings (loss)</w:t>
            </w:r>
          </w:p>
        </w:tc>
        <w:tc>
          <w:tcPr>
            <w:tcW w:w="4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352.6</w:t>
            </w: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(258.3</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r>
      <w:tr>
        <w:trPr>
          <w:trHeight w:val="158"/>
        </w:trPr>
        <w:tc>
          <w:tcPr>
            <w:tcW w:w="7100" w:type="dxa"/>
            <w:vAlign w:val="bottom"/>
          </w:tcPr>
          <w:p>
            <w:pPr>
              <w:ind w:left="220"/>
              <w:spacing w:after="0"/>
              <w:rPr>
                <w:sz w:val="20"/>
                <w:szCs w:val="20"/>
                <w:color w:val="auto"/>
              </w:rPr>
            </w:pPr>
            <w:r>
              <w:rPr>
                <w:rFonts w:ascii="Arial" w:cs="Arial" w:eastAsia="Arial" w:hAnsi="Arial"/>
                <w:sz w:val="11"/>
                <w:szCs w:val="11"/>
                <w:color w:val="auto"/>
              </w:rPr>
              <w:t>Less: Comprehensive earnings (loss) attributable to noncontrolling interests</w:t>
            </w:r>
          </w:p>
        </w:tc>
        <w:tc>
          <w:tcPr>
            <w:tcW w:w="46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(4.2</w:t>
            </w:r>
          </w:p>
        </w:tc>
        <w:tc>
          <w:tcPr>
            <w:tcW w:w="160" w:type="dxa"/>
            <w:vAlign w:val="bottom"/>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7"/>
        </w:trPr>
        <w:tc>
          <w:tcPr>
            <w:tcW w:w="7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Comprehensive earnings (loss) attributable to Fidelity National Financial Inc. common shareholders</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347.1</w:t>
            </w:r>
          </w:p>
        </w:tc>
        <w:tc>
          <w:tcPr>
            <w:tcW w:w="1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349.7</w:t>
            </w:r>
          </w:p>
        </w:tc>
        <w:tc>
          <w:tcPr>
            <w:tcW w:w="1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(254.1</w:t>
            </w:r>
          </w:p>
        </w:tc>
        <w:tc>
          <w:tcPr>
            <w:tcW w:w="1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r>
    </w:tbl>
    <w:p>
      <w:pPr>
        <w:spacing w:after="0" w:line="3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See Notes to Consolidated Financial Statements.</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127" w:right="199" w:bottom="1440" w:gutter="0" w:footer="0" w:header="0"/>
        </w:sectPr>
      </w:pPr>
    </w:p>
    <w:bookmarkStart w:id="52" w:name="page53"/>
    <w:bookmarkEnd w:id="52"/>
    <w:p>
      <w:pPr>
        <w:spacing w:after="0" w:line="62" w:lineRule="exact"/>
        <w:rPr>
          <w:sz w:val="20"/>
          <w:szCs w:val="20"/>
          <w:color w:val="auto"/>
        </w:rPr>
      </w:pPr>
    </w:p>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47"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CONSOLIDATED STATEMENTS OF EQUITY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88"/>
        </w:trPr>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8"/>
                <w:szCs w:val="8"/>
                <w:color w:val="auto"/>
              </w:rPr>
              <w:t>110.3</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8"/>
                <w:szCs w:val="8"/>
                <w:b w:val="1"/>
                <w:bCs w:val="1"/>
                <w:color w:val="auto"/>
              </w:rPr>
              <w:t>Fidelity National Financial, Inc. Common Shareholders</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567"/>
              <w:spacing w:after="0"/>
              <w:rPr>
                <w:sz w:val="20"/>
                <w:szCs w:val="20"/>
                <w:color w:val="auto"/>
              </w:rPr>
            </w:pPr>
            <w:r>
              <w:rPr>
                <w:rFonts w:ascii="Arial" w:cs="Arial" w:eastAsia="Arial" w:hAnsi="Arial"/>
                <w:sz w:val="8"/>
                <w:szCs w:val="8"/>
                <w:b w:val="1"/>
                <w:bCs w:val="1"/>
                <w:color w:val="auto"/>
                <w:w w:val="95"/>
              </w:rPr>
              <w:t>Common Stock</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8"/>
                <w:szCs w:val="8"/>
                <w:b w:val="1"/>
                <w:bCs w:val="1"/>
                <w:color w:val="auto"/>
              </w:rPr>
              <w:t>Accumulated</w:t>
            </w: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220"/>
              <w:spacing w:after="0"/>
              <w:rPr>
                <w:sz w:val="20"/>
                <w:szCs w:val="20"/>
                <w:color w:val="auto"/>
              </w:rPr>
            </w:pPr>
            <w:r>
              <w:rPr>
                <w:rFonts w:ascii="Arial" w:cs="Arial" w:eastAsia="Arial" w:hAnsi="Arial"/>
                <w:sz w:val="8"/>
                <w:szCs w:val="8"/>
                <w:b w:val="1"/>
                <w:bCs w:val="1"/>
                <w:color w:val="auto"/>
              </w:rPr>
              <w:t>Treasury Stock</w:t>
            </w: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gridSpan w:val="3"/>
          </w:tcPr>
          <w:p>
            <w:pPr>
              <w:jc w:val="right"/>
              <w:ind w:right="60"/>
              <w:spacing w:after="0" w:line="62" w:lineRule="exact"/>
              <w:rPr>
                <w:sz w:val="20"/>
                <w:szCs w:val="20"/>
                <w:color w:val="auto"/>
              </w:rPr>
            </w:pPr>
            <w:r>
              <w:rPr>
                <w:rFonts w:ascii="Arial" w:cs="Arial" w:eastAsia="Arial" w:hAnsi="Arial"/>
                <w:sz w:val="7"/>
                <w:szCs w:val="7"/>
                <w:b w:val="1"/>
                <w:bCs w:val="1"/>
                <w:color w:val="auto"/>
              </w:rPr>
              <w:t>Additional Paid-In</w:t>
            </w:r>
          </w:p>
        </w:tc>
        <w:tc>
          <w:tcPr>
            <w:tcW w:w="320" w:type="dxa"/>
            <w:vAlign w:val="bottom"/>
          </w:tcPr>
          <w:p>
            <w:pPr>
              <w:spacing w:after="0"/>
              <w:rPr>
                <w:sz w:val="5"/>
                <w:szCs w:val="5"/>
                <w:color w:val="auto"/>
              </w:rPr>
            </w:pPr>
          </w:p>
        </w:tc>
        <w:tc>
          <w:tcPr>
            <w:tcW w:w="980" w:type="dxa"/>
            <w:vAlign w:val="bottom"/>
            <w:gridSpan w:val="2"/>
          </w:tcPr>
          <w:p>
            <w:pPr>
              <w:jc w:val="right"/>
              <w:spacing w:after="0" w:line="62" w:lineRule="exact"/>
              <w:rPr>
                <w:sz w:val="20"/>
                <w:szCs w:val="20"/>
                <w:color w:val="auto"/>
              </w:rPr>
            </w:pPr>
            <w:r>
              <w:rPr>
                <w:rFonts w:ascii="Arial" w:cs="Arial" w:eastAsia="Arial" w:hAnsi="Arial"/>
                <w:sz w:val="7"/>
                <w:szCs w:val="7"/>
                <w:b w:val="1"/>
                <w:bCs w:val="1"/>
                <w:color w:val="auto"/>
              </w:rPr>
              <w:t>Retained Earnings</w:t>
            </w: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gridSpan w:val="5"/>
          </w:tcPr>
          <w:p>
            <w:pPr>
              <w:ind w:left="260"/>
              <w:spacing w:after="0" w:line="62" w:lineRule="exact"/>
              <w:rPr>
                <w:sz w:val="20"/>
                <w:szCs w:val="20"/>
                <w:color w:val="auto"/>
              </w:rPr>
            </w:pPr>
            <w:r>
              <w:rPr>
                <w:rFonts w:ascii="Arial" w:cs="Arial" w:eastAsia="Arial" w:hAnsi="Arial"/>
                <w:sz w:val="7"/>
                <w:szCs w:val="7"/>
                <w:b w:val="1"/>
                <w:bCs w:val="1"/>
                <w:color w:val="auto"/>
              </w:rPr>
              <w:t>Other Comprehensive</w:t>
            </w: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jc w:val="right"/>
              <w:spacing w:after="0" w:line="62" w:lineRule="exact"/>
              <w:rPr>
                <w:sz w:val="20"/>
                <w:szCs w:val="20"/>
                <w:color w:val="auto"/>
              </w:rPr>
            </w:pPr>
            <w:r>
              <w:rPr>
                <w:rFonts w:ascii="Arial" w:cs="Arial" w:eastAsia="Arial" w:hAnsi="Arial"/>
                <w:sz w:val="7"/>
                <w:szCs w:val="7"/>
                <w:b w:val="1"/>
                <w:bCs w:val="1"/>
                <w:color w:val="auto"/>
              </w:rPr>
              <w:t>No</w:t>
            </w:r>
          </w:p>
        </w:tc>
        <w:tc>
          <w:tcPr>
            <w:tcW w:w="0" w:type="dxa"/>
            <w:vAlign w:val="bottom"/>
          </w:tcPr>
          <w:p>
            <w:pPr>
              <w:spacing w:after="0"/>
              <w:rPr>
                <w:sz w:val="1"/>
                <w:szCs w:val="1"/>
                <w:color w:val="auto"/>
              </w:rPr>
            </w:pPr>
          </w:p>
        </w:tc>
      </w:tr>
      <w:tr>
        <w:trPr>
          <w:trHeight w:val="113"/>
        </w:trPr>
        <w:tc>
          <w:tcPr>
            <w:tcW w:w="8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2"/>
          </w:tcPr>
          <w:p>
            <w:pPr>
              <w:ind w:left="220"/>
              <w:spacing w:after="0"/>
              <w:rPr>
                <w:sz w:val="20"/>
                <w:szCs w:val="20"/>
                <w:color w:val="auto"/>
              </w:rPr>
            </w:pPr>
            <w:r>
              <w:rPr>
                <w:rFonts w:ascii="Arial" w:cs="Arial" w:eastAsia="Arial" w:hAnsi="Arial"/>
                <w:sz w:val="8"/>
                <w:szCs w:val="8"/>
                <w:b w:val="1"/>
                <w:bCs w:val="1"/>
                <w:color w:val="auto"/>
              </w:rPr>
              <w:t>Shares</w:t>
            </w:r>
          </w:p>
        </w:tc>
        <w:tc>
          <w:tcPr>
            <w:tcW w:w="3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Amount</w:t>
            </w: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8"/>
                <w:szCs w:val="8"/>
                <w:b w:val="1"/>
                <w:bCs w:val="1"/>
                <w:color w:val="auto"/>
              </w:rPr>
              <w:t>Capital</w:t>
            </w: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58"/>
              <w:spacing w:after="0"/>
              <w:rPr>
                <w:sz w:val="20"/>
                <w:szCs w:val="20"/>
                <w:color w:val="auto"/>
              </w:rPr>
            </w:pPr>
            <w:r>
              <w:rPr>
                <w:rFonts w:ascii="Arial" w:cs="Arial" w:eastAsia="Arial" w:hAnsi="Arial"/>
                <w:sz w:val="8"/>
                <w:szCs w:val="8"/>
                <w:b w:val="1"/>
                <w:bCs w:val="1"/>
                <w:color w:val="auto"/>
              </w:rPr>
              <w:t>(Deficit)</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8"/>
                <w:szCs w:val="8"/>
                <w:b w:val="1"/>
                <w:bCs w:val="1"/>
                <w:color w:val="auto"/>
                <w:w w:val="95"/>
              </w:rPr>
              <w:t>Earnings (Loss)</w:t>
            </w: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3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ind w:left="560"/>
              <w:spacing w:after="0"/>
              <w:rPr>
                <w:sz w:val="20"/>
                <w:szCs w:val="20"/>
                <w:color w:val="auto"/>
              </w:rPr>
            </w:pPr>
            <w:r>
              <w:rPr>
                <w:rFonts w:ascii="Arial" w:cs="Arial" w:eastAsia="Arial" w:hAnsi="Arial"/>
                <w:sz w:val="8"/>
                <w:szCs w:val="8"/>
                <w:b w:val="1"/>
                <w:bCs w:val="1"/>
                <w:color w:val="auto"/>
              </w:rPr>
              <w:t>Amount</w:t>
            </w: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ind w:left="20"/>
              <w:spacing w:after="0"/>
              <w:rPr>
                <w:sz w:val="20"/>
                <w:szCs w:val="20"/>
                <w:color w:val="auto"/>
              </w:rPr>
            </w:pPr>
            <w:r>
              <w:rPr>
                <w:rFonts w:ascii="Arial" w:cs="Arial" w:eastAsia="Arial" w:hAnsi="Arial"/>
                <w:sz w:val="8"/>
                <w:szCs w:val="8"/>
                <w:b w:val="1"/>
                <w:bCs w:val="1"/>
                <w:color w:val="auto"/>
              </w:rPr>
              <w:t>(In millions)</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220"/>
              <w:spacing w:after="0"/>
              <w:rPr>
                <w:sz w:val="20"/>
                <w:szCs w:val="20"/>
                <w:color w:val="auto"/>
              </w:rPr>
            </w:pPr>
            <w:r>
              <w:rPr>
                <w:rFonts w:ascii="Arial" w:cs="Arial" w:eastAsia="Arial" w:hAnsi="Arial"/>
                <w:sz w:val="8"/>
                <w:szCs w:val="8"/>
                <w:color w:val="auto"/>
              </w:rPr>
              <w:t>Balance,</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0" w:type="dxa"/>
            <w:vAlign w:val="bottom"/>
          </w:tcPr>
          <w:p>
            <w:pPr>
              <w:ind w:left="20"/>
              <w:spacing w:after="0"/>
              <w:rPr>
                <w:sz w:val="20"/>
                <w:szCs w:val="20"/>
                <w:color w:val="auto"/>
              </w:rPr>
            </w:pPr>
            <w:r>
              <w:rPr>
                <w:rFonts w:ascii="Arial" w:cs="Arial" w:eastAsia="Arial" w:hAnsi="Arial"/>
                <w:sz w:val="8"/>
                <w:szCs w:val="8"/>
                <w:color w:val="auto"/>
              </w:rPr>
              <w:t>December 31, 2007</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223.1</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w w:val="8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3,236.9</w:t>
            </w:r>
          </w:p>
        </w:tc>
        <w:tc>
          <w:tcPr>
            <w:tcW w:w="2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213.2</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(16.7</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10.0</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(189.3</w:t>
            </w:r>
          </w:p>
        </w:tc>
        <w:tc>
          <w:tcPr>
            <w:tcW w:w="920" w:type="dxa"/>
            <w:vAlign w:val="bottom"/>
            <w:shd w:val="clear" w:color="auto" w:fill="CCEEFF"/>
          </w:tcPr>
          <w:p>
            <w:pPr>
              <w:ind w:lef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Acquisition</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of LandAmerica</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title insurance</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subsidiaries</w:t>
            </w:r>
          </w:p>
        </w:tc>
        <w:tc>
          <w:tcPr>
            <w:tcW w:w="460" w:type="dxa"/>
            <w:vAlign w:val="bottom"/>
          </w:tcPr>
          <w:p>
            <w:pPr>
              <w:jc w:val="right"/>
              <w:spacing w:after="0"/>
              <w:rPr>
                <w:sz w:val="20"/>
                <w:szCs w:val="20"/>
                <w:color w:val="auto"/>
              </w:rPr>
            </w:pPr>
            <w:r>
              <w:rPr>
                <w:rFonts w:ascii="Arial" w:cs="Arial" w:eastAsia="Arial" w:hAnsi="Arial"/>
                <w:sz w:val="8"/>
                <w:szCs w:val="8"/>
                <w:color w:val="auto"/>
              </w:rPr>
              <w:t>3.2</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gridSpan w:val="2"/>
          </w:tcPr>
          <w:p>
            <w:pPr>
              <w:jc w:val="right"/>
              <w:ind w:right="243"/>
              <w:spacing w:after="0"/>
              <w:rPr>
                <w:sz w:val="20"/>
                <w:szCs w:val="20"/>
                <w:color w:val="auto"/>
              </w:rPr>
            </w:pPr>
            <w:r>
              <w:rPr>
                <w:rFonts w:ascii="Arial" w:cs="Arial" w:eastAsia="Arial" w:hAnsi="Arial"/>
                <w:sz w:val="8"/>
                <w:szCs w:val="8"/>
                <w:color w:val="auto"/>
              </w:rPr>
              <w:t>50.0</w:t>
            </w: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gridSpan w:val="2"/>
          </w:tcPr>
          <w:p>
            <w:pPr>
              <w:ind w:left="240"/>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ind w:right="359"/>
              <w:spacing w:after="0"/>
              <w:rPr>
                <w:sz w:val="20"/>
                <w:szCs w:val="20"/>
                <w:color w:val="auto"/>
              </w:rPr>
            </w:pPr>
            <w:r>
              <w:rPr>
                <w:rFonts w:ascii="Arial" w:cs="Arial" w:eastAsia="Arial" w:hAnsi="Arial"/>
                <w:sz w:val="8"/>
                <w:szCs w:val="8"/>
                <w:color w:val="auto"/>
              </w:rPr>
              <w:t>—</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ind w:left="14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gridSpan w:val="2"/>
          </w:tcPr>
          <w:p>
            <w:pPr>
              <w:ind w:left="200"/>
              <w:spacing w:after="0"/>
              <w:rPr>
                <w:sz w:val="20"/>
                <w:szCs w:val="20"/>
                <w:color w:val="auto"/>
              </w:rPr>
            </w:pPr>
            <w:r>
              <w:rPr>
                <w:rFonts w:ascii="Arial" w:cs="Arial" w:eastAsia="Arial" w:hAnsi="Arial"/>
                <w:sz w:val="8"/>
                <w:szCs w:val="8"/>
                <w:color w:val="auto"/>
              </w:rPr>
              <w:t>—</w:t>
            </w: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gridSpan w:val="2"/>
          </w:tcPr>
          <w:p>
            <w:pPr>
              <w:jc w:val="right"/>
              <w:ind w:right="39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Exercise of</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0.7</w:t>
            </w:r>
          </w:p>
        </w:tc>
        <w:tc>
          <w:tcPr>
            <w:tcW w:w="920" w:type="dxa"/>
            <w:vAlign w:val="bottom"/>
            <w:shd w:val="clear" w:color="auto" w:fill="CCEEFF"/>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5.3</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Treasury</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Stock repurchased</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tcPr>
          <w:p>
            <w:pPr>
              <w:jc w:val="right"/>
              <w:ind w:right="238"/>
              <w:spacing w:after="0"/>
              <w:rPr>
                <w:sz w:val="20"/>
                <w:szCs w:val="20"/>
                <w:color w:val="auto"/>
              </w:rPr>
            </w:pPr>
            <w:r>
              <w:rPr>
                <w:rFonts w:ascii="Arial" w:cs="Arial" w:eastAsia="Arial" w:hAnsi="Arial"/>
                <w:sz w:val="8"/>
                <w:szCs w:val="8"/>
                <w:color w:val="auto"/>
              </w:rPr>
              <w:t>3.2</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(45.9</w:t>
            </w:r>
          </w:p>
        </w:tc>
        <w:tc>
          <w:tcPr>
            <w:tcW w:w="920" w:type="dxa"/>
            <w:vAlign w:val="bottom"/>
          </w:tcPr>
          <w:p>
            <w:pPr>
              <w:ind w:left="22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Tax benefit</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w w:val="99"/>
              </w:rPr>
              <w:t>associated with the</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exercise of stock</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options</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1040" w:type="dxa"/>
            <w:vAlign w:val="bottom"/>
            <w:gridSpan w:val="3"/>
            <w:shd w:val="clear" w:color="auto" w:fill="CCEEFF"/>
          </w:tcPr>
          <w:p>
            <w:pPr>
              <w:ind w:left="520"/>
              <w:spacing w:after="0"/>
              <w:rPr>
                <w:sz w:val="20"/>
                <w:szCs w:val="20"/>
                <w:color w:val="auto"/>
              </w:rPr>
            </w:pPr>
            <w:r>
              <w:rPr>
                <w:rFonts w:ascii="Arial" w:cs="Arial" w:eastAsia="Arial" w:hAnsi="Arial"/>
                <w:sz w:val="8"/>
                <w:szCs w:val="8"/>
                <w:color w:val="auto"/>
              </w:rPr>
              <w:t>0.3</w:t>
            </w:r>
          </w:p>
        </w:tc>
        <w:tc>
          <w:tcPr>
            <w:tcW w:w="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Issuance of</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restricted stock</w:t>
            </w:r>
          </w:p>
        </w:tc>
        <w:tc>
          <w:tcPr>
            <w:tcW w:w="460" w:type="dxa"/>
            <w:vAlign w:val="bottom"/>
          </w:tcPr>
          <w:p>
            <w:pPr>
              <w:jc w:val="right"/>
              <w:spacing w:after="0"/>
              <w:rPr>
                <w:sz w:val="20"/>
                <w:szCs w:val="20"/>
                <w:color w:val="auto"/>
              </w:rPr>
            </w:pPr>
            <w:r>
              <w:rPr>
                <w:rFonts w:ascii="Arial" w:cs="Arial" w:eastAsia="Arial" w:hAnsi="Arial"/>
                <w:sz w:val="8"/>
                <w:szCs w:val="8"/>
                <w:color w:val="auto"/>
              </w:rPr>
              <w:t>1.4</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Other</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comprehensive</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earnings —</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unrealized loss on</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investments and</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other financial</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(4.5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Other</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comprehensive</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earnings —</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unrealized loss on</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investments in</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unconsolidated</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affiliates</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(45.1</w:t>
            </w:r>
          </w:p>
        </w:tc>
        <w:tc>
          <w:tcPr>
            <w:tcW w:w="24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Other</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comprehensive</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earnings —</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unrealized loss on</w:t>
            </w:r>
          </w:p>
        </w:tc>
        <w:tc>
          <w:tcPr>
            <w:tcW w:w="460" w:type="dxa"/>
            <w:vAlign w:val="bottom"/>
            <w:shd w:val="clear" w:color="auto" w:fill="CCEEFF"/>
          </w:tcPr>
          <w:p>
            <w:pPr>
              <w:jc w:val="right"/>
              <w:spacing w:after="0" w:line="90" w:lineRule="exact"/>
              <w:rPr>
                <w:sz w:val="20"/>
                <w:szCs w:val="20"/>
                <w:color w:val="auto"/>
              </w:rPr>
            </w:pPr>
            <w:r>
              <w:rPr>
                <w:rFonts w:ascii="Arial" w:cs="Arial" w:eastAsia="Arial" w:hAnsi="Arial"/>
                <w:sz w:val="8"/>
                <w:szCs w:val="8"/>
                <w:color w:val="auto"/>
              </w:rPr>
              <w:t>&amp;mda</w:t>
            </w: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foreign currency</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sh;</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(7.6</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Other</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comprehensive</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earnings —</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gridSpan w:val="2"/>
          </w:tcPr>
          <w:p>
            <w:pPr>
              <w:jc w:val="right"/>
              <w:ind w:right="100"/>
              <w:spacing w:after="0" w:line="90" w:lineRule="exact"/>
              <w:rPr>
                <w:sz w:val="20"/>
                <w:szCs w:val="20"/>
                <w:color w:val="auto"/>
              </w:rPr>
            </w:pPr>
            <w:r>
              <w:rPr>
                <w:rFonts w:ascii="Arial" w:cs="Arial" w:eastAsia="Arial" w:hAnsi="Arial"/>
                <w:sz w:val="8"/>
                <w:szCs w:val="8"/>
                <w:color w:val="auto"/>
              </w:rPr>
              <w:t>(17.9</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minimum pension</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liability adjustment</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Stock-based</w:t>
            </w:r>
          </w:p>
        </w:tc>
        <w:tc>
          <w:tcPr>
            <w:tcW w:w="460" w:type="dxa"/>
            <w:vAlign w:val="bottom"/>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compensation</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32.7</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&amp;md ash;</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De-</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consolidation of</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previous majority-</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owned subsidiary</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tcPr>
          <w:p>
            <w:pPr>
              <w:jc w:val="right"/>
              <w:ind w:right="71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ind w:right="398"/>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8"/>
                <w:szCs w:val="8"/>
                <w:color w:val="auto"/>
              </w:rPr>
              <w:t>6.0</w:t>
            </w: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Shares</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withheld for taxes</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and in treasury</w:t>
            </w:r>
          </w:p>
        </w:tc>
        <w:tc>
          <w:tcPr>
            <w:tcW w:w="46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8"/>
                <w:szCs w:val="8"/>
                <w:color w:val="auto"/>
              </w:rPr>
              <w:t>0.3</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(3.7</w:t>
            </w:r>
          </w:p>
        </w:tc>
        <w:tc>
          <w:tcPr>
            <w:tcW w:w="920" w:type="dxa"/>
            <w:vAlign w:val="bottom"/>
            <w:shd w:val="clear" w:color="auto" w:fill="CCEEFF"/>
          </w:tcPr>
          <w:p>
            <w:pPr>
              <w:ind w:left="22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gridSpan w:val="2"/>
          </w:tcPr>
          <w:p>
            <w:pPr>
              <w:ind w:left="200"/>
              <w:spacing w:after="0" w:line="136" w:lineRule="exact"/>
              <w:rPr>
                <w:sz w:val="20"/>
                <w:szCs w:val="20"/>
                <w:color w:val="auto"/>
              </w:rPr>
            </w:pPr>
            <w:r>
              <w:rPr>
                <w:rFonts w:ascii="Arial" w:cs="Arial" w:eastAsia="Arial" w:hAnsi="Arial"/>
                <w:sz w:val="12"/>
                <w:szCs w:val="12"/>
                <w:color w:val="auto"/>
              </w:rPr>
              <w:t>&lt; font</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style="font-</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&lt; font</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00" w:type="dxa"/>
            <w:vAlign w:val="bottom"/>
            <w:vMerge w:val="restart"/>
          </w:tcPr>
          <w:p>
            <w:pPr>
              <w:ind w:left="320"/>
              <w:spacing w:after="0"/>
              <w:rPr>
                <w:sz w:val="20"/>
                <w:szCs w:val="20"/>
                <w:color w:val="auto"/>
              </w:rPr>
            </w:pPr>
            <w:r>
              <w:rPr>
                <w:rFonts w:ascii="Arial" w:cs="Arial" w:eastAsia="Arial" w:hAnsi="Arial"/>
                <w:sz w:val="8"/>
                <w:szCs w:val="8"/>
                <w:color w:val="auto"/>
              </w:rPr>
              <w:t>Dividends</w:t>
            </w:r>
          </w:p>
        </w:tc>
        <w:tc>
          <w:tcPr>
            <w:tcW w:w="460" w:type="dxa"/>
            <w:vAlign w:val="bottom"/>
          </w:tcPr>
          <w:p>
            <w:pPr>
              <w:spacing w:after="0"/>
              <w:rPr>
                <w:sz w:val="10"/>
                <w:szCs w:val="10"/>
                <w:color w:val="auto"/>
              </w:rPr>
            </w:pPr>
          </w:p>
        </w:tc>
        <w:tc>
          <w:tcPr>
            <w:tcW w:w="1380" w:type="dxa"/>
            <w:vAlign w:val="bottom"/>
            <w:gridSpan w:val="2"/>
          </w:tcPr>
          <w:p>
            <w:pPr>
              <w:spacing w:after="0" w:line="117" w:lineRule="exact"/>
              <w:rPr>
                <w:sz w:val="20"/>
                <w:szCs w:val="20"/>
                <w:color w:val="auto"/>
              </w:rPr>
            </w:pPr>
            <w:r>
              <w:rPr>
                <w:rFonts w:ascii="Arial" w:cs="Arial" w:eastAsia="Arial" w:hAnsi="Arial"/>
                <w:sz w:val="12"/>
                <w:szCs w:val="12"/>
                <w:color w:val="auto"/>
              </w:rPr>
              <w:t>family:inherit;font-</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style="font-</w:t>
            </w: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1840" w:type="dxa"/>
            <w:vAlign w:val="bottom"/>
            <w:gridSpan w:val="3"/>
            <w:vMerge w:val="restart"/>
          </w:tcPr>
          <w:p>
            <w:pPr>
              <w:ind w:left="360"/>
              <w:spacing w:after="0"/>
              <w:rPr>
                <w:sz w:val="20"/>
                <w:szCs w:val="20"/>
                <w:color w:val="auto"/>
              </w:rPr>
            </w:pPr>
            <w:r>
              <w:rPr>
                <w:rFonts w:ascii="Arial" w:cs="Arial" w:eastAsia="Arial" w:hAnsi="Arial"/>
                <w:sz w:val="8"/>
                <w:szCs w:val="8"/>
                <w:color w:val="auto"/>
              </w:rPr>
              <w:t>—</w:t>
            </w:r>
            <w:r>
              <w:rPr>
                <w:rFonts w:ascii="Arial" w:cs="Arial" w:eastAsia="Arial" w:hAnsi="Arial"/>
                <w:sz w:val="12"/>
                <w:szCs w:val="12"/>
                <w:color w:val="auto"/>
              </w:rPr>
              <w:t>size:10pt;"&gt;</w:t>
            </w: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gridSpan w:val="3"/>
          </w:tcPr>
          <w:p>
            <w:pPr>
              <w:jc w:val="right"/>
              <w:ind w:right="260"/>
              <w:spacing w:after="0" w:line="64" w:lineRule="exact"/>
              <w:rPr>
                <w:sz w:val="20"/>
                <w:szCs w:val="20"/>
                <w:color w:val="auto"/>
              </w:rPr>
            </w:pPr>
            <w:r>
              <w:rPr>
                <w:rFonts w:ascii="Arial" w:cs="Arial" w:eastAsia="Arial" w:hAnsi="Arial"/>
                <w:sz w:val="7"/>
                <w:szCs w:val="7"/>
                <w:color w:val="auto"/>
              </w:rPr>
              <w:t>family:inherit;font-</w:t>
            </w: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800" w:type="dxa"/>
            <w:vAlign w:val="bottom"/>
          </w:tcPr>
          <w:p>
            <w:pPr>
              <w:ind w:left="100"/>
              <w:spacing w:after="0"/>
              <w:rPr>
                <w:sz w:val="20"/>
                <w:szCs w:val="20"/>
                <w:color w:val="auto"/>
              </w:rPr>
            </w:pPr>
            <w:r>
              <w:rPr>
                <w:rFonts w:ascii="Arial" w:cs="Arial" w:eastAsia="Arial" w:hAnsi="Arial"/>
                <w:sz w:val="8"/>
                <w:szCs w:val="8"/>
                <w:color w:val="auto"/>
              </w:rPr>
              <w:t>declared</w:t>
            </w:r>
          </w:p>
        </w:tc>
        <w:tc>
          <w:tcPr>
            <w:tcW w:w="18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w w:val="97"/>
              </w:rPr>
              <w:t>size:7pt;"&gt;—</w:t>
            </w: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(223.1</w:t>
            </w:r>
          </w:p>
        </w:tc>
        <w:tc>
          <w:tcPr>
            <w:tcW w:w="80" w:type="dxa"/>
            <w:vAlign w:val="bottom"/>
          </w:tcPr>
          <w:p>
            <w:pPr>
              <w:jc w:val="right"/>
              <w:ind w:right="55"/>
              <w:spacing w:after="0"/>
              <w:rPr>
                <w:sz w:val="20"/>
                <w:szCs w:val="20"/>
                <w:color w:val="auto"/>
              </w:rPr>
            </w:pPr>
            <w:r>
              <w:rPr>
                <w:rFonts w:ascii="Arial" w:cs="Arial" w:eastAsia="Arial" w:hAnsi="Arial"/>
                <w:sz w:val="1"/>
                <w:szCs w:val="1"/>
                <w:color w:val="auto"/>
                <w:w w:val="4294967281"/>
              </w:rPr>
              <w:t>)</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Subsidiary</w:t>
            </w:r>
          </w:p>
        </w:tc>
        <w:tc>
          <w:tcPr>
            <w:tcW w:w="4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dividends paid to</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noncontrolling</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800" w:type="dxa"/>
            <w:vAlign w:val="bottom"/>
            <w:vMerge w:val="restart"/>
          </w:tcPr>
          <w:p>
            <w:pPr>
              <w:ind w:left="320"/>
              <w:spacing w:after="0"/>
              <w:rPr>
                <w:sz w:val="20"/>
                <w:szCs w:val="20"/>
                <w:color w:val="auto"/>
              </w:rPr>
            </w:pPr>
            <w:r>
              <w:rPr>
                <w:rFonts w:ascii="Arial" w:cs="Arial" w:eastAsia="Arial" w:hAnsi="Arial"/>
                <w:sz w:val="8"/>
                <w:szCs w:val="8"/>
                <w:color w:val="auto"/>
              </w:rPr>
              <w:t>Net loss</w:t>
            </w:r>
          </w:p>
        </w:tc>
        <w:tc>
          <w:tcPr>
            <w:tcW w:w="460" w:type="dxa"/>
            <w:vAlign w:val="bottom"/>
            <w:vMerge w:val="restart"/>
          </w:tcPr>
          <w:p>
            <w:pPr>
              <w:jc w:val="right"/>
              <w:ind w:right="98"/>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vMerge w:val="restart"/>
          </w:tcPr>
          <w:p>
            <w:pPr>
              <w:jc w:val="right"/>
              <w:ind w:right="178"/>
              <w:spacing w:after="0"/>
              <w:rPr>
                <w:sz w:val="20"/>
                <w:szCs w:val="20"/>
                <w:color w:val="auto"/>
              </w:rPr>
            </w:pPr>
            <w:r>
              <w:rPr>
                <w:rFonts w:ascii="Arial" w:cs="Arial" w:eastAsia="Arial" w:hAnsi="Arial"/>
                <w:sz w:val="8"/>
                <w:szCs w:val="8"/>
                <w:color w:val="auto"/>
              </w:rPr>
              <w:t>(179.0</w:t>
            </w:r>
          </w:p>
        </w:tc>
        <w:tc>
          <w:tcPr>
            <w:tcW w:w="80" w:type="dxa"/>
            <w:vAlign w:val="bottom"/>
          </w:tcPr>
          <w:p>
            <w:pPr>
              <w:jc w:val="right"/>
              <w:ind w:right="55"/>
              <w:spacing w:after="0"/>
              <w:rPr>
                <w:sz w:val="20"/>
                <w:szCs w:val="20"/>
                <w:color w:val="auto"/>
              </w:rPr>
            </w:pPr>
            <w:r>
              <w:rPr>
                <w:rFonts w:ascii="Arial" w:cs="Arial" w:eastAsia="Arial" w:hAnsi="Arial"/>
                <w:sz w:val="1"/>
                <w:szCs w:val="1"/>
                <w:color w:val="auto"/>
                <w:w w:val="4294967281"/>
              </w:rPr>
              <w:t>)</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800" w:type="dxa"/>
            <w:vAlign w:val="bottom"/>
            <w:tcBorders>
              <w:bottom w:val="single" w:sz="8" w:color="CCEEFF"/>
            </w:tcBorders>
            <w:vMerge w:val="continue"/>
          </w:tcPr>
          <w:p>
            <w:pPr>
              <w:spacing w:after="0"/>
              <w:rPr>
                <w:sz w:val="2"/>
                <w:szCs w:val="2"/>
                <w:color w:val="auto"/>
              </w:rPr>
            </w:pPr>
          </w:p>
        </w:tc>
        <w:tc>
          <w:tcPr>
            <w:tcW w:w="460" w:type="dxa"/>
            <w:vAlign w:val="bottom"/>
            <w:tcBorders>
              <w:bottom w:val="single" w:sz="8" w:color="auto"/>
            </w:tcBorders>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vMerge w:val="continue"/>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800" w:type="dxa"/>
            <w:vAlign w:val="bottom"/>
            <w:shd w:val="clear" w:color="auto" w:fill="CCEEFF"/>
          </w:tcPr>
          <w:p>
            <w:pPr>
              <w:ind w:left="220"/>
              <w:spacing w:after="0"/>
              <w:rPr>
                <w:sz w:val="20"/>
                <w:szCs w:val="20"/>
                <w:color w:val="auto"/>
              </w:rPr>
            </w:pPr>
            <w:r>
              <w:rPr>
                <w:rFonts w:ascii="Arial" w:cs="Arial" w:eastAsia="Arial" w:hAnsi="Arial"/>
                <w:sz w:val="8"/>
                <w:szCs w:val="8"/>
                <w:color w:val="auto"/>
              </w:rPr>
              <w:t>Balance,</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20"/>
              <w:spacing w:after="0"/>
              <w:rPr>
                <w:sz w:val="20"/>
                <w:szCs w:val="20"/>
                <w:color w:val="auto"/>
              </w:rPr>
            </w:pPr>
            <w:r>
              <w:rPr>
                <w:rFonts w:ascii="Arial" w:cs="Arial" w:eastAsia="Arial" w:hAnsi="Arial"/>
                <w:sz w:val="8"/>
                <w:szCs w:val="8"/>
                <w:color w:val="auto"/>
              </w:rPr>
              <w:t>December 31, 2008</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228.4</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w w:val="88"/>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3,325.2</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(188.9</w:t>
            </w:r>
          </w:p>
        </w:tc>
        <w:tc>
          <w:tcPr>
            <w:tcW w:w="80" w:type="dxa"/>
            <w:vAlign w:val="bottom"/>
            <w:shd w:val="clear" w:color="auto" w:fill="CCEEFF"/>
          </w:tcPr>
          <w:p>
            <w:pPr>
              <w:jc w:val="right"/>
              <w:ind w:right="55"/>
              <w:spacing w:after="0"/>
              <w:rPr>
                <w:sz w:val="20"/>
                <w:szCs w:val="20"/>
                <w:color w:val="auto"/>
              </w:rPr>
            </w:pPr>
            <w:r>
              <w:rPr>
                <w:rFonts w:ascii="Arial" w:cs="Arial" w:eastAsia="Arial" w:hAnsi="Arial"/>
                <w:sz w:val="1"/>
                <w:szCs w:val="1"/>
                <w:color w:val="auto"/>
                <w:w w:val="4294967281"/>
              </w:rPr>
              <w:t>)</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(91.8</w:t>
            </w: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8"/>
                <w:szCs w:val="8"/>
                <w:color w:val="auto"/>
              </w:rPr>
              <w:t>13.5</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(238.9</w:t>
            </w:r>
          </w:p>
        </w:tc>
        <w:tc>
          <w:tcPr>
            <w:tcW w:w="920" w:type="dxa"/>
            <w:vAlign w:val="bottom"/>
            <w:shd w:val="clear" w:color="auto" w:fill="CCEEFF"/>
          </w:tcPr>
          <w:p>
            <w:pPr>
              <w:ind w:lef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Equity</w:t>
            </w:r>
          </w:p>
        </w:tc>
        <w:tc>
          <w:tcPr>
            <w:tcW w:w="460" w:type="dxa"/>
            <w:vAlign w:val="bottom"/>
            <w:vMerge w:val="restart"/>
          </w:tcPr>
          <w:p>
            <w:pPr>
              <w:jc w:val="right"/>
              <w:spacing w:after="0"/>
              <w:rPr>
                <w:sz w:val="20"/>
                <w:szCs w:val="20"/>
                <w:color w:val="auto"/>
              </w:rPr>
            </w:pPr>
            <w:r>
              <w:rPr>
                <w:rFonts w:ascii="Arial" w:cs="Arial" w:eastAsia="Arial" w:hAnsi="Arial"/>
                <w:sz w:val="8"/>
                <w:szCs w:val="8"/>
                <w:color w:val="auto"/>
              </w:rPr>
              <w:t>18.2</w:t>
            </w: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8"/>
                <w:szCs w:val="8"/>
                <w:color w:val="auto"/>
              </w:rPr>
              <w:t>331.4</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vMerge w:val="restart"/>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800" w:type="dxa"/>
            <w:vAlign w:val="bottom"/>
            <w:vMerge w:val="restart"/>
          </w:tcPr>
          <w:p>
            <w:pPr>
              <w:ind w:left="100"/>
              <w:spacing w:after="0"/>
              <w:rPr>
                <w:sz w:val="20"/>
                <w:szCs w:val="20"/>
                <w:color w:val="auto"/>
              </w:rPr>
            </w:pPr>
            <w:r>
              <w:rPr>
                <w:rFonts w:ascii="Arial" w:cs="Arial" w:eastAsia="Arial" w:hAnsi="Arial"/>
                <w:sz w:val="8"/>
                <w:szCs w:val="8"/>
                <w:color w:val="auto"/>
              </w:rPr>
              <w:t>offering</w:t>
            </w:r>
          </w:p>
        </w:tc>
        <w:tc>
          <w:tcPr>
            <w:tcW w:w="4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80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Exercise of</w:t>
            </w:r>
          </w:p>
        </w:tc>
        <w:tc>
          <w:tcPr>
            <w:tcW w:w="4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2.1</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19.4</w:t>
            </w:r>
          </w:p>
        </w:tc>
        <w:tc>
          <w:tcPr>
            <w:tcW w:w="320" w:type="dxa"/>
            <w:vAlign w:val="bottom"/>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Treasury</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Stock repurchased</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tcPr>
          <w:p>
            <w:pPr>
              <w:jc w:val="right"/>
              <w:ind w:right="238"/>
              <w:spacing w:after="0"/>
              <w:rPr>
                <w:sz w:val="20"/>
                <w:szCs w:val="20"/>
                <w:color w:val="auto"/>
              </w:rPr>
            </w:pPr>
            <w:r>
              <w:rPr>
                <w:rFonts w:ascii="Arial" w:cs="Arial" w:eastAsia="Arial" w:hAnsi="Arial"/>
                <w:sz w:val="8"/>
                <w:szCs w:val="8"/>
                <w:color w:val="auto"/>
              </w:rPr>
              <w:t>5.6</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(74.9</w:t>
            </w:r>
          </w:p>
        </w:tc>
        <w:tc>
          <w:tcPr>
            <w:tcW w:w="920" w:type="dxa"/>
            <w:vAlign w:val="bottom"/>
          </w:tcPr>
          <w:p>
            <w:pPr>
              <w:ind w:left="22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Tax benefit</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w w:val="99"/>
              </w:rPr>
              <w:t>associated with the</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exercise of stock</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options</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2.4</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8"/>
                <w:szCs w:val="8"/>
                <w:color w:val="auto"/>
              </w:rPr>
              <w:t>—</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800" w:type="dxa"/>
            <w:vAlign w:val="bottom"/>
            <w:vMerge w:val="restart"/>
          </w:tcPr>
          <w:p>
            <w:pPr>
              <w:ind w:left="320"/>
              <w:spacing w:after="0"/>
              <w:rPr>
                <w:sz w:val="20"/>
                <w:szCs w:val="20"/>
                <w:color w:val="auto"/>
              </w:rPr>
            </w:pPr>
            <w:r>
              <w:rPr>
                <w:rFonts w:ascii="Arial" w:cs="Arial" w:eastAsia="Arial" w:hAnsi="Arial"/>
                <w:sz w:val="8"/>
                <w:szCs w:val="8"/>
                <w:color w:val="auto"/>
              </w:rPr>
              <w:t>Issuance of</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2"/>
                <w:szCs w:val="12"/>
                <w:color w:val="auto"/>
              </w:rPr>
              <w:t>&lt;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color w:val="auto"/>
              </w:rPr>
              <w:t>/td&gt;</w:t>
            </w: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restricted stock</w:t>
            </w:r>
          </w:p>
        </w:tc>
        <w:tc>
          <w:tcPr>
            <w:tcW w:w="460" w:type="dxa"/>
            <w:vAlign w:val="bottom"/>
          </w:tcPr>
          <w:p>
            <w:pPr>
              <w:jc w:val="right"/>
              <w:spacing w:after="0"/>
              <w:rPr>
                <w:sz w:val="20"/>
                <w:szCs w:val="20"/>
                <w:color w:val="auto"/>
              </w:rPr>
            </w:pPr>
            <w:r>
              <w:rPr>
                <w:rFonts w:ascii="Arial" w:cs="Arial" w:eastAsia="Arial" w:hAnsi="Arial"/>
                <w:sz w:val="8"/>
                <w:szCs w:val="8"/>
                <w:color w:val="auto"/>
              </w:rPr>
              <w:t>1.0</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200"/>
              <w:spacing w:after="0"/>
              <w:rPr>
                <w:sz w:val="20"/>
                <w:szCs w:val="20"/>
                <w:color w:val="auto"/>
              </w:rPr>
            </w:pPr>
            <w:r>
              <w:rPr>
                <w:rFonts w:ascii="Arial" w:cs="Arial" w:eastAsia="Arial" w:hAnsi="Arial"/>
                <w:sz w:val="8"/>
                <w:szCs w:val="8"/>
                <w:color w:val="auto"/>
              </w:rPr>
              <w:t>Other</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comprehensive</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w w:val="97"/>
              </w:rPr>
              <w:t>earnings — unrealized</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gain on investments</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spacing w:after="0" w:line="90" w:lineRule="exact"/>
              <w:rPr>
                <w:sz w:val="20"/>
                <w:szCs w:val="20"/>
                <w:color w:val="auto"/>
              </w:rPr>
            </w:pPr>
            <w:r>
              <w:rPr>
                <w:rFonts w:ascii="Arial" w:cs="Arial" w:eastAsia="Arial" w:hAnsi="Arial"/>
                <w:sz w:val="8"/>
                <w:szCs w:val="8"/>
                <w:color w:val="auto"/>
              </w:rPr>
              <w:t>and other financial</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spacing w:after="0"/>
              <w:rPr>
                <w:sz w:val="20"/>
                <w:szCs w:val="20"/>
                <w:color w:val="auto"/>
              </w:rPr>
            </w:pPr>
            <w:r>
              <w:rPr>
                <w:rFonts w:ascii="Arial" w:cs="Arial" w:eastAsia="Arial" w:hAnsi="Arial"/>
                <w:sz w:val="8"/>
                <w:szCs w:val="8"/>
                <w:color w:val="auto"/>
              </w:rPr>
              <w:t>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118.5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Other</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comprehensive</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earnings&amp; nbsp;—</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unrealized loss on</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right"/>
              <w:ind w:right="238"/>
              <w:spacing w:after="0" w:line="90" w:lineRule="exact"/>
              <w:rPr>
                <w:sz w:val="20"/>
                <w:szCs w:val="20"/>
                <w:color w:val="auto"/>
              </w:rPr>
            </w:pPr>
            <w:r>
              <w:rPr>
                <w:rFonts w:ascii="Arial" w:cs="Arial" w:eastAsia="Arial" w:hAnsi="Arial"/>
                <w:sz w:val="8"/>
                <w:szCs w:val="8"/>
                <w:color w:val="auto"/>
              </w:rPr>
              <w:t>—</w:t>
            </w: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investments in</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unconsolidated</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affiliates</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(5.0</w:t>
            </w:r>
          </w:p>
        </w:tc>
        <w:tc>
          <w:tcPr>
            <w:tcW w:w="100" w:type="dxa"/>
            <w:vAlign w:val="bottom"/>
          </w:tcPr>
          <w:p>
            <w:pPr>
              <w:spacing w:after="0"/>
              <w:rPr>
                <w:sz w:val="9"/>
                <w:szCs w:val="9"/>
                <w:color w:val="auto"/>
              </w:rPr>
            </w:pPr>
          </w:p>
        </w:tc>
        <w:tc>
          <w:tcPr>
            <w:tcW w:w="24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Other</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comprehensive</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ind w:left="240"/>
              <w:spacing w:after="0"/>
              <w:rPr>
                <w:sz w:val="20"/>
                <w:szCs w:val="20"/>
                <w:color w:val="auto"/>
              </w:rPr>
            </w:pPr>
            <w:r>
              <w:rPr>
                <w:rFonts w:ascii="Arial" w:cs="Arial" w:eastAsia="Arial" w:hAnsi="Arial"/>
                <w:sz w:val="12"/>
                <w:szCs w:val="12"/>
                <w:color w:val="auto"/>
                <w:w w:val="93"/>
              </w:rPr>
              <w:t>&amp;nb</w:t>
            </w: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earnings —</w:t>
            </w:r>
          </w:p>
        </w:tc>
        <w:tc>
          <w:tcPr>
            <w:tcW w:w="4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00" w:type="dxa"/>
            <w:vAlign w:val="bottom"/>
            <w:shd w:val="clear" w:color="auto" w:fill="CCEEFF"/>
          </w:tcPr>
          <w:p>
            <w:pPr>
              <w:ind w:left="100"/>
              <w:spacing w:after="0" w:line="81" w:lineRule="exact"/>
              <w:rPr>
                <w:sz w:val="20"/>
                <w:szCs w:val="20"/>
                <w:color w:val="auto"/>
              </w:rPr>
            </w:pPr>
            <w:r>
              <w:rPr>
                <w:rFonts w:ascii="Arial" w:cs="Arial" w:eastAsia="Arial" w:hAnsi="Arial"/>
                <w:sz w:val="8"/>
                <w:szCs w:val="8"/>
                <w:color w:val="auto"/>
              </w:rPr>
              <w:t>unrealized gain on</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center"/>
              <w:ind w:right="220"/>
              <w:spacing w:after="0"/>
              <w:rPr>
                <w:sz w:val="20"/>
                <w:szCs w:val="20"/>
                <w:color w:val="auto"/>
              </w:rPr>
            </w:pPr>
            <w:r>
              <w:rPr>
                <w:rFonts w:ascii="Arial" w:cs="Arial" w:eastAsia="Arial" w:hAnsi="Arial"/>
                <w:sz w:val="12"/>
                <w:szCs w:val="12"/>
                <w:color w:val="auto"/>
                <w:w w:val="87"/>
              </w:rPr>
              <w:t>sp;</w:t>
            </w: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foreign currency</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11.1</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Other</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comprehensive</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earnings —</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minimum pension</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liability adjustment</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ind w:left="240"/>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2.8</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Stock-based</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ind w:left="18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33.7</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De-</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consolidation of</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previous majority-</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owned subsidiary</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Shares</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withheld for taxes</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and in treasury</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8"/>
                <w:szCs w:val="8"/>
                <w:color w:val="auto"/>
              </w:rPr>
              <w:t>0.4</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(5.6</w:t>
            </w:r>
          </w:p>
        </w:tc>
        <w:tc>
          <w:tcPr>
            <w:tcW w:w="920" w:type="dxa"/>
            <w:vAlign w:val="bottom"/>
            <w:shd w:val="clear" w:color="auto" w:fill="CCEEFF"/>
          </w:tcPr>
          <w:p>
            <w:pPr>
              <w:ind w:left="22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Dividends</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declared</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(135.8</w:t>
            </w:r>
          </w:p>
        </w:tc>
        <w:tc>
          <w:tcPr>
            <w:tcW w:w="80" w:type="dxa"/>
            <w:vAlign w:val="bottom"/>
          </w:tcPr>
          <w:p>
            <w:pPr>
              <w:jc w:val="right"/>
              <w:ind w:right="55"/>
              <w:spacing w:after="0"/>
              <w:rPr>
                <w:sz w:val="20"/>
                <w:szCs w:val="20"/>
                <w:color w:val="auto"/>
              </w:rPr>
            </w:pPr>
            <w:r>
              <w:rPr>
                <w:rFonts w:ascii="Arial" w:cs="Arial" w:eastAsia="Arial" w:hAnsi="Arial"/>
                <w:sz w:val="1"/>
                <w:szCs w:val="1"/>
                <w:color w:val="auto"/>
                <w:w w:val="4294967281"/>
              </w:rPr>
              <w:t>)</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Subsidiary</w:t>
            </w:r>
          </w:p>
        </w:tc>
        <w:tc>
          <w:tcPr>
            <w:tcW w:w="4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dividends paid to</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noncontrolling</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00" w:type="dxa"/>
            <w:vAlign w:val="bottom"/>
            <w:tcBorders>
              <w:bottom w:val="single" w:sz="8" w:color="CCEEFF"/>
            </w:tcBorders>
          </w:tcPr>
          <w:p>
            <w:pPr>
              <w:ind w:left="320"/>
              <w:spacing w:after="0"/>
              <w:rPr>
                <w:sz w:val="20"/>
                <w:szCs w:val="20"/>
                <w:color w:val="auto"/>
              </w:rPr>
            </w:pPr>
            <w:r>
              <w:rPr>
                <w:rFonts w:ascii="Arial" w:cs="Arial" w:eastAsia="Arial" w:hAnsi="Arial"/>
                <w:sz w:val="8"/>
                <w:szCs w:val="8"/>
                <w:color w:val="auto"/>
              </w:rPr>
              <w:t>Net earnings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222.3</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8"/>
                <w:szCs w:val="8"/>
                <w:color w:val="auto"/>
              </w:rPr>
              <w:t>—</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800" w:type="dxa"/>
            <w:vAlign w:val="bottom"/>
            <w:shd w:val="clear" w:color="auto" w:fill="CCEEFF"/>
          </w:tcPr>
          <w:p>
            <w:pPr>
              <w:ind w:left="220"/>
              <w:spacing w:after="0" w:line="86" w:lineRule="exact"/>
              <w:rPr>
                <w:sz w:val="20"/>
                <w:szCs w:val="20"/>
                <w:color w:val="auto"/>
              </w:rPr>
            </w:pPr>
            <w:r>
              <w:rPr>
                <w:rFonts w:ascii="Arial" w:cs="Arial" w:eastAsia="Arial" w:hAnsi="Arial"/>
                <w:sz w:val="8"/>
                <w:szCs w:val="8"/>
                <w:color w:val="auto"/>
              </w:rPr>
              <w:t>Bala nce,</w:t>
            </w: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20"/>
              <w:spacing w:after="0"/>
              <w:rPr>
                <w:sz w:val="20"/>
                <w:szCs w:val="20"/>
                <w:color w:val="auto"/>
              </w:rPr>
            </w:pPr>
            <w:r>
              <w:rPr>
                <w:rFonts w:ascii="Arial" w:cs="Arial" w:eastAsia="Arial" w:hAnsi="Arial"/>
                <w:sz w:val="8"/>
                <w:szCs w:val="8"/>
                <w:color w:val="auto"/>
              </w:rPr>
              <w:t>December 31, 2009</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249.7</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w w:val="88"/>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3,712.1</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(102.4</w:t>
            </w:r>
          </w:p>
        </w:tc>
        <w:tc>
          <w:tcPr>
            <w:tcW w:w="80" w:type="dxa"/>
            <w:vAlign w:val="bottom"/>
            <w:shd w:val="clear" w:color="auto" w:fill="CCEEFF"/>
          </w:tcPr>
          <w:p>
            <w:pPr>
              <w:jc w:val="right"/>
              <w:ind w:right="55"/>
              <w:spacing w:after="0"/>
              <w:rPr>
                <w:sz w:val="20"/>
                <w:szCs w:val="20"/>
                <w:color w:val="auto"/>
              </w:rPr>
            </w:pPr>
            <w:r>
              <w:rPr>
                <w:rFonts w:ascii="Arial" w:cs="Arial" w:eastAsia="Arial" w:hAnsi="Arial"/>
                <w:sz w:val="1"/>
                <w:szCs w:val="1"/>
                <w:color w:val="auto"/>
                <w:w w:val="4294967281"/>
              </w:rPr>
              <w:t>)</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35.6</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8"/>
                <w:szCs w:val="8"/>
                <w:color w:val="auto"/>
              </w:rPr>
              <w:t>19.5</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(319.4</w:t>
            </w:r>
          </w:p>
        </w:tc>
        <w:tc>
          <w:tcPr>
            <w:tcW w:w="920" w:type="dxa"/>
            <w:vAlign w:val="bottom"/>
            <w:shd w:val="clear" w:color="auto" w:fill="CCEEFF"/>
          </w:tcPr>
          <w:p>
            <w:pPr>
              <w:ind w:left="220"/>
              <w:spacing w:after="0"/>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97"/>
        </w:trPr>
        <w:tc>
          <w:tcPr>
            <w:tcW w:w="800" w:type="dxa"/>
            <w:vAlign w:val="bottom"/>
            <w:vMerge w:val="restart"/>
          </w:tcPr>
          <w:p>
            <w:pPr>
              <w:ind w:left="320"/>
              <w:spacing w:after="0"/>
              <w:rPr>
                <w:sz w:val="20"/>
                <w:szCs w:val="20"/>
                <w:color w:val="auto"/>
              </w:rPr>
            </w:pPr>
            <w:r>
              <w:rPr>
                <w:rFonts w:ascii="Arial" w:cs="Arial" w:eastAsia="Arial" w:hAnsi="Arial"/>
                <w:sz w:val="8"/>
                <w:szCs w:val="8"/>
                <w:color w:val="auto"/>
              </w:rPr>
              <w:t>Exercise of</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2"/>
                <w:szCs w:val="12"/>
                <w:color w:val="auto"/>
              </w:rPr>
              <w:t>&lt;</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color w:val="auto"/>
              </w:rPr>
              <w:t>/td&gt;</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stock options</w:t>
            </w:r>
          </w:p>
        </w:tc>
        <w:tc>
          <w:tcPr>
            <w:tcW w:w="460" w:type="dxa"/>
            <w:vAlign w:val="bottom"/>
          </w:tcPr>
          <w:p>
            <w:pPr>
              <w:jc w:val="right"/>
              <w:spacing w:after="0"/>
              <w:rPr>
                <w:sz w:val="20"/>
                <w:szCs w:val="20"/>
                <w:color w:val="auto"/>
              </w:rPr>
            </w:pPr>
            <w:r>
              <w:rPr>
                <w:rFonts w:ascii="Arial" w:cs="Arial" w:eastAsia="Arial" w:hAnsi="Arial"/>
                <w:sz w:val="8"/>
                <w:szCs w:val="8"/>
                <w:color w:val="auto"/>
              </w:rPr>
              <w:t>0.9</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4.8</w:t>
            </w:r>
          </w:p>
        </w:tc>
        <w:tc>
          <w:tcPr>
            <w:tcW w:w="680" w:type="dxa"/>
            <w:vAlign w:val="bottom"/>
            <w:gridSpan w:val="2"/>
            <w:vMerge w:val="continue"/>
          </w:tcPr>
          <w:p>
            <w:pPr>
              <w:spacing w:after="0"/>
              <w:rPr>
                <w:sz w:val="9"/>
                <w:szCs w:val="9"/>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Treasury</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Stock repurchased</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8"/>
                <w:szCs w:val="8"/>
                <w:color w:val="auto"/>
              </w:rPr>
              <w:t>8.7</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(117.6</w:t>
            </w:r>
          </w:p>
        </w:tc>
        <w:tc>
          <w:tcPr>
            <w:tcW w:w="920" w:type="dxa"/>
            <w:vAlign w:val="bottom"/>
            <w:shd w:val="clear" w:color="auto" w:fill="CCEEFF"/>
          </w:tcPr>
          <w:p>
            <w:pPr>
              <w:ind w:left="22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ind w:left="220"/>
              <w:spacing w:after="0" w:line="136" w:lineRule="exact"/>
              <w:rPr>
                <w:sz w:val="20"/>
                <w:szCs w:val="20"/>
                <w:color w:val="auto"/>
              </w:rPr>
            </w:pPr>
            <w:r>
              <w:rPr>
                <w:rFonts w:ascii="Arial" w:cs="Arial" w:eastAsia="Arial" w:hAnsi="Arial"/>
                <w:sz w:val="12"/>
                <w:szCs w:val="12"/>
                <w:color w:val="auto"/>
              </w:rPr>
              <w:t>&lt; font</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320"/>
              <w:spacing w:after="0"/>
              <w:rPr>
                <w:sz w:val="20"/>
                <w:szCs w:val="20"/>
                <w:color w:val="auto"/>
              </w:rPr>
            </w:pPr>
            <w:r>
              <w:rPr>
                <w:rFonts w:ascii="Arial" w:cs="Arial" w:eastAsia="Arial" w:hAnsi="Arial"/>
                <w:sz w:val="8"/>
                <w:szCs w:val="8"/>
                <w:color w:val="auto"/>
              </w:rPr>
              <w:t>Tax benefit</w:t>
            </w: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20"/>
                <w:szCs w:val="20"/>
                <w:color w:val="auto"/>
              </w:rPr>
            </w:pPr>
            <w:r>
              <w:rPr>
                <w:rFonts w:ascii="Arial" w:cs="Arial" w:eastAsia="Arial" w:hAnsi="Arial"/>
                <w:sz w:val="12"/>
                <w:szCs w:val="12"/>
                <w:color w:val="auto"/>
              </w:rPr>
              <w:t>style="font-</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00" w:type="dxa"/>
            <w:vAlign w:val="bottom"/>
          </w:tcPr>
          <w:p>
            <w:pPr>
              <w:ind w:left="100"/>
              <w:spacing w:after="0"/>
              <w:rPr>
                <w:sz w:val="20"/>
                <w:szCs w:val="20"/>
                <w:color w:val="auto"/>
              </w:rPr>
            </w:pPr>
            <w:r>
              <w:rPr>
                <w:rFonts w:ascii="Arial" w:cs="Arial" w:eastAsia="Arial" w:hAnsi="Arial"/>
                <w:sz w:val="8"/>
                <w:szCs w:val="8"/>
                <w:color w:val="auto"/>
                <w:w w:val="99"/>
              </w:rPr>
              <w:t>associated with the</w:t>
            </w: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line="117" w:lineRule="exact"/>
              <w:rPr>
                <w:sz w:val="20"/>
                <w:szCs w:val="20"/>
                <w:color w:val="auto"/>
              </w:rPr>
            </w:pPr>
            <w:r>
              <w:rPr>
                <w:rFonts w:ascii="Arial" w:cs="Arial" w:eastAsia="Arial" w:hAnsi="Arial"/>
                <w:sz w:val="12"/>
                <w:szCs w:val="12"/>
                <w:color w:val="auto"/>
                <w:w w:val="94"/>
              </w:rPr>
              <w:t>family:inherit;font-</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0" w:type="dxa"/>
            <w:vAlign w:val="bottom"/>
          </w:tcPr>
          <w:p>
            <w:pPr>
              <w:ind w:left="100"/>
              <w:spacing w:after="0" w:line="64" w:lineRule="exact"/>
              <w:rPr>
                <w:sz w:val="20"/>
                <w:szCs w:val="20"/>
                <w:color w:val="auto"/>
              </w:rPr>
            </w:pPr>
            <w:r>
              <w:rPr>
                <w:rFonts w:ascii="Arial" w:cs="Arial" w:eastAsia="Arial" w:hAnsi="Arial"/>
                <w:sz w:val="7"/>
                <w:szCs w:val="7"/>
                <w:color w:val="auto"/>
              </w:rPr>
              <w:t>exercise of stock</w:t>
            </w: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2"/>
            <w:vMerge w:val="restart"/>
          </w:tcPr>
          <w:p>
            <w:pPr>
              <w:ind w:left="500"/>
              <w:spacing w:after="0"/>
              <w:rPr>
                <w:sz w:val="20"/>
                <w:szCs w:val="20"/>
                <w:color w:val="auto"/>
              </w:rPr>
            </w:pPr>
            <w:r>
              <w:rPr>
                <w:rFonts w:ascii="Arial" w:cs="Arial" w:eastAsia="Arial" w:hAnsi="Arial"/>
                <w:sz w:val="8"/>
                <w:szCs w:val="8"/>
                <w:color w:val="auto"/>
              </w:rPr>
              <w:t>—</w:t>
            </w:r>
            <w:r>
              <w:rPr>
                <w:rFonts w:ascii="Arial" w:cs="Arial" w:eastAsia="Arial" w:hAnsi="Arial"/>
                <w:sz w:val="12"/>
                <w:szCs w:val="12"/>
                <w:color w:val="auto"/>
              </w:rPr>
              <w:t>size:10pt;"&gt;</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800" w:type="dxa"/>
            <w:vAlign w:val="bottom"/>
          </w:tcPr>
          <w:p>
            <w:pPr>
              <w:ind w:left="100"/>
              <w:spacing w:after="0"/>
              <w:rPr>
                <w:sz w:val="20"/>
                <w:szCs w:val="20"/>
                <w:color w:val="auto"/>
              </w:rPr>
            </w:pPr>
            <w:r>
              <w:rPr>
                <w:rFonts w:ascii="Arial" w:cs="Arial" w:eastAsia="Arial" w:hAnsi="Arial"/>
                <w:sz w:val="8"/>
                <w:szCs w:val="8"/>
                <w:color w:val="auto"/>
              </w:rPr>
              <w:t>options</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3.0</w:t>
            </w: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Issuance of</w:t>
            </w:r>
          </w:p>
        </w:tc>
        <w:tc>
          <w:tcPr>
            <w:tcW w:w="4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restricted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Other</w:t>
            </w: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comprehensive</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earnings —</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unrealized loss on</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investments and</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other financial</w:t>
            </w: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instruments</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gridSpan w:val="2"/>
          </w:tcPr>
          <w:p>
            <w:pPr>
              <w:ind w:left="1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tcPr>
          <w:p>
            <w:pPr>
              <w:spacing w:after="0"/>
              <w:rPr>
                <w:sz w:val="9"/>
                <w:szCs w:val="9"/>
                <w:color w:val="auto"/>
              </w:rPr>
            </w:pPr>
          </w:p>
        </w:tc>
        <w:tc>
          <w:tcPr>
            <w:tcW w:w="360" w:type="dxa"/>
            <w:vAlign w:val="bottom"/>
          </w:tcPr>
          <w:p>
            <w:pPr>
              <w:ind w:left="240"/>
              <w:spacing w:after="0"/>
              <w:rPr>
                <w:sz w:val="20"/>
                <w:szCs w:val="20"/>
                <w:color w:val="auto"/>
              </w:rPr>
            </w:pPr>
            <w:r>
              <w:rPr>
                <w:rFonts w:ascii="Arial" w:cs="Arial" w:eastAsia="Arial" w:hAnsi="Arial"/>
                <w:sz w:val="8"/>
                <w:szCs w:val="8"/>
                <w:color w:val="auto"/>
              </w:rPr>
              <w:t>—</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spacing w:after="0"/>
              <w:rPr>
                <w:sz w:val="20"/>
                <w:szCs w:val="20"/>
                <w:color w:val="auto"/>
              </w:rPr>
            </w:pPr>
            <w:r>
              <w:rPr>
                <w:rFonts w:ascii="Arial" w:cs="Arial" w:eastAsia="Arial" w:hAnsi="Arial"/>
                <w:sz w:val="8"/>
                <w:szCs w:val="8"/>
                <w:color w:val="auto"/>
              </w:rPr>
              <w:t>(37.0</w:t>
            </w:r>
          </w:p>
        </w:tc>
        <w:tc>
          <w:tcPr>
            <w:tcW w:w="360" w:type="dxa"/>
            <w:vAlign w:val="bottom"/>
          </w:tcPr>
          <w:p>
            <w:pPr>
              <w:jc w:val="right"/>
              <w:ind w:right="9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tcPr>
          <w:p>
            <w:pPr>
              <w:jc w:val="right"/>
              <w:ind w:right="71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jc w:val="right"/>
              <w:ind w:right="398"/>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0"/>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7.0</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540"/>
          </w:cols>
          <w:pgMar w:left="220" w:top="131" w:right="139" w:bottom="0" w:gutter="0" w:footer="0" w:header="0"/>
        </w:sectPr>
      </w:pPr>
    </w:p>
    <w:bookmarkStart w:id="53" w:name="page54"/>
    <w:bookmarkEnd w:id="53"/>
    <w:p>
      <w:pPr>
        <w:ind w:left="100"/>
        <w:spacing w:after="0"/>
        <w:rPr>
          <w:sz w:val="20"/>
          <w:szCs w:val="20"/>
          <w:color w:val="auto"/>
        </w:rPr>
      </w:pPr>
      <w:r>
        <w:rPr>
          <w:rFonts w:ascii="Arial" w:cs="Arial" w:eastAsia="Arial" w:hAnsi="Arial"/>
          <w:sz w:val="8"/>
          <w:szCs w:val="8"/>
          <w:color w:val="auto"/>
        </w:rPr>
        <w:t>comprehensive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332980" cy="354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2980" cy="3543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8"/>
          <w:szCs w:val="8"/>
          <w:color w:val="auto"/>
        </w:rPr>
        <w:t>earnings —</w:t>
      </w:r>
    </w:p>
    <w:p>
      <w:pPr>
        <w:ind w:left="100"/>
        <w:spacing w:after="0" w:line="234" w:lineRule="auto"/>
        <w:rPr>
          <w:sz w:val="20"/>
          <w:szCs w:val="20"/>
          <w:color w:val="auto"/>
        </w:rPr>
      </w:pPr>
      <w:r>
        <w:rPr>
          <w:rFonts w:ascii="Arial" w:cs="Arial" w:eastAsia="Arial" w:hAnsi="Arial"/>
          <w:sz w:val="8"/>
          <w:szCs w:val="8"/>
          <w:color w:val="auto"/>
        </w:rPr>
        <w:t>unrealized gain on</w:t>
      </w:r>
    </w:p>
    <w:p>
      <w:pPr>
        <w:ind w:left="100"/>
        <w:spacing w:after="0" w:line="235" w:lineRule="auto"/>
        <w:rPr>
          <w:sz w:val="20"/>
          <w:szCs w:val="20"/>
          <w:color w:val="auto"/>
        </w:rPr>
      </w:pPr>
      <w:r>
        <w:rPr>
          <w:rFonts w:ascii="Arial" w:cs="Arial" w:eastAsia="Arial" w:hAnsi="Arial"/>
          <w:sz w:val="8"/>
          <w:szCs w:val="8"/>
          <w:color w:val="auto"/>
        </w:rPr>
        <w:t>investments in</w:t>
      </w:r>
    </w:p>
    <w:p>
      <w:pPr>
        <w:ind w:left="100"/>
        <w:spacing w:after="0" w:line="235" w:lineRule="auto"/>
        <w:rPr>
          <w:sz w:val="20"/>
          <w:szCs w:val="20"/>
          <w:color w:val="auto"/>
        </w:rPr>
      </w:pPr>
      <w:r>
        <w:rPr>
          <w:rFonts w:ascii="Arial" w:cs="Arial" w:eastAsia="Arial" w:hAnsi="Arial"/>
          <w:sz w:val="8"/>
          <w:szCs w:val="8"/>
          <w:color w:val="auto"/>
        </w:rPr>
        <w:t>unconsolidated</w:t>
      </w:r>
    </w:p>
    <w:p>
      <w:pPr>
        <w:ind w:left="100"/>
        <w:spacing w:after="0"/>
        <w:rPr>
          <w:sz w:val="20"/>
          <w:szCs w:val="20"/>
          <w:color w:val="auto"/>
        </w:rPr>
      </w:pPr>
      <w:r>
        <w:rPr>
          <w:rFonts w:ascii="Arial" w:cs="Arial" w:eastAsia="Arial" w:hAnsi="Arial"/>
          <w:sz w:val="8"/>
          <w:szCs w:val="8"/>
          <w:color w:val="auto"/>
        </w:rPr>
        <w:t>affiliates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800" w:type="dxa"/>
            <w:vAlign w:val="bottom"/>
          </w:tcPr>
          <w:p>
            <w:pPr>
              <w:ind w:left="320"/>
              <w:spacing w:after="0"/>
              <w:rPr>
                <w:sz w:val="20"/>
                <w:szCs w:val="20"/>
                <w:color w:val="auto"/>
              </w:rPr>
            </w:pPr>
            <w:r>
              <w:rPr>
                <w:rFonts w:ascii="Arial" w:cs="Arial" w:eastAsia="Arial" w:hAnsi="Arial"/>
                <w:sz w:val="8"/>
                <w:szCs w:val="8"/>
                <w:color w:val="auto"/>
              </w:rPr>
              <w:t>Other</w:t>
            </w:r>
          </w:p>
        </w:tc>
        <w:tc>
          <w:tcPr>
            <w:tcW w:w="1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comprehensive</w:t>
            </w:r>
          </w:p>
        </w:tc>
        <w:tc>
          <w:tcPr>
            <w:tcW w:w="1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earnings —</w:t>
            </w:r>
          </w:p>
        </w:tc>
        <w:tc>
          <w:tcPr>
            <w:tcW w:w="1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gridSpan w:val="2"/>
          </w:tcPr>
          <w:p>
            <w:pPr>
              <w:jc w:val="right"/>
              <w:ind w:right="540"/>
              <w:spacing w:after="0" w:line="90" w:lineRule="exact"/>
              <w:rPr>
                <w:sz w:val="20"/>
                <w:szCs w:val="20"/>
                <w:color w:val="auto"/>
              </w:rPr>
            </w:pPr>
            <w:r>
              <w:rPr>
                <w:rFonts w:ascii="Arial" w:cs="Arial" w:eastAsia="Arial" w:hAnsi="Arial"/>
                <w:sz w:val="8"/>
                <w:szCs w:val="8"/>
                <w:color w:val="auto"/>
              </w:rPr>
              <w:t>—</w:t>
            </w: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line="90" w:lineRule="exact"/>
              <w:rPr>
                <w:sz w:val="20"/>
                <w:szCs w:val="20"/>
                <w:color w:val="auto"/>
              </w:rPr>
            </w:pPr>
            <w:r>
              <w:rPr>
                <w:rFonts w:ascii="Arial" w:cs="Arial" w:eastAsia="Arial" w:hAnsi="Arial"/>
                <w:sz w:val="8"/>
                <w:szCs w:val="8"/>
                <w:color w:val="auto"/>
              </w:rPr>
              <w:t>unrealized gain on</w:t>
            </w:r>
          </w:p>
        </w:tc>
        <w:tc>
          <w:tcPr>
            <w:tcW w:w="1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foreign currency</w:t>
            </w:r>
          </w:p>
        </w:tc>
        <w:tc>
          <w:tcPr>
            <w:tcW w:w="1380" w:type="dxa"/>
            <w:vAlign w:val="bottom"/>
          </w:tcPr>
          <w:p>
            <w:pPr>
              <w:jc w:val="right"/>
              <w:ind w:right="878"/>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8"/>
                <w:szCs w:val="8"/>
                <w:color w:val="auto"/>
              </w:rPr>
              <w:t>—</w:t>
            </w:r>
          </w:p>
        </w:tc>
        <w:tc>
          <w:tcPr>
            <w:tcW w:w="760" w:type="dxa"/>
            <w:vAlign w:val="bottom"/>
          </w:tcPr>
          <w:p>
            <w:pPr>
              <w:jc w:val="right"/>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1040" w:type="dxa"/>
            <w:vAlign w:val="bottom"/>
            <w:gridSpan w:val="2"/>
          </w:tcPr>
          <w:p>
            <w:pPr>
              <w:jc w:val="right"/>
              <w:spacing w:after="0"/>
              <w:rPr>
                <w:sz w:val="20"/>
                <w:szCs w:val="20"/>
                <w:color w:val="auto"/>
              </w:rPr>
            </w:pPr>
            <w:r>
              <w:rPr>
                <w:rFonts w:ascii="Arial" w:cs="Arial" w:eastAsia="Arial" w:hAnsi="Arial"/>
                <w:sz w:val="8"/>
                <w:szCs w:val="8"/>
                <w:color w:val="auto"/>
              </w:rPr>
              <w:t>0.1</w:t>
            </w: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Other</w:t>
            </w:r>
          </w:p>
        </w:tc>
        <w:tc>
          <w:tcPr>
            <w:tcW w:w="13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comprehensive</w:t>
            </w:r>
          </w:p>
        </w:tc>
        <w:tc>
          <w:tcPr>
            <w:tcW w:w="13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earnings —</w:t>
            </w:r>
          </w:p>
        </w:tc>
        <w:tc>
          <w:tcPr>
            <w:tcW w:w="13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minimum pension</w:t>
            </w:r>
          </w:p>
        </w:tc>
        <w:tc>
          <w:tcPr>
            <w:tcW w:w="13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80"/>
              <w:spacing w:after="0" w:line="90" w:lineRule="exact"/>
              <w:rPr>
                <w:sz w:val="20"/>
                <w:szCs w:val="20"/>
                <w:color w:val="auto"/>
              </w:rPr>
            </w:pPr>
            <w:r>
              <w:rPr>
                <w:rFonts w:ascii="Arial" w:cs="Arial" w:eastAsia="Arial" w:hAnsi="Arial"/>
                <w:sz w:val="8"/>
                <w:szCs w:val="8"/>
                <w:color w:val="auto"/>
              </w:rPr>
              <w:t>&amp;mdas</w:t>
            </w:r>
          </w:p>
        </w:tc>
        <w:tc>
          <w:tcPr>
            <w:tcW w:w="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liability adjustment</w:t>
            </w:r>
          </w:p>
        </w:tc>
        <w:tc>
          <w:tcPr>
            <w:tcW w:w="1380" w:type="dxa"/>
            <w:vAlign w:val="bottom"/>
            <w:shd w:val="clear" w:color="auto" w:fill="CCEEFF"/>
          </w:tcPr>
          <w:p>
            <w:pPr>
              <w:jc w:val="right"/>
              <w:ind w:right="878"/>
              <w:spacing w:after="0"/>
              <w:rPr>
                <w:sz w:val="20"/>
                <w:szCs w:val="20"/>
                <w:color w:val="auto"/>
              </w:rPr>
            </w:pPr>
            <w:r>
              <w:rPr>
                <w:rFonts w:ascii="Arial" w:cs="Arial" w:eastAsia="Arial" w:hAnsi="Arial"/>
                <w:sz w:val="8"/>
                <w:szCs w:val="8"/>
                <w:color w:val="auto"/>
              </w:rPr>
              <w:t>—</w:t>
            </w:r>
          </w:p>
        </w:tc>
        <w:tc>
          <w:tcPr>
            <w:tcW w:w="4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8"/>
                <w:szCs w:val="8"/>
                <w:color w:val="auto"/>
              </w:rPr>
              <w:t>—</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8"/>
                <w:szCs w:val="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6.9</w:t>
            </w:r>
          </w:p>
        </w:tc>
        <w:tc>
          <w:tcPr>
            <w:tcW w:w="3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8"/>
                <w:szCs w:val="8"/>
                <w:color w:val="auto"/>
              </w:rPr>
              <w:t>h;</w:t>
            </w: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Stock-based</w:t>
            </w: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800" w:type="dxa"/>
            <w:vAlign w:val="bottom"/>
          </w:tcPr>
          <w:p>
            <w:pPr>
              <w:ind w:left="100"/>
              <w:spacing w:after="0"/>
              <w:rPr>
                <w:sz w:val="20"/>
                <w:szCs w:val="20"/>
                <w:color w:val="auto"/>
              </w:rPr>
            </w:pPr>
            <w:r>
              <w:rPr>
                <w:rFonts w:ascii="Arial" w:cs="Arial" w:eastAsia="Arial" w:hAnsi="Arial"/>
                <w:sz w:val="8"/>
                <w:szCs w:val="8"/>
                <w:color w:val="auto"/>
              </w:rPr>
              <w:t>compensation</w:t>
            </w:r>
          </w:p>
        </w:tc>
        <w:tc>
          <w:tcPr>
            <w:tcW w:w="1380" w:type="dxa"/>
            <w:vAlign w:val="bottom"/>
          </w:tcPr>
          <w:p>
            <w:pPr>
              <w:jc w:val="right"/>
              <w:ind w:right="878"/>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9"/>
                <w:szCs w:val="9"/>
                <w:color w:val="auto"/>
              </w:rPr>
            </w:pPr>
          </w:p>
        </w:tc>
        <w:tc>
          <w:tcPr>
            <w:tcW w:w="1140" w:type="dxa"/>
            <w:vAlign w:val="bottom"/>
            <w:gridSpan w:val="3"/>
          </w:tcPr>
          <w:p>
            <w:pPr>
              <w:ind w:left="240"/>
              <w:spacing w:after="0"/>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8"/>
                <w:szCs w:val="8"/>
                <w:color w:val="auto"/>
              </w:rPr>
              <w:t>25.1</w:t>
            </w:r>
          </w:p>
        </w:tc>
        <w:tc>
          <w:tcPr>
            <w:tcW w:w="32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8"/>
                <w:szCs w:val="8"/>
                <w:color w:val="auto"/>
              </w:rPr>
              <w:t>—</w:t>
            </w:r>
          </w:p>
        </w:tc>
        <w:tc>
          <w:tcPr>
            <w:tcW w:w="380" w:type="dxa"/>
            <w:vAlign w:val="bottom"/>
          </w:tcPr>
          <w:p>
            <w:pPr>
              <w:spacing w:after="0"/>
              <w:rPr>
                <w:sz w:val="9"/>
                <w:szCs w:val="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Shares</w:t>
            </w:r>
          </w:p>
        </w:tc>
        <w:tc>
          <w:tcPr>
            <w:tcW w:w="13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withheld for taxes</w:t>
            </w:r>
          </w:p>
        </w:tc>
        <w:tc>
          <w:tcPr>
            <w:tcW w:w="13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and in treasury</w:t>
            </w:r>
          </w:p>
        </w:tc>
        <w:tc>
          <w:tcPr>
            <w:tcW w:w="1380" w:type="dxa"/>
            <w:vAlign w:val="bottom"/>
            <w:shd w:val="clear" w:color="auto" w:fill="CCEEFF"/>
          </w:tcPr>
          <w:p>
            <w:pPr>
              <w:jc w:val="right"/>
              <w:ind w:right="878"/>
              <w:spacing w:after="0"/>
              <w:rPr>
                <w:sz w:val="20"/>
                <w:szCs w:val="20"/>
                <w:color w:val="auto"/>
              </w:rPr>
            </w:pPr>
            <w:r>
              <w:rPr>
                <w:rFonts w:ascii="Arial" w:cs="Arial" w:eastAsia="Arial" w:hAnsi="Arial"/>
                <w:sz w:val="8"/>
                <w:szCs w:val="8"/>
                <w:color w:val="auto"/>
              </w:rPr>
              <w:t>—</w:t>
            </w:r>
          </w:p>
        </w:tc>
        <w:tc>
          <w:tcPr>
            <w:tcW w:w="4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8"/>
                <w:szCs w:val="8"/>
                <w:color w:val="auto"/>
              </w:rPr>
              <w:t>—</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8"/>
                <w:szCs w:val="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8"/>
                <w:szCs w:val="8"/>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8"/>
                <w:szCs w:val="8"/>
                <w:color w:val="auto"/>
              </w:rPr>
              <w:t>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(3.8</w:t>
            </w:r>
          </w:p>
        </w:tc>
        <w:tc>
          <w:tcPr>
            <w:tcW w:w="920" w:type="dxa"/>
            <w:vAlign w:val="bottom"/>
            <w:shd w:val="clear" w:color="auto" w:fill="CCEEFF"/>
          </w:tcPr>
          <w:p>
            <w:pPr>
              <w:ind w:left="220"/>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&lt; div</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00" w:type="dxa"/>
            <w:vAlign w:val="bottom"/>
          </w:tcPr>
          <w:p>
            <w:pPr>
              <w:ind w:left="320"/>
              <w:spacing w:after="0"/>
              <w:rPr>
                <w:sz w:val="20"/>
                <w:szCs w:val="20"/>
                <w:color w:val="auto"/>
              </w:rPr>
            </w:pPr>
            <w:r>
              <w:rPr>
                <w:rFonts w:ascii="Arial" w:cs="Arial" w:eastAsia="Arial" w:hAnsi="Arial"/>
                <w:sz w:val="8"/>
                <w:szCs w:val="8"/>
                <w:color w:val="auto"/>
                <w:w w:val="97"/>
              </w:rPr>
              <w:t>Contributions</w:t>
            </w:r>
          </w:p>
        </w:tc>
        <w:tc>
          <w:tcPr>
            <w:tcW w:w="1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gridSpan w:val="2"/>
          </w:tcPr>
          <w:p>
            <w:pPr>
              <w:jc w:val="right"/>
              <w:ind w:right="780"/>
              <w:spacing w:after="0" w:line="117" w:lineRule="exact"/>
              <w:rPr>
                <w:sz w:val="20"/>
                <w:szCs w:val="20"/>
                <w:color w:val="auto"/>
              </w:rPr>
            </w:pPr>
            <w:r>
              <w:rPr>
                <w:rFonts w:ascii="Arial" w:cs="Arial" w:eastAsia="Arial" w:hAnsi="Arial"/>
                <w:sz w:val="12"/>
                <w:szCs w:val="12"/>
                <w:color w:val="auto"/>
                <w:w w:val="91"/>
              </w:rPr>
              <w:t>style="text-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0" w:type="dxa"/>
            <w:vAlign w:val="bottom"/>
          </w:tcPr>
          <w:p>
            <w:pPr>
              <w:ind w:left="100"/>
              <w:spacing w:after="0" w:line="64" w:lineRule="exact"/>
              <w:rPr>
                <w:sz w:val="20"/>
                <w:szCs w:val="20"/>
                <w:color w:val="auto"/>
              </w:rPr>
            </w:pPr>
            <w:r>
              <w:rPr>
                <w:rFonts w:ascii="Arial" w:cs="Arial" w:eastAsia="Arial" w:hAnsi="Arial"/>
                <w:sz w:val="7"/>
                <w:szCs w:val="7"/>
                <w:color w:val="auto"/>
              </w:rPr>
              <w:t>to noncontrolling</w:t>
            </w:r>
          </w:p>
        </w:tc>
        <w:tc>
          <w:tcPr>
            <w:tcW w:w="1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20" w:type="dxa"/>
            <w:vAlign w:val="bottom"/>
            <w:gridSpan w:val="3"/>
            <w:vMerge w:val="restart"/>
          </w:tcPr>
          <w:p>
            <w:pPr>
              <w:jc w:val="right"/>
              <w:ind w:right="760"/>
              <w:spacing w:after="0"/>
              <w:rPr>
                <w:sz w:val="20"/>
                <w:szCs w:val="20"/>
                <w:color w:val="auto"/>
              </w:rPr>
            </w:pPr>
            <w:r>
              <w:rPr>
                <w:rFonts w:ascii="Arial" w:cs="Arial" w:eastAsia="Arial" w:hAnsi="Arial"/>
                <w:sz w:val="8"/>
                <w:szCs w:val="8"/>
                <w:color w:val="auto"/>
              </w:rPr>
              <w:t>—</w:t>
            </w:r>
            <w:r>
              <w:rPr>
                <w:rFonts w:ascii="Arial" w:cs="Arial" w:eastAsia="Arial" w:hAnsi="Arial"/>
                <w:sz w:val="12"/>
                <w:szCs w:val="12"/>
                <w:color w:val="auto"/>
              </w:rPr>
              <w:t>align:left;"&gt;</w:t>
            </w: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800" w:type="dxa"/>
            <w:vAlign w:val="bottom"/>
          </w:tcPr>
          <w:p>
            <w:pPr>
              <w:ind w:left="100"/>
              <w:spacing w:after="0"/>
              <w:rPr>
                <w:sz w:val="20"/>
                <w:szCs w:val="20"/>
                <w:color w:val="auto"/>
              </w:rPr>
            </w:pPr>
            <w:r>
              <w:rPr>
                <w:rFonts w:ascii="Arial" w:cs="Arial" w:eastAsia="Arial" w:hAnsi="Arial"/>
                <w:sz w:val="8"/>
                <w:szCs w:val="8"/>
                <w:color w:val="auto"/>
              </w:rPr>
              <w:t>interests</w:t>
            </w:r>
          </w:p>
        </w:tc>
        <w:tc>
          <w:tcPr>
            <w:tcW w:w="1380" w:type="dxa"/>
            <w:vAlign w:val="bottom"/>
          </w:tcPr>
          <w:p>
            <w:pPr>
              <w:jc w:val="right"/>
              <w:ind w:right="878"/>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8"/>
                <w:szCs w:val="8"/>
                <w:color w:val="auto"/>
              </w:rPr>
              <w:t>—</w:t>
            </w:r>
          </w:p>
        </w:tc>
        <w:tc>
          <w:tcPr>
            <w:tcW w:w="1320" w:type="dxa"/>
            <w:vAlign w:val="bottom"/>
            <w:gridSpan w:val="3"/>
          </w:tcPr>
          <w:p>
            <w:pPr>
              <w:jc w:val="right"/>
              <w:ind w:right="580"/>
              <w:spacing w:after="0"/>
              <w:rPr>
                <w:sz w:val="20"/>
                <w:szCs w:val="20"/>
                <w:color w:val="auto"/>
              </w:rPr>
            </w:pPr>
            <w:r>
              <w:rPr>
                <w:rFonts w:ascii="Arial" w:cs="Arial" w:eastAsia="Arial" w:hAnsi="Arial"/>
                <w:sz w:val="8"/>
                <w:szCs w:val="8"/>
                <w:color w:val="auto"/>
              </w:rPr>
              <w:t>—</w:t>
            </w:r>
          </w:p>
        </w:tc>
        <w:tc>
          <w:tcPr>
            <w:tcW w:w="760" w:type="dxa"/>
            <w:vAlign w:val="bottom"/>
          </w:tcPr>
          <w:p>
            <w:pPr>
              <w:jc w:val="right"/>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8"/>
                <w:szCs w:val="8"/>
                <w:color w:val="auto"/>
              </w:rPr>
              <w:t>—</w:t>
            </w:r>
          </w:p>
        </w:tc>
        <w:tc>
          <w:tcPr>
            <w:tcW w:w="380" w:type="dxa"/>
            <w:vAlign w:val="bottom"/>
          </w:tcPr>
          <w:p>
            <w:pPr>
              <w:spacing w:after="0"/>
              <w:rPr>
                <w:sz w:val="10"/>
                <w:szCs w:val="1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Purchase of</w:t>
            </w:r>
          </w:p>
        </w:tc>
        <w:tc>
          <w:tcPr>
            <w:tcW w:w="13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noncontrolling</w:t>
            </w:r>
          </w:p>
        </w:tc>
        <w:tc>
          <w:tcPr>
            <w:tcW w:w="13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interest</w:t>
            </w:r>
          </w:p>
        </w:tc>
        <w:tc>
          <w:tcPr>
            <w:tcW w:w="1380" w:type="dxa"/>
            <w:vAlign w:val="bottom"/>
            <w:shd w:val="clear" w:color="auto" w:fill="CCEEFF"/>
          </w:tcPr>
          <w:p>
            <w:pPr>
              <w:jc w:val="right"/>
              <w:ind w:right="878"/>
              <w:spacing w:after="0"/>
              <w:rPr>
                <w:sz w:val="20"/>
                <w:szCs w:val="20"/>
                <w:color w:val="auto"/>
              </w:rPr>
            </w:pPr>
            <w:r>
              <w:rPr>
                <w:rFonts w:ascii="Arial" w:cs="Arial" w:eastAsia="Arial" w:hAnsi="Arial"/>
                <w:sz w:val="8"/>
                <w:szCs w:val="8"/>
                <w:color w:val="auto"/>
              </w:rPr>
              <w:t>—</w:t>
            </w:r>
          </w:p>
        </w:tc>
        <w:tc>
          <w:tcPr>
            <w:tcW w:w="4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8"/>
                <w:szCs w:val="8"/>
                <w:color w:val="auto"/>
              </w:rPr>
              <w:t>—</w:t>
            </w:r>
          </w:p>
        </w:tc>
        <w:tc>
          <w:tcPr>
            <w:tcW w:w="1320" w:type="dxa"/>
            <w:vAlign w:val="bottom"/>
            <w:gridSpan w:val="3"/>
            <w:shd w:val="clear" w:color="auto" w:fill="CCEEFF"/>
          </w:tcPr>
          <w:p>
            <w:pPr>
              <w:ind w:left="380"/>
              <w:spacing w:after="0"/>
              <w:rPr>
                <w:sz w:val="20"/>
                <w:szCs w:val="20"/>
                <w:color w:val="auto"/>
              </w:rPr>
            </w:pPr>
            <w:r>
              <w:rPr>
                <w:rFonts w:ascii="Arial" w:cs="Arial" w:eastAsia="Arial" w:hAnsi="Arial"/>
                <w:sz w:val="8"/>
                <w:szCs w:val="8"/>
                <w:color w:val="auto"/>
              </w:rPr>
              <w:t>—&lt; /font&gt;</w:t>
            </w: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8"/>
                <w:szCs w:val="8"/>
                <w:color w:val="auto"/>
              </w:rPr>
              <w:t>—</w:t>
            </w:r>
          </w:p>
        </w:tc>
        <w:tc>
          <w:tcPr>
            <w:tcW w:w="3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tcPr>
          <w:p>
            <w:pPr>
              <w:ind w:left="320"/>
              <w:spacing w:after="0"/>
              <w:rPr>
                <w:sz w:val="20"/>
                <w:szCs w:val="20"/>
                <w:color w:val="auto"/>
              </w:rPr>
            </w:pPr>
            <w:r>
              <w:rPr>
                <w:rFonts w:ascii="Arial" w:cs="Arial" w:eastAsia="Arial" w:hAnsi="Arial"/>
                <w:sz w:val="8"/>
                <w:szCs w:val="8"/>
                <w:color w:val="auto"/>
              </w:rPr>
              <w:t>Dividends</w:t>
            </w: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00" w:type="dxa"/>
            <w:vAlign w:val="bottom"/>
          </w:tcPr>
          <w:p>
            <w:pPr>
              <w:ind w:left="100"/>
              <w:spacing w:after="0"/>
              <w:rPr>
                <w:sz w:val="20"/>
                <w:szCs w:val="20"/>
                <w:color w:val="auto"/>
              </w:rPr>
            </w:pPr>
            <w:r>
              <w:rPr>
                <w:rFonts w:ascii="Arial" w:cs="Arial" w:eastAsia="Arial" w:hAnsi="Arial"/>
                <w:sz w:val="8"/>
                <w:szCs w:val="8"/>
                <w:color w:val="auto"/>
              </w:rPr>
              <w:t>declared</w:t>
            </w:r>
          </w:p>
        </w:tc>
        <w:tc>
          <w:tcPr>
            <w:tcW w:w="1380" w:type="dxa"/>
            <w:vAlign w:val="bottom"/>
          </w:tcPr>
          <w:p>
            <w:pPr>
              <w:jc w:val="right"/>
              <w:ind w:right="878"/>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8"/>
                <w:szCs w:val="8"/>
                <w:color w:val="auto"/>
              </w:rPr>
              <w:t>—</w:t>
            </w:r>
          </w:p>
        </w:tc>
        <w:tc>
          <w:tcPr>
            <w:tcW w:w="1320" w:type="dxa"/>
            <w:vAlign w:val="bottom"/>
            <w:gridSpan w:val="3"/>
          </w:tcPr>
          <w:p>
            <w:pPr>
              <w:jc w:val="right"/>
              <w:ind w:right="580"/>
              <w:spacing w:after="0"/>
              <w:rPr>
                <w:sz w:val="20"/>
                <w:szCs w:val="20"/>
                <w:color w:val="auto"/>
              </w:rPr>
            </w:pPr>
            <w:r>
              <w:rPr>
                <w:rFonts w:ascii="Arial" w:cs="Arial" w:eastAsia="Arial" w:hAnsi="Arial"/>
                <w:sz w:val="8"/>
                <w:szCs w:val="8"/>
                <w:color w:val="auto"/>
              </w:rPr>
              <w:t>—</w:t>
            </w:r>
          </w:p>
        </w:tc>
        <w:tc>
          <w:tcPr>
            <w:tcW w:w="760" w:type="dxa"/>
            <w:vAlign w:val="bottom"/>
          </w:tcPr>
          <w:p>
            <w:pPr>
              <w:jc w:val="right"/>
              <w:spacing w:after="0"/>
              <w:rPr>
                <w:sz w:val="20"/>
                <w:szCs w:val="20"/>
                <w:color w:val="auto"/>
              </w:rPr>
            </w:pPr>
            <w:r>
              <w:rPr>
                <w:rFonts w:ascii="Arial" w:cs="Arial" w:eastAsia="Arial" w:hAnsi="Arial"/>
                <w:sz w:val="8"/>
                <w:szCs w:val="8"/>
                <w:color w:val="auto"/>
              </w:rPr>
              <w:t>(157.4</w:t>
            </w:r>
          </w:p>
        </w:tc>
        <w:tc>
          <w:tcPr>
            <w:tcW w:w="30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0"/>
                <w:szCs w:val="1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8"/>
                <w:szCs w:val="8"/>
                <w:color w:val="auto"/>
              </w:rPr>
              <w:t>—</w:t>
            </w:r>
          </w:p>
        </w:tc>
        <w:tc>
          <w:tcPr>
            <w:tcW w:w="380" w:type="dxa"/>
            <w:vAlign w:val="bottom"/>
          </w:tcPr>
          <w:p>
            <w:pPr>
              <w:spacing w:after="0"/>
              <w:rPr>
                <w:sz w:val="10"/>
                <w:szCs w:val="1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&amp;mda sh;</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0" w:type="dxa"/>
            <w:vAlign w:val="bottom"/>
            <w:shd w:val="clear" w:color="auto" w:fill="CCEEFF"/>
          </w:tcPr>
          <w:p>
            <w:pPr>
              <w:ind w:left="320"/>
              <w:spacing w:after="0"/>
              <w:rPr>
                <w:sz w:val="20"/>
                <w:szCs w:val="20"/>
                <w:color w:val="auto"/>
              </w:rPr>
            </w:pPr>
            <w:r>
              <w:rPr>
                <w:rFonts w:ascii="Arial" w:cs="Arial" w:eastAsia="Arial" w:hAnsi="Arial"/>
                <w:sz w:val="8"/>
                <w:szCs w:val="8"/>
                <w:color w:val="auto"/>
              </w:rPr>
              <w:t>Subsidiary</w:t>
            </w:r>
          </w:p>
        </w:tc>
        <w:tc>
          <w:tcPr>
            <w:tcW w:w="13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dividends paid to</w:t>
            </w:r>
          </w:p>
        </w:tc>
        <w:tc>
          <w:tcPr>
            <w:tcW w:w="13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0" w:type="dxa"/>
            <w:vAlign w:val="bottom"/>
            <w:shd w:val="clear" w:color="auto" w:fill="CCEEFF"/>
          </w:tcPr>
          <w:p>
            <w:pPr>
              <w:ind w:left="100"/>
              <w:spacing w:after="0" w:line="90" w:lineRule="exact"/>
              <w:rPr>
                <w:sz w:val="20"/>
                <w:szCs w:val="20"/>
                <w:color w:val="auto"/>
              </w:rPr>
            </w:pPr>
            <w:r>
              <w:rPr>
                <w:rFonts w:ascii="Arial" w:cs="Arial" w:eastAsia="Arial" w:hAnsi="Arial"/>
                <w:sz w:val="8"/>
                <w:szCs w:val="8"/>
                <w:color w:val="auto"/>
              </w:rPr>
              <w:t>noncontrolling</w:t>
            </w:r>
          </w:p>
        </w:tc>
        <w:tc>
          <w:tcPr>
            <w:tcW w:w="13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shd w:val="clear" w:color="auto" w:fill="CCEEFF"/>
          </w:tcPr>
          <w:p>
            <w:pPr>
              <w:ind w:left="100"/>
              <w:spacing w:after="0"/>
              <w:rPr>
                <w:sz w:val="20"/>
                <w:szCs w:val="20"/>
                <w:color w:val="auto"/>
              </w:rPr>
            </w:pPr>
            <w:r>
              <w:rPr>
                <w:rFonts w:ascii="Arial" w:cs="Arial" w:eastAsia="Arial" w:hAnsi="Arial"/>
                <w:sz w:val="8"/>
                <w:szCs w:val="8"/>
                <w:color w:val="auto"/>
              </w:rPr>
              <w:t>interests</w:t>
            </w:r>
          </w:p>
        </w:tc>
        <w:tc>
          <w:tcPr>
            <w:tcW w:w="1380" w:type="dxa"/>
            <w:vAlign w:val="bottom"/>
            <w:shd w:val="clear" w:color="auto" w:fill="CCEEFF"/>
          </w:tcPr>
          <w:p>
            <w:pPr>
              <w:jc w:val="right"/>
              <w:ind w:right="878"/>
              <w:spacing w:after="0"/>
              <w:rPr>
                <w:sz w:val="20"/>
                <w:szCs w:val="20"/>
                <w:color w:val="auto"/>
              </w:rPr>
            </w:pPr>
            <w:r>
              <w:rPr>
                <w:rFonts w:ascii="Arial" w:cs="Arial" w:eastAsia="Arial" w:hAnsi="Arial"/>
                <w:sz w:val="8"/>
                <w:szCs w:val="8"/>
                <w:color w:val="auto"/>
              </w:rPr>
              <w:t>—</w:t>
            </w:r>
          </w:p>
        </w:tc>
        <w:tc>
          <w:tcPr>
            <w:tcW w:w="4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8"/>
                <w:szCs w:val="8"/>
                <w:color w:val="auto"/>
              </w:rPr>
              <w:t>—</w:t>
            </w:r>
          </w:p>
        </w:tc>
        <w:tc>
          <w:tcPr>
            <w:tcW w:w="1320" w:type="dxa"/>
            <w:vAlign w:val="bottom"/>
            <w:gridSpan w:val="3"/>
            <w:shd w:val="clear" w:color="auto" w:fill="CCEEFF"/>
          </w:tcPr>
          <w:p>
            <w:pPr>
              <w:jc w:val="right"/>
              <w:ind w:right="580"/>
              <w:spacing w:after="0"/>
              <w:rPr>
                <w:sz w:val="20"/>
                <w:szCs w:val="20"/>
                <w:color w:val="auto"/>
              </w:rPr>
            </w:pPr>
            <w:r>
              <w:rPr>
                <w:rFonts w:ascii="Arial" w:cs="Arial" w:eastAsia="Arial" w:hAnsi="Arial"/>
                <w:sz w:val="8"/>
                <w:szCs w:val="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8"/>
                <w:szCs w:val="8"/>
                <w:color w:val="auto"/>
              </w:rPr>
              <w:t>—</w:t>
            </w:r>
          </w:p>
        </w:tc>
        <w:tc>
          <w:tcPr>
            <w:tcW w:w="3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9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00" w:type="dxa"/>
            <w:vAlign w:val="bottom"/>
          </w:tcPr>
          <w:p>
            <w:pPr>
              <w:ind w:left="320"/>
              <w:spacing w:after="0"/>
              <w:rPr>
                <w:sz w:val="20"/>
                <w:szCs w:val="20"/>
                <w:color w:val="auto"/>
              </w:rPr>
            </w:pPr>
            <w:r>
              <w:rPr>
                <w:rFonts w:ascii="Arial" w:cs="Arial" w:eastAsia="Arial" w:hAnsi="Arial"/>
                <w:sz w:val="8"/>
                <w:szCs w:val="8"/>
                <w:color w:val="auto"/>
              </w:rPr>
              <w:t>Net earnings</w:t>
            </w:r>
          </w:p>
        </w:tc>
        <w:tc>
          <w:tcPr>
            <w:tcW w:w="1380" w:type="dxa"/>
            <w:vAlign w:val="bottom"/>
          </w:tcPr>
          <w:p>
            <w:pPr>
              <w:jc w:val="right"/>
              <w:ind w:right="878"/>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198"/>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5"/>
                <w:szCs w:val="15"/>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8"/>
                <w:szCs w:val="8"/>
                <w:color w:val="auto"/>
              </w:rPr>
              <w:t>—</w:t>
            </w:r>
          </w:p>
        </w:tc>
        <w:tc>
          <w:tcPr>
            <w:tcW w:w="760" w:type="dxa"/>
            <w:vAlign w:val="bottom"/>
          </w:tcPr>
          <w:p>
            <w:pPr>
              <w:jc w:val="right"/>
              <w:spacing w:after="0"/>
              <w:rPr>
                <w:sz w:val="20"/>
                <w:szCs w:val="20"/>
                <w:color w:val="auto"/>
              </w:rPr>
            </w:pPr>
            <w:r>
              <w:rPr>
                <w:rFonts w:ascii="Arial" w:cs="Arial" w:eastAsia="Arial" w:hAnsi="Arial"/>
                <w:sz w:val="8"/>
                <w:szCs w:val="8"/>
                <w:color w:val="auto"/>
              </w:rPr>
              <w:t>370.1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8"/>
                <w:szCs w:val="8"/>
                <w:color w:val="auto"/>
              </w:rPr>
              <w:t>—</w:t>
            </w:r>
          </w:p>
        </w:tc>
        <w:tc>
          <w:tcPr>
            <w:tcW w:w="38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w:t>
            </w: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shd w:val="clear" w:color="auto" w:fill="CCEEFF"/>
          </w:tcPr>
          <w:p>
            <w:pPr>
              <w:ind w:left="220"/>
              <w:spacing w:after="0"/>
              <w:rPr>
                <w:sz w:val="20"/>
                <w:szCs w:val="20"/>
                <w:color w:val="auto"/>
              </w:rPr>
            </w:pPr>
            <w:r>
              <w:rPr>
                <w:rFonts w:ascii="Arial" w:cs="Arial" w:eastAsia="Arial" w:hAnsi="Arial"/>
                <w:sz w:val="8"/>
                <w:szCs w:val="8"/>
                <w:color w:val="auto"/>
              </w:rPr>
              <w:t>Balance,</w:t>
            </w: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800" w:type="dxa"/>
            <w:vAlign w:val="bottom"/>
            <w:vMerge w:val="continue"/>
            <w:shd w:val="clear" w:color="auto" w:fill="CCEEFF"/>
          </w:tcPr>
          <w:p>
            <w:pPr>
              <w:spacing w:after="0"/>
              <w:rPr>
                <w:sz w:val="7"/>
                <w:szCs w:val="7"/>
                <w:color w:val="auto"/>
              </w:rPr>
            </w:pPr>
          </w:p>
        </w:tc>
        <w:tc>
          <w:tcPr>
            <w:tcW w:w="1380" w:type="dxa"/>
            <w:vAlign w:val="bottom"/>
            <w:vMerge w:val="restart"/>
            <w:shd w:val="clear" w:color="auto" w:fill="CCEEFF"/>
          </w:tcPr>
          <w:p>
            <w:pPr>
              <w:jc w:val="right"/>
              <w:ind w:right="878"/>
              <w:spacing w:after="0"/>
              <w:rPr>
                <w:sz w:val="20"/>
                <w:szCs w:val="20"/>
                <w:color w:val="auto"/>
              </w:rPr>
            </w:pPr>
            <w:r>
              <w:rPr>
                <w:rFonts w:ascii="Arial" w:cs="Arial" w:eastAsia="Arial" w:hAnsi="Arial"/>
                <w:sz w:val="8"/>
                <w:szCs w:val="8"/>
                <w:color w:val="auto"/>
              </w:rPr>
              <w:t>252.2</w:t>
            </w:r>
          </w:p>
        </w:tc>
        <w:tc>
          <w:tcPr>
            <w:tcW w:w="46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198"/>
              <w:spacing w:after="0"/>
              <w:rPr>
                <w:sz w:val="20"/>
                <w:szCs w:val="20"/>
                <w:color w:val="auto"/>
              </w:rPr>
            </w:pPr>
            <w:r>
              <w:rPr>
                <w:rFonts w:ascii="Arial" w:cs="Arial" w:eastAsia="Arial" w:hAnsi="Arial"/>
                <w:sz w:val="8"/>
                <w:szCs w:val="8"/>
                <w:color w:val="auto"/>
                <w:w w:val="99"/>
              </w:rPr>
              <w:t>$—</w:t>
            </w:r>
          </w:p>
        </w:tc>
        <w:tc>
          <w:tcPr>
            <w:tcW w:w="300" w:type="dxa"/>
            <w:vAlign w:val="bottom"/>
            <w:vMerge w:val="restart"/>
            <w:shd w:val="clear" w:color="auto" w:fill="CCEEFF"/>
          </w:tcPr>
          <w:p>
            <w:pPr>
              <w:spacing w:after="0"/>
              <w:rPr>
                <w:sz w:val="7"/>
                <w:szCs w:val="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8"/>
                <w:szCs w:val="8"/>
                <w:color w:val="auto"/>
                <w:w w:val="89"/>
              </w:rPr>
              <w:t>$3,745.0</w:t>
            </w:r>
          </w:p>
        </w:tc>
        <w:tc>
          <w:tcPr>
            <w:tcW w:w="32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ind w:right="438"/>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7"/>
                <w:szCs w:val="7"/>
                <w:color w:val="auto"/>
              </w:rPr>
            </w:pPr>
          </w:p>
        </w:tc>
        <w:tc>
          <w:tcPr>
            <w:tcW w:w="1040" w:type="dxa"/>
            <w:vAlign w:val="bottom"/>
            <w:gridSpan w:val="2"/>
            <w:vMerge w:val="restart"/>
            <w:shd w:val="clear" w:color="auto" w:fill="CCEEFF"/>
          </w:tcPr>
          <w:p>
            <w:pPr>
              <w:jc w:val="right"/>
              <w:ind w:right="338"/>
              <w:spacing w:after="0"/>
              <w:rPr>
                <w:sz w:val="20"/>
                <w:szCs w:val="20"/>
                <w:color w:val="auto"/>
              </w:rPr>
            </w:pPr>
            <w:r>
              <w:rPr>
                <w:rFonts w:ascii="Arial" w:cs="Arial" w:eastAsia="Arial" w:hAnsi="Arial"/>
                <w:sz w:val="16"/>
                <w:szCs w:val="16"/>
                <w:color w:val="auto"/>
                <w:vertAlign w:val="superscript"/>
              </w:rPr>
              <w:t>$</w:t>
            </w:r>
            <w:r>
              <w:rPr>
                <w:rFonts w:ascii="Arial" w:cs="Arial" w:eastAsia="Arial" w:hAnsi="Arial"/>
                <w:sz w:val="8"/>
                <w:szCs w:val="8"/>
                <w:color w:val="auto"/>
              </w:rPr>
              <w:t>12.6</w:t>
            </w:r>
          </w:p>
        </w:tc>
        <w:tc>
          <w:tcPr>
            <w:tcW w:w="340" w:type="dxa"/>
            <w:vAlign w:val="bottom"/>
            <w:shd w:val="clear" w:color="auto" w:fill="CCEEFF"/>
          </w:tcPr>
          <w:p>
            <w:pPr>
              <w:spacing w:after="0"/>
              <w:rPr>
                <w:sz w:val="7"/>
                <w:szCs w:val="7"/>
                <w:color w:val="auto"/>
              </w:rPr>
            </w:pPr>
          </w:p>
        </w:tc>
        <w:tc>
          <w:tcPr>
            <w:tcW w:w="860" w:type="dxa"/>
            <w:vAlign w:val="bottom"/>
            <w:gridSpan w:val="2"/>
            <w:vMerge w:val="restart"/>
            <w:shd w:val="clear" w:color="auto" w:fill="CCEEFF"/>
          </w:tcPr>
          <w:p>
            <w:pPr>
              <w:jc w:val="right"/>
              <w:ind w:right="438"/>
              <w:spacing w:after="0"/>
              <w:rPr>
                <w:sz w:val="20"/>
                <w:szCs w:val="20"/>
                <w:color w:val="auto"/>
              </w:rPr>
            </w:pPr>
            <w:r>
              <w:rPr>
                <w:rFonts w:ascii="Arial" w:cs="Arial" w:eastAsia="Arial" w:hAnsi="Arial"/>
                <w:sz w:val="8"/>
                <w:szCs w:val="8"/>
                <w:color w:val="auto"/>
              </w:rPr>
              <w:t>28.5</w:t>
            </w:r>
          </w:p>
        </w:tc>
        <w:tc>
          <w:tcPr>
            <w:tcW w:w="280" w:type="dxa"/>
            <w:vAlign w:val="bottom"/>
            <w:shd w:val="clear" w:color="auto" w:fill="CCEEFF"/>
          </w:tcPr>
          <w:p>
            <w:pPr>
              <w:spacing w:after="0"/>
              <w:rPr>
                <w:sz w:val="7"/>
                <w:szCs w:val="7"/>
                <w:color w:val="auto"/>
              </w:rPr>
            </w:pPr>
          </w:p>
        </w:tc>
        <w:tc>
          <w:tcPr>
            <w:tcW w:w="1180" w:type="dxa"/>
            <w:vAlign w:val="bottom"/>
            <w:gridSpan w:val="2"/>
            <w:vMerge w:val="restart"/>
            <w:shd w:val="clear" w:color="auto" w:fill="CCEEFF"/>
          </w:tcPr>
          <w:p>
            <w:pPr>
              <w:jc w:val="right"/>
              <w:ind w:right="158"/>
              <w:spacing w:after="0"/>
              <w:rPr>
                <w:sz w:val="20"/>
                <w:szCs w:val="20"/>
                <w:color w:val="auto"/>
              </w:rPr>
            </w:pPr>
            <w:r>
              <w:rPr>
                <w:rFonts w:ascii="Arial" w:cs="Arial" w:eastAsia="Arial" w:hAnsi="Arial"/>
                <w:sz w:val="8"/>
                <w:szCs w:val="8"/>
                <w:color w:val="auto"/>
              </w:rPr>
              <w:t>$(440.8)</w:t>
            </w:r>
          </w:p>
        </w:tc>
        <w:tc>
          <w:tcPr>
            <w:tcW w:w="1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34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17.3</w:t>
            </w:r>
          </w:p>
        </w:tc>
        <w:tc>
          <w:tcPr>
            <w:tcW w:w="0" w:type="dxa"/>
            <w:vAlign w:val="bottom"/>
          </w:tcPr>
          <w:p>
            <w:pPr>
              <w:spacing w:after="0"/>
              <w:rPr>
                <w:sz w:val="1"/>
                <w:szCs w:val="1"/>
                <w:color w:val="auto"/>
              </w:rPr>
            </w:pPr>
          </w:p>
        </w:tc>
      </w:tr>
      <w:tr>
        <w:trPr>
          <w:trHeight w:val="108"/>
        </w:trPr>
        <w:tc>
          <w:tcPr>
            <w:tcW w:w="800" w:type="dxa"/>
            <w:vAlign w:val="bottom"/>
            <w:shd w:val="clear" w:color="auto" w:fill="CCEEFF"/>
          </w:tcPr>
          <w:p>
            <w:pPr>
              <w:ind w:left="20"/>
              <w:spacing w:after="0"/>
              <w:rPr>
                <w:sz w:val="20"/>
                <w:szCs w:val="20"/>
                <w:color w:val="auto"/>
              </w:rPr>
            </w:pPr>
            <w:r>
              <w:rPr>
                <w:rFonts w:ascii="Arial" w:cs="Arial" w:eastAsia="Arial" w:hAnsi="Arial"/>
                <w:sz w:val="8"/>
                <w:szCs w:val="8"/>
                <w:color w:val="auto"/>
              </w:rPr>
              <w:t>December 31, 2010</w:t>
            </w:r>
          </w:p>
        </w:tc>
        <w:tc>
          <w:tcPr>
            <w:tcW w:w="1380" w:type="dxa"/>
            <w:vAlign w:val="bottom"/>
            <w:vMerge w:val="continue"/>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560"/>
        <w:spacing w:after="0"/>
        <w:rPr>
          <w:sz w:val="20"/>
          <w:szCs w:val="20"/>
          <w:color w:val="auto"/>
        </w:rPr>
      </w:pPr>
      <w:r>
        <w:rPr>
          <w:rFonts w:ascii="Arial" w:cs="Arial" w:eastAsia="Arial" w:hAnsi="Arial"/>
          <w:sz w:val="12"/>
          <w:szCs w:val="12"/>
          <w:color w:val="auto"/>
        </w:rPr>
        <w:t>See Notes to Consolidated Financial Statements.</w:t>
      </w:r>
    </w:p>
    <w:p>
      <w:pPr>
        <w:spacing w:after="0" w:line="42"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540"/>
          </w:cols>
          <w:pgMar w:left="220" w:top="130" w:right="139" w:bottom="1440" w:gutter="0" w:footer="0" w:header="0"/>
        </w:sectPr>
      </w:pPr>
    </w:p>
    <w:bookmarkStart w:id="54" w:name="page55"/>
    <w:bookmarkEnd w:id="54"/>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47"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6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8"/>
                <w:szCs w:val="8"/>
                <w:b w:val="1"/>
                <w:bCs w:val="1"/>
                <w:color w:val="auto"/>
              </w:rPr>
              <w:t>Year Ended December 31,</w:t>
            </w: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b w:val="1"/>
                <w:bCs w:val="1"/>
                <w:color w:val="auto"/>
              </w:rPr>
              <w:t>2010</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b w:val="1"/>
                <w:bCs w:val="1"/>
                <w:color w:val="auto"/>
              </w:rPr>
              <w:t>2009</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rPr>
              <w:t>2008</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(In millions)</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220"/>
              <w:spacing w:after="0"/>
              <w:rPr>
                <w:sz w:val="20"/>
                <w:szCs w:val="20"/>
                <w:color w:val="auto"/>
              </w:rPr>
            </w:pPr>
            <w:r>
              <w:rPr>
                <w:rFonts w:ascii="Arial" w:cs="Arial" w:eastAsia="Arial" w:hAnsi="Arial"/>
                <w:sz w:val="8"/>
                <w:szCs w:val="8"/>
                <w:b w:val="1"/>
                <w:bCs w:val="1"/>
                <w:color w:val="auto"/>
              </w:rPr>
              <w:t>Cash Flows From Operating Activities:</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40" w:type="dxa"/>
            <w:vAlign w:val="bottom"/>
          </w:tcPr>
          <w:p>
            <w:pPr>
              <w:ind w:left="320"/>
              <w:spacing w:after="0"/>
              <w:rPr>
                <w:sz w:val="20"/>
                <w:szCs w:val="20"/>
                <w:color w:val="auto"/>
              </w:rPr>
            </w:pPr>
            <w:r>
              <w:rPr>
                <w:rFonts w:ascii="Arial" w:cs="Arial" w:eastAsia="Arial" w:hAnsi="Arial"/>
                <w:sz w:val="8"/>
                <w:szCs w:val="8"/>
                <w:color w:val="auto"/>
              </w:rPr>
              <w:t>Net earnings (loss)</w:t>
            </w:r>
          </w:p>
        </w:tc>
        <w:tc>
          <w:tcPr>
            <w:tcW w:w="580" w:type="dxa"/>
            <w:vAlign w:val="bottom"/>
          </w:tcPr>
          <w:p>
            <w:pPr>
              <w:ind w:left="220"/>
              <w:spacing w:after="0"/>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375.6</w:t>
            </w:r>
          </w:p>
        </w:tc>
        <w:tc>
          <w:tcPr>
            <w:tcW w:w="160" w:type="dxa"/>
            <w:vAlign w:val="bottom"/>
          </w:tcPr>
          <w:p>
            <w:pPr>
              <w:spacing w:after="0"/>
              <w:rPr>
                <w:sz w:val="15"/>
                <w:szCs w:val="15"/>
                <w:color w:val="auto"/>
              </w:rPr>
            </w:pPr>
          </w:p>
        </w:tc>
        <w:tc>
          <w:tcPr>
            <w:tcW w:w="660" w:type="dxa"/>
            <w:vAlign w:val="bottom"/>
            <w:gridSpan w:val="2"/>
          </w:tcPr>
          <w:p>
            <w:pPr>
              <w:jc w:val="right"/>
              <w:ind w:right="58"/>
              <w:spacing w:after="0"/>
              <w:rPr>
                <w:sz w:val="20"/>
                <w:szCs w:val="20"/>
                <w:color w:val="auto"/>
              </w:rPr>
            </w:pPr>
            <w:r>
              <w:rPr>
                <w:rFonts w:ascii="Arial" w:cs="Arial" w:eastAsia="Arial" w:hAnsi="Arial"/>
                <w:sz w:val="8"/>
                <w:szCs w:val="8"/>
                <w:color w:val="auto"/>
              </w:rPr>
              <w:t>$</w:t>
            </w:r>
          </w:p>
        </w:tc>
        <w:tc>
          <w:tcPr>
            <w:tcW w:w="820" w:type="dxa"/>
            <w:vAlign w:val="bottom"/>
          </w:tcPr>
          <w:p>
            <w:pPr>
              <w:jc w:val="right"/>
              <w:spacing w:after="0"/>
              <w:rPr>
                <w:sz w:val="20"/>
                <w:szCs w:val="20"/>
                <w:color w:val="auto"/>
              </w:rPr>
            </w:pPr>
            <w:r>
              <w:rPr>
                <w:rFonts w:ascii="Arial" w:cs="Arial" w:eastAsia="Arial" w:hAnsi="Arial"/>
                <w:sz w:val="8"/>
                <w:szCs w:val="8"/>
                <w:color w:val="auto"/>
              </w:rPr>
              <w:t>224.5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(183.2</w:t>
            </w:r>
          </w:p>
        </w:tc>
        <w:tc>
          <w:tcPr>
            <w:tcW w:w="2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80"/>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Adjustments to reconcile net earnings (loss) to net cash provided by operating activities:</w:t>
            </w: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340" w:type="dxa"/>
            <w:vAlign w:val="bottom"/>
            <w:vMerge w:val="restart"/>
          </w:tcPr>
          <w:p>
            <w:pPr>
              <w:ind w:left="460"/>
              <w:spacing w:after="0"/>
              <w:rPr>
                <w:sz w:val="20"/>
                <w:szCs w:val="20"/>
                <w:color w:val="auto"/>
              </w:rPr>
            </w:pPr>
            <w:r>
              <w:rPr>
                <w:rFonts w:ascii="Arial" w:cs="Arial" w:eastAsia="Arial" w:hAnsi="Arial"/>
                <w:sz w:val="8"/>
                <w:szCs w:val="8"/>
                <w:color w:val="auto"/>
              </w:rPr>
              <w:t>Depreciation and amortization</w:t>
            </w:r>
          </w:p>
        </w:tc>
        <w:tc>
          <w:tcPr>
            <w:tcW w:w="5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90.4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127.6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142.8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63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340" w:type="dxa"/>
            <w:vAlign w:val="bottom"/>
            <w:shd w:val="clear" w:color="auto" w:fill="CCEEFF"/>
          </w:tcPr>
          <w:p>
            <w:pPr>
              <w:ind w:left="460"/>
              <w:spacing w:after="0"/>
              <w:rPr>
                <w:sz w:val="20"/>
                <w:szCs w:val="20"/>
                <w:color w:val="auto"/>
              </w:rPr>
            </w:pPr>
            <w:r>
              <w:rPr>
                <w:rFonts w:ascii="Arial" w:cs="Arial" w:eastAsia="Arial" w:hAnsi="Arial"/>
                <w:sz w:val="8"/>
                <w:szCs w:val="8"/>
                <w:color w:val="auto"/>
              </w:rPr>
              <w:t>Equity in loss of unconsolidated affiliates</w:t>
            </w:r>
          </w:p>
        </w:tc>
        <w:tc>
          <w:tcPr>
            <w:tcW w:w="5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1.2</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11.7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13.4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40" w:type="dxa"/>
            <w:vAlign w:val="bottom"/>
          </w:tcPr>
          <w:p>
            <w:pPr>
              <w:ind w:left="460"/>
              <w:spacing w:after="0"/>
              <w:rPr>
                <w:sz w:val="20"/>
                <w:szCs w:val="20"/>
                <w:color w:val="auto"/>
              </w:rPr>
            </w:pPr>
            <w:r>
              <w:rPr>
                <w:rFonts w:ascii="Arial" w:cs="Arial" w:eastAsia="Arial" w:hAnsi="Arial"/>
                <w:sz w:val="8"/>
                <w:szCs w:val="8"/>
                <w:color w:val="auto"/>
              </w:rPr>
              <w:t>(Gain) loss on sales of investments and other assets, net</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(138.3</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(23.1</w:t>
            </w: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8"/>
                <w:szCs w:val="8"/>
                <w:color w:val="auto"/>
              </w:rPr>
              <w:t>22.2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40" w:type="dxa"/>
            <w:vAlign w:val="bottom"/>
            <w:shd w:val="clear" w:color="auto" w:fill="CCEEFF"/>
          </w:tcPr>
          <w:p>
            <w:pPr>
              <w:ind w:left="460"/>
              <w:spacing w:after="0"/>
              <w:rPr>
                <w:sz w:val="20"/>
                <w:szCs w:val="20"/>
                <w:color w:val="auto"/>
              </w:rPr>
            </w:pPr>
            <w:r>
              <w:rPr>
                <w:rFonts w:ascii="Arial" w:cs="Arial" w:eastAsia="Arial" w:hAnsi="Arial"/>
                <w:sz w:val="8"/>
                <w:szCs w:val="8"/>
                <w:color w:val="auto"/>
              </w:rPr>
              <w:t>Gain on sale of investment in Sedgwick CMS</w:t>
            </w:r>
          </w:p>
        </w:tc>
        <w:tc>
          <w:tcPr>
            <w:tcW w:w="5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(98.4</w:t>
            </w: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40" w:type="dxa"/>
            <w:vAlign w:val="bottom"/>
          </w:tcPr>
          <w:p>
            <w:pPr>
              <w:ind w:left="460"/>
              <w:spacing w:after="0"/>
              <w:rPr>
                <w:sz w:val="20"/>
                <w:szCs w:val="20"/>
                <w:color w:val="auto"/>
              </w:rPr>
            </w:pPr>
            <w:r>
              <w:rPr>
                <w:rFonts w:ascii="Arial" w:cs="Arial" w:eastAsia="Arial" w:hAnsi="Arial"/>
                <w:sz w:val="8"/>
                <w:szCs w:val="8"/>
                <w:color w:val="auto"/>
              </w:rPr>
              <w:t>Stock-based compensation cost</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25.1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33.7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8"/>
                <w:szCs w:val="8"/>
                <w:color w:val="auto"/>
              </w:rPr>
              <w:t>32.7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460"/>
              <w:spacing w:after="0"/>
              <w:rPr>
                <w:sz w:val="20"/>
                <w:szCs w:val="20"/>
                <w:color w:val="auto"/>
              </w:rPr>
            </w:pPr>
            <w:r>
              <w:rPr>
                <w:rFonts w:ascii="Arial" w:cs="Arial" w:eastAsia="Arial" w:hAnsi="Arial"/>
                <w:sz w:val="8"/>
                <w:szCs w:val="8"/>
                <w:color w:val="auto"/>
              </w:rPr>
              <w:t>Tax benefit associated with the exercise of stock options</w:t>
            </w:r>
          </w:p>
        </w:tc>
        <w:tc>
          <w:tcPr>
            <w:tcW w:w="5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(2.4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(0.3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74"/>
        </w:trPr>
        <w:tc>
          <w:tcPr>
            <w:tcW w:w="6340" w:type="dxa"/>
            <w:vAlign w:val="bottom"/>
          </w:tcPr>
          <w:p>
            <w:pPr>
              <w:ind w:left="320"/>
              <w:spacing w:after="0"/>
              <w:rPr>
                <w:sz w:val="20"/>
                <w:szCs w:val="20"/>
                <w:color w:val="auto"/>
              </w:rPr>
            </w:pPr>
            <w:r>
              <w:rPr>
                <w:rFonts w:ascii="Arial" w:cs="Arial" w:eastAsia="Arial" w:hAnsi="Arial"/>
                <w:sz w:val="8"/>
                <w:szCs w:val="8"/>
                <w:color w:val="auto"/>
              </w:rPr>
              <w:t>Changes in assets and liabilities, net of effects from acquisitions:</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460"/>
              <w:spacing w:after="0"/>
              <w:rPr>
                <w:sz w:val="20"/>
                <w:szCs w:val="20"/>
                <w:color w:val="auto"/>
              </w:rPr>
            </w:pPr>
            <w:r>
              <w:rPr>
                <w:rFonts w:ascii="Arial" w:cs="Arial" w:eastAsia="Arial" w:hAnsi="Arial"/>
                <w:sz w:val="8"/>
                <w:szCs w:val="8"/>
                <w:color w:val="auto"/>
              </w:rPr>
              <w:t>Net decrease (increase) in pledged cash, pledged investments and secured trust deposits</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5.9</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(0.7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74"/>
        </w:trPr>
        <w:tc>
          <w:tcPr>
            <w:tcW w:w="6340" w:type="dxa"/>
            <w:vAlign w:val="bottom"/>
          </w:tcPr>
          <w:p>
            <w:pPr>
              <w:ind w:left="460"/>
              <w:spacing w:after="0"/>
              <w:rPr>
                <w:sz w:val="20"/>
                <w:szCs w:val="20"/>
                <w:color w:val="auto"/>
              </w:rPr>
            </w:pPr>
            <w:r>
              <w:rPr>
                <w:rFonts w:ascii="Arial" w:cs="Arial" w:eastAsia="Arial" w:hAnsi="Arial"/>
                <w:sz w:val="8"/>
                <w:szCs w:val="8"/>
                <w:color w:val="auto"/>
              </w:rPr>
              <w:t>Net (increase) decrease in trade receivables</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(28.2</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48.6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Arial" w:cs="Arial" w:eastAsia="Arial" w:hAnsi="Arial"/>
                <w:sz w:val="8"/>
                <w:szCs w:val="8"/>
                <w:color w:val="auto"/>
              </w:rPr>
              <w:t>27.6</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460"/>
              <w:spacing w:after="0"/>
              <w:rPr>
                <w:sz w:val="20"/>
                <w:szCs w:val="20"/>
                <w:color w:val="auto"/>
              </w:rPr>
            </w:pPr>
            <w:r>
              <w:rPr>
                <w:rFonts w:ascii="Arial" w:cs="Arial" w:eastAsia="Arial" w:hAnsi="Arial"/>
                <w:sz w:val="8"/>
                <w:szCs w:val="8"/>
                <w:color w:val="auto"/>
              </w:rPr>
              <w:t>Net decrease (increase) in prepaid expenses and other assets</w:t>
            </w:r>
          </w:p>
        </w:tc>
        <w:tc>
          <w:tcPr>
            <w:tcW w:w="5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19.1</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32.3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(65.2</w:t>
            </w:r>
          </w:p>
        </w:tc>
        <w:tc>
          <w:tcPr>
            <w:tcW w:w="180" w:type="dxa"/>
            <w:vAlign w:val="bottom"/>
            <w:shd w:val="clear" w:color="auto" w:fill="CCEEFF"/>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41"/>
        </w:trPr>
        <w:tc>
          <w:tcPr>
            <w:tcW w:w="6340" w:type="dxa"/>
            <w:vAlign w:val="bottom"/>
            <w:vMerge w:val="restart"/>
          </w:tcPr>
          <w:p>
            <w:pPr>
              <w:ind w:left="460"/>
              <w:spacing w:after="0"/>
              <w:rPr>
                <w:sz w:val="20"/>
                <w:szCs w:val="20"/>
                <w:color w:val="auto"/>
              </w:rPr>
            </w:pPr>
            <w:r>
              <w:rPr>
                <w:rFonts w:ascii="Arial" w:cs="Arial" w:eastAsia="Arial" w:hAnsi="Arial"/>
                <w:sz w:val="8"/>
                <w:szCs w:val="8"/>
                <w:color w:val="auto"/>
              </w:rPr>
              <w:t>Net increase (decrease) in accounts payable, accrued liabilities, deferred revenue and other</w:t>
            </w:r>
          </w:p>
        </w:tc>
        <w:tc>
          <w:tcPr>
            <w:tcW w:w="5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36.9</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8"/>
                <w:szCs w:val="8"/>
                <w:color w:val="auto"/>
              </w:rPr>
              <w:t>(80.9</w:t>
            </w:r>
          </w:p>
        </w:tc>
        <w:tc>
          <w:tcPr>
            <w:tcW w:w="100" w:type="dxa"/>
            <w:vAlign w:val="bottom"/>
            <w:vMerge w:val="restart"/>
          </w:tcPr>
          <w:p>
            <w:pPr>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8"/>
                <w:szCs w:val="8"/>
                <w:color w:val="auto"/>
              </w:rPr>
              <w:t>(115.6</w:t>
            </w:r>
          </w:p>
        </w:tc>
        <w:tc>
          <w:tcPr>
            <w:tcW w:w="180" w:type="dxa"/>
            <w:vAlign w:val="bottom"/>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33"/>
        </w:trPr>
        <w:tc>
          <w:tcPr>
            <w:tcW w:w="63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340" w:type="dxa"/>
            <w:vAlign w:val="bottom"/>
            <w:shd w:val="clear" w:color="auto" w:fill="CCEEFF"/>
          </w:tcPr>
          <w:p>
            <w:pPr>
              <w:ind w:left="460"/>
              <w:spacing w:after="0"/>
              <w:rPr>
                <w:sz w:val="20"/>
                <w:szCs w:val="20"/>
                <w:color w:val="auto"/>
              </w:rPr>
            </w:pPr>
            <w:r>
              <w:rPr>
                <w:rFonts w:ascii="Arial" w:cs="Arial" w:eastAsia="Arial" w:hAnsi="Arial"/>
                <w:sz w:val="8"/>
                <w:szCs w:val="8"/>
                <w:color w:val="auto"/>
              </w:rPr>
              <w:t>Net (decrease) increase in reserve for claim losses</w:t>
            </w:r>
          </w:p>
        </w:tc>
        <w:tc>
          <w:tcPr>
            <w:tcW w:w="5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(268.7</w:t>
            </w: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(135.9</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202.9</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340" w:type="dxa"/>
            <w:vAlign w:val="bottom"/>
            <w:tcBorders>
              <w:bottom w:val="single" w:sz="8" w:color="CCEEFF"/>
            </w:tcBorders>
          </w:tcPr>
          <w:p>
            <w:pPr>
              <w:ind w:left="460"/>
              <w:spacing w:after="0"/>
              <w:rPr>
                <w:sz w:val="20"/>
                <w:szCs w:val="20"/>
                <w:color w:val="auto"/>
              </w:rPr>
            </w:pPr>
            <w:r>
              <w:rPr>
                <w:rFonts w:ascii="Arial" w:cs="Arial" w:eastAsia="Arial" w:hAnsi="Arial"/>
                <w:sz w:val="8"/>
                <w:szCs w:val="8"/>
                <w:color w:val="auto"/>
              </w:rPr>
              <w:t>Net increase (decrease) in income taxes</w:t>
            </w: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8"/>
                <w:szCs w:val="8"/>
                <w:color w:val="auto"/>
              </w:rPr>
              <w:t>160.2</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138.3</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8"/>
                <w:szCs w:val="8"/>
                <w:color w:val="auto"/>
              </w:rPr>
              <w:t>(72.0</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6"/>
        </w:trPr>
        <w:tc>
          <w:tcPr>
            <w:tcW w:w="6340" w:type="dxa"/>
            <w:vAlign w:val="bottom"/>
            <w:shd w:val="clear" w:color="auto" w:fill="CCEEFF"/>
          </w:tcPr>
          <w:p>
            <w:pPr>
              <w:ind w:left="220"/>
              <w:spacing w:after="0"/>
              <w:rPr>
                <w:sz w:val="20"/>
                <w:szCs w:val="20"/>
                <w:color w:val="auto"/>
              </w:rPr>
            </w:pPr>
            <w:r>
              <w:rPr>
                <w:rFonts w:ascii="Arial" w:cs="Arial" w:eastAsia="Arial" w:hAnsi="Arial"/>
                <w:sz w:val="8"/>
                <w:szCs w:val="8"/>
                <w:color w:val="auto"/>
              </w:rPr>
              <w:t>Net cash provided by operating activities</w:t>
            </w:r>
          </w:p>
        </w:tc>
        <w:tc>
          <w:tcPr>
            <w:tcW w:w="5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182.5</w:t>
            </w:r>
          </w:p>
        </w:tc>
        <w:tc>
          <w:tcPr>
            <w:tcW w:w="16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380.3</w:t>
            </w:r>
          </w:p>
        </w:tc>
        <w:tc>
          <w:tcPr>
            <w:tcW w:w="2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4.6</w:t>
            </w:r>
          </w:p>
        </w:tc>
        <w:tc>
          <w:tcPr>
            <w:tcW w:w="2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340" w:type="dxa"/>
            <w:vAlign w:val="bottom"/>
          </w:tcPr>
          <w:p>
            <w:pPr>
              <w:ind w:left="220"/>
              <w:spacing w:after="0"/>
              <w:rPr>
                <w:sz w:val="20"/>
                <w:szCs w:val="20"/>
                <w:color w:val="auto"/>
              </w:rPr>
            </w:pPr>
            <w:r>
              <w:rPr>
                <w:rFonts w:ascii="Arial" w:cs="Arial" w:eastAsia="Arial" w:hAnsi="Arial"/>
                <w:sz w:val="8"/>
                <w:szCs w:val="8"/>
                <w:b w:val="1"/>
                <w:bCs w:val="1"/>
                <w:color w:val="auto"/>
              </w:rPr>
              <w:t>Cash Flows From Investing Activities: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Proceeds from sales of investment securities available for sale</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849.0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632.6</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340" w:type="dxa"/>
            <w:vAlign w:val="bottom"/>
          </w:tcPr>
          <w:p>
            <w:pPr>
              <w:ind w:left="320"/>
              <w:spacing w:after="0"/>
              <w:rPr>
                <w:sz w:val="20"/>
                <w:szCs w:val="20"/>
                <w:color w:val="auto"/>
              </w:rPr>
            </w:pPr>
            <w:r>
              <w:rPr>
                <w:rFonts w:ascii="Arial" w:cs="Arial" w:eastAsia="Arial" w:hAnsi="Arial"/>
                <w:sz w:val="8"/>
                <w:szCs w:val="8"/>
                <w:color w:val="auto"/>
              </w:rPr>
              <w:t>Proceeds from maturities of investment securities available for sale</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402.4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341.1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292.1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Proceeds from sales of assets</w:t>
            </w:r>
          </w:p>
        </w:tc>
        <w:tc>
          <w:tcPr>
            <w:tcW w:w="5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20.1</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53.8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3.7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40" w:type="dxa"/>
            <w:vAlign w:val="bottom"/>
          </w:tcPr>
          <w:p>
            <w:pPr>
              <w:ind w:left="320"/>
              <w:spacing w:after="0"/>
              <w:rPr>
                <w:sz w:val="20"/>
                <w:szCs w:val="20"/>
                <w:color w:val="auto"/>
              </w:rPr>
            </w:pPr>
            <w:r>
              <w:rPr>
                <w:rFonts w:ascii="Arial" w:cs="Arial" w:eastAsia="Arial" w:hAnsi="Arial"/>
                <w:sz w:val="8"/>
                <w:szCs w:val="8"/>
                <w:color w:val="auto"/>
              </w:rPr>
              <w:t>Additions to property and equipment</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(44.4</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(50.8</w:t>
            </w: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8"/>
                <w:szCs w:val="8"/>
                <w:color w:val="auto"/>
              </w:rPr>
              <w:t>(84.2</w:t>
            </w:r>
          </w:p>
        </w:tc>
        <w:tc>
          <w:tcPr>
            <w:tcW w:w="180" w:type="dxa"/>
            <w:vAlign w:val="bottom"/>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0"/>
        </w:trPr>
        <w:tc>
          <w:tcPr>
            <w:tcW w:w="6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8"/>
                <w:szCs w:val="8"/>
                <w:color w:val="auto"/>
              </w:rPr>
              <w:t>Ad ditions to capitalized software</w:t>
            </w:r>
          </w:p>
        </w:tc>
        <w:tc>
          <w:tcPr>
            <w:tcW w:w="5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(7.1</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8"/>
                <w:szCs w:val="8"/>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(17.1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74"/>
        </w:trPr>
        <w:tc>
          <w:tcPr>
            <w:tcW w:w="6340" w:type="dxa"/>
            <w:vAlign w:val="bottom"/>
          </w:tcPr>
          <w:p>
            <w:pPr>
              <w:ind w:left="320"/>
              <w:spacing w:after="0"/>
              <w:rPr>
                <w:sz w:val="20"/>
                <w:szCs w:val="20"/>
                <w:color w:val="auto"/>
              </w:rPr>
            </w:pPr>
            <w:r>
              <w:rPr>
                <w:rFonts w:ascii="Arial" w:cs="Arial" w:eastAsia="Arial" w:hAnsi="Arial"/>
                <w:sz w:val="8"/>
                <w:szCs w:val="8"/>
                <w:color w:val="auto"/>
              </w:rPr>
              <w:t>Purchases of investment securities available for sale</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(1,394.3</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(1,838.5</w:t>
            </w: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(570.7</w:t>
            </w:r>
          </w:p>
        </w:tc>
        <w:tc>
          <w:tcPr>
            <w:tcW w:w="2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Purchases of other long-term investments</w:t>
            </w:r>
          </w:p>
        </w:tc>
        <w:tc>
          <w:tcPr>
            <w:tcW w:w="5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(75.0</w:t>
            </w:r>
          </w:p>
        </w:tc>
        <w:tc>
          <w:tcPr>
            <w:tcW w:w="10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40" w:type="dxa"/>
            <w:vAlign w:val="bottom"/>
          </w:tcPr>
          <w:p>
            <w:pPr>
              <w:ind w:left="320"/>
              <w:spacing w:after="0"/>
              <w:rPr>
                <w:sz w:val="20"/>
                <w:szCs w:val="20"/>
                <w:color w:val="auto"/>
              </w:rPr>
            </w:pPr>
            <w:r>
              <w:rPr>
                <w:rFonts w:ascii="Arial" w:cs="Arial" w:eastAsia="Arial" w:hAnsi="Arial"/>
                <w:sz w:val="8"/>
                <w:szCs w:val="8"/>
                <w:color w:val="auto"/>
              </w:rPr>
              <w:t>Net proceeds from (purchases of) short-term investment activities</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219.4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369.8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(185.6</w:t>
            </w:r>
          </w:p>
        </w:tc>
        <w:tc>
          <w:tcPr>
            <w:tcW w:w="2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80"/>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(Contributions to) distributions from investments in unconsolidated affiliates</w:t>
            </w:r>
          </w:p>
        </w:tc>
        <w:tc>
          <w:tcPr>
            <w:tcW w:w="5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(28.3</w:t>
            </w: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40" w:type="dxa"/>
            <w:vAlign w:val="bottom"/>
          </w:tcPr>
          <w:p>
            <w:pPr>
              <w:ind w:left="320"/>
              <w:spacing w:after="0"/>
              <w:rPr>
                <w:sz w:val="20"/>
                <w:szCs w:val="20"/>
                <w:color w:val="auto"/>
              </w:rPr>
            </w:pPr>
            <w:r>
              <w:rPr>
                <w:rFonts w:ascii="Arial" w:cs="Arial" w:eastAsia="Arial" w:hAnsi="Arial"/>
                <w:sz w:val="8"/>
                <w:szCs w:val="8"/>
                <w:color w:val="auto"/>
              </w:rPr>
              <w:t>N et other investing activities</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(18.6</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(15.8</w:t>
            </w: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(6.4</w:t>
            </w:r>
          </w:p>
        </w:tc>
        <w:tc>
          <w:tcPr>
            <w:tcW w:w="2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41"/>
        </w:trPr>
        <w:tc>
          <w:tcPr>
            <w:tcW w:w="6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99"/>
              </w:rPr>
              <w:t>&amp;</w:t>
            </w: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Proceeds from the sale of Sedgwick CMS</w:t>
            </w:r>
          </w:p>
        </w:tc>
        <w:tc>
          <w:tcPr>
            <w:tcW w:w="5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193.6</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gridSpan w:val="4"/>
            <w:shd w:val="clear" w:color="auto" w:fill="CCEEFF"/>
          </w:tcPr>
          <w:p>
            <w:pPr>
              <w:ind w:left="740"/>
              <w:spacing w:after="0"/>
              <w:rPr>
                <w:sz w:val="20"/>
                <w:szCs w:val="20"/>
                <w:color w:val="auto"/>
              </w:rPr>
            </w:pPr>
            <w:r>
              <w:rPr>
                <w:rFonts w:ascii="Arial" w:cs="Arial" w:eastAsia="Arial" w:hAnsi="Arial"/>
                <w:sz w:val="8"/>
                <w:szCs w:val="8"/>
                <w:color w:val="auto"/>
              </w:rPr>
              <w:t>—</w:t>
            </w:r>
            <w:r>
              <w:rPr>
                <w:rFonts w:ascii="Arial" w:cs="Arial" w:eastAsia="Arial" w:hAnsi="Arial"/>
                <w:sz w:val="12"/>
                <w:szCs w:val="12"/>
                <w:color w:val="auto"/>
              </w:rPr>
              <w:t>nbsp;</w:t>
            </w:r>
          </w:p>
        </w:tc>
        <w:tc>
          <w:tcPr>
            <w:tcW w:w="5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53.9</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340" w:type="dxa"/>
            <w:vAlign w:val="bottom"/>
          </w:tcPr>
          <w:p>
            <w:pPr>
              <w:ind w:left="320"/>
              <w:spacing w:after="0"/>
              <w:rPr>
                <w:sz w:val="20"/>
                <w:szCs w:val="20"/>
                <w:color w:val="auto"/>
              </w:rPr>
            </w:pPr>
            <w:r>
              <w:rPr>
                <w:rFonts w:ascii="Arial" w:cs="Arial" w:eastAsia="Arial" w:hAnsi="Arial"/>
                <w:sz w:val="8"/>
                <w:szCs w:val="8"/>
                <w:color w:val="auto"/>
              </w:rPr>
              <w:t>Proceeds from the sale of FN Capital</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49.2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Acquisitions/disposals of businesses, net of cash acquired</w:t>
            </w:r>
          </w:p>
        </w:tc>
        <w:tc>
          <w:tcPr>
            <w:tcW w:w="5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(47.9</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(143.2</w:t>
            </w:r>
          </w:p>
        </w:tc>
        <w:tc>
          <w:tcPr>
            <w:tcW w:w="2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0"/>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8"/>
                <w:szCs w:val="8"/>
                <w:color w:val="auto"/>
              </w:rPr>
              <w:t>Net cash provided by (used in) investing activities</w:t>
            </w:r>
          </w:p>
        </w:tc>
        <w:tc>
          <w:tcPr>
            <w:tcW w:w="5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8"/>
                <w:szCs w:val="8"/>
                <w:color w:val="auto"/>
              </w:rPr>
              <w:t>332.7</w:t>
            </w: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(368.6</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w:t>
            </w:r>
          </w:p>
        </w:tc>
        <w:tc>
          <w:tcPr>
            <w:tcW w:w="3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8"/>
                <w:szCs w:val="8"/>
                <w:color w:val="auto"/>
              </w:rPr>
              <w:t>(24.9</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6"/>
        </w:trPr>
        <w:tc>
          <w:tcPr>
            <w:tcW w:w="6340" w:type="dxa"/>
            <w:vAlign w:val="bottom"/>
            <w:shd w:val="clear" w:color="auto" w:fill="CCEEFF"/>
          </w:tcPr>
          <w:p>
            <w:pPr>
              <w:ind w:left="220"/>
              <w:spacing w:after="0"/>
              <w:rPr>
                <w:sz w:val="20"/>
                <w:szCs w:val="20"/>
                <w:color w:val="auto"/>
              </w:rPr>
            </w:pPr>
            <w:r>
              <w:rPr>
                <w:rFonts w:ascii="Arial" w:cs="Arial" w:eastAsia="Arial" w:hAnsi="Arial"/>
                <w:sz w:val="8"/>
                <w:szCs w:val="8"/>
                <w:b w:val="1"/>
                <w:bCs w:val="1"/>
                <w:color w:val="auto"/>
              </w:rPr>
              <w:t>Cash Flows From Financing Activities:</w:t>
            </w: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40" w:type="dxa"/>
            <w:vAlign w:val="bottom"/>
          </w:tcPr>
          <w:p>
            <w:pPr>
              <w:ind w:left="320"/>
              <w:spacing w:after="0"/>
              <w:rPr>
                <w:sz w:val="20"/>
                <w:szCs w:val="20"/>
                <w:color w:val="auto"/>
              </w:rPr>
            </w:pPr>
            <w:r>
              <w:rPr>
                <w:rFonts w:ascii="Arial" w:cs="Arial" w:eastAsia="Arial" w:hAnsi="Arial"/>
                <w:sz w:val="8"/>
                <w:szCs w:val="8"/>
                <w:color w:val="auto"/>
              </w:rPr>
              <w:t>Equity offering</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331.4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Borrowings</w:t>
            </w:r>
          </w:p>
        </w:tc>
        <w:tc>
          <w:tcPr>
            <w:tcW w:w="580" w:type="dxa"/>
            <w:vAlign w:val="bottom"/>
            <w:shd w:val="clear" w:color="auto" w:fill="CCEEFF"/>
          </w:tcPr>
          <w:p>
            <w:pPr>
              <w:ind w:left="220"/>
              <w:spacing w:after="0"/>
              <w:rPr>
                <w:sz w:val="20"/>
                <w:szCs w:val="20"/>
                <w:color w:val="auto"/>
              </w:rPr>
            </w:pPr>
            <w:r>
              <w:rPr>
                <w:rFonts w:ascii="Arial" w:cs="Arial" w:eastAsia="Arial" w:hAnsi="Arial"/>
                <w:sz w:val="8"/>
                <w:szCs w:val="8"/>
                <w:color w:val="auto"/>
              </w:rPr>
              <w:t>600.3</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147.0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380.4</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340" w:type="dxa"/>
            <w:vAlign w:val="bottom"/>
          </w:tcPr>
          <w:p>
            <w:pPr>
              <w:ind w:left="320"/>
              <w:spacing w:after="0"/>
              <w:rPr>
                <w:sz w:val="20"/>
                <w:szCs w:val="20"/>
                <w:color w:val="auto"/>
              </w:rPr>
            </w:pPr>
            <w:r>
              <w:rPr>
                <w:rFonts w:ascii="Arial" w:cs="Arial" w:eastAsia="Arial" w:hAnsi="Arial"/>
                <w:sz w:val="8"/>
                <w:szCs w:val="8"/>
                <w:color w:val="auto"/>
              </w:rPr>
              <w:t>Debt service payments</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(510.1</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(398.4</w:t>
            </w:r>
          </w:p>
        </w:tc>
        <w:tc>
          <w:tcPr>
            <w:tcW w:w="2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(263.5</w:t>
            </w:r>
          </w:p>
        </w:tc>
        <w:tc>
          <w:tcPr>
            <w:tcW w:w="2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Debt issuance costs</w:t>
            </w:r>
          </w:p>
        </w:tc>
        <w:tc>
          <w:tcPr>
            <w:tcW w:w="5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340" w:type="dxa"/>
            <w:vAlign w:val="bottom"/>
          </w:tcPr>
          <w:p>
            <w:pPr>
              <w:ind w:left="320"/>
              <w:spacing w:after="0"/>
              <w:rPr>
                <w:sz w:val="20"/>
                <w:szCs w:val="20"/>
                <w:color w:val="auto"/>
              </w:rPr>
            </w:pPr>
            <w:r>
              <w:rPr>
                <w:rFonts w:ascii="Arial" w:cs="Arial" w:eastAsia="Arial" w:hAnsi="Arial"/>
                <w:sz w:val="8"/>
                <w:szCs w:val="8"/>
                <w:color w:val="auto"/>
              </w:rPr>
              <w:t>Dividends paid</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(156.6</w:t>
            </w:r>
          </w:p>
        </w:tc>
        <w:tc>
          <w:tcPr>
            <w:tcW w:w="16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(135.8</w:t>
            </w:r>
          </w:p>
        </w:tc>
        <w:tc>
          <w:tcPr>
            <w:tcW w:w="2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(223.1</w:t>
            </w:r>
          </w:p>
        </w:tc>
        <w:tc>
          <w:tcPr>
            <w:tcW w:w="2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Subsidiary dividends paid to noncontrolling interest shareholders</w:t>
            </w:r>
          </w:p>
        </w:tc>
        <w:tc>
          <w:tcPr>
            <w:tcW w:w="5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(7.4</w:t>
            </w: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(3.2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(3.6</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74"/>
        </w:trPr>
        <w:tc>
          <w:tcPr>
            <w:tcW w:w="6340" w:type="dxa"/>
            <w:vAlign w:val="bottom"/>
          </w:tcPr>
          <w:p>
            <w:pPr>
              <w:ind w:left="320"/>
              <w:spacing w:after="0"/>
              <w:rPr>
                <w:sz w:val="20"/>
                <w:szCs w:val="20"/>
                <w:color w:val="auto"/>
              </w:rPr>
            </w:pPr>
            <w:r>
              <w:rPr>
                <w:rFonts w:ascii="Arial" w:cs="Arial" w:eastAsia="Arial" w:hAnsi="Arial"/>
                <w:sz w:val="8"/>
                <w:szCs w:val="8"/>
                <w:color w:val="auto"/>
              </w:rPr>
              <w:t>Exercise of stock options</w:t>
            </w:r>
          </w:p>
        </w:tc>
        <w:tc>
          <w:tcPr>
            <w:tcW w:w="5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4.8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8"/>
                <w:szCs w:val="8"/>
                <w:color w:val="auto"/>
              </w:rPr>
              <w:t>19.4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5.3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ind w:left="320"/>
              <w:spacing w:after="0"/>
              <w:rPr>
                <w:sz w:val="20"/>
                <w:szCs w:val="20"/>
                <w:color w:val="auto"/>
              </w:rPr>
            </w:pPr>
            <w:r>
              <w:rPr>
                <w:rFonts w:ascii="Arial" w:cs="Arial" w:eastAsia="Arial" w:hAnsi="Arial"/>
                <w:sz w:val="8"/>
                <w:szCs w:val="8"/>
                <w:color w:val="auto"/>
              </w:rPr>
              <w:t>Tax benefit associated with the exercise of stock options</w:t>
            </w:r>
          </w:p>
        </w:tc>
        <w:tc>
          <w:tcPr>
            <w:tcW w:w="5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3.0</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8"/>
                <w:szCs w:val="8"/>
                <w:color w:val="auto"/>
              </w:rPr>
              <w:t>2.4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0.3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340" w:type="dxa"/>
            <w:vAlign w:val="bottom"/>
            <w:tcBorders>
              <w:bottom w:val="single" w:sz="8" w:color="CCEEFF"/>
            </w:tcBorders>
          </w:tcPr>
          <w:p>
            <w:pPr>
              <w:ind w:left="320"/>
              <w:spacing w:after="0"/>
              <w:rPr>
                <w:sz w:val="20"/>
                <w:szCs w:val="20"/>
                <w:color w:val="auto"/>
              </w:rPr>
            </w:pPr>
            <w:r>
              <w:rPr>
                <w:rFonts w:ascii="Arial" w:cs="Arial" w:eastAsia="Arial" w:hAnsi="Arial"/>
                <w:sz w:val="8"/>
                <w:szCs w:val="8"/>
                <w:color w:val="auto"/>
              </w:rPr>
              <w:t>Purchases of treasury stock</w:t>
            </w: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8"/>
                <w:szCs w:val="8"/>
                <w:color w:val="auto"/>
              </w:rPr>
              <w:t>(117.6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8"/>
                <w:szCs w:val="8"/>
                <w:color w:val="auto"/>
              </w:rPr>
              <w:t>(74.9</w:t>
            </w:r>
          </w:p>
        </w:tc>
        <w:tc>
          <w:tcPr>
            <w:tcW w:w="1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w:t>
            </w:r>
          </w:p>
        </w:tc>
        <w:tc>
          <w:tcPr>
            <w:tcW w:w="3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8"/>
                <w:szCs w:val="8"/>
                <w:color w:val="auto"/>
              </w:rPr>
              <w:t>(45.9</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0"/>
        </w:trPr>
        <w:tc>
          <w:tcPr>
            <w:tcW w:w="6340" w:type="dxa"/>
            <w:vAlign w:val="bottom"/>
            <w:shd w:val="clear" w:color="auto" w:fill="CCEEFF"/>
          </w:tcPr>
          <w:p>
            <w:pPr>
              <w:ind w:left="220"/>
              <w:spacing w:after="0"/>
              <w:rPr>
                <w:sz w:val="20"/>
                <w:szCs w:val="20"/>
                <w:color w:val="auto"/>
              </w:rPr>
            </w:pPr>
            <w:r>
              <w:rPr>
                <w:rFonts w:ascii="Arial" w:cs="Arial" w:eastAsia="Arial" w:hAnsi="Arial"/>
                <w:sz w:val="8"/>
                <w:szCs w:val="8"/>
                <w:color w:val="auto"/>
              </w:rPr>
              <w:t>Net cash used in financing activities</w:t>
            </w:r>
          </w:p>
        </w:tc>
        <w:tc>
          <w:tcPr>
            <w:tcW w:w="5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(185.9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rPr>
              <w:t>(112.1</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(150.1</w:t>
            </w:r>
          </w:p>
        </w:tc>
        <w:tc>
          <w:tcPr>
            <w:tcW w:w="2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60"/>
        </w:trPr>
        <w:tc>
          <w:tcPr>
            <w:tcW w:w="6340" w:type="dxa"/>
            <w:vAlign w:val="bottom"/>
          </w:tcPr>
          <w:p>
            <w:pPr>
              <w:ind w:left="220"/>
              <w:spacing w:after="0"/>
              <w:rPr>
                <w:sz w:val="20"/>
                <w:szCs w:val="20"/>
                <w:color w:val="auto"/>
              </w:rPr>
            </w:pPr>
            <w:r>
              <w:rPr>
                <w:rFonts w:ascii="Arial" w:cs="Arial" w:eastAsia="Arial" w:hAnsi="Arial"/>
                <w:sz w:val="8"/>
                <w:szCs w:val="8"/>
                <w:color w:val="auto"/>
              </w:rPr>
              <w:t>Net increase (decrease) in cash and cash equivalents, excluding pledged cash related to secured trust deposits</w:t>
            </w:r>
          </w:p>
        </w:tc>
        <w:tc>
          <w:tcPr>
            <w:tcW w:w="5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8"/>
                <w:szCs w:val="8"/>
                <w:color w:val="auto"/>
              </w:rPr>
              <w:t>329.3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(100.4</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(170.4</w:t>
            </w:r>
          </w:p>
        </w:tc>
        <w:tc>
          <w:tcPr>
            <w:tcW w:w="20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59"/>
        </w:trPr>
        <w:tc>
          <w:tcPr>
            <w:tcW w:w="6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420"/>
              <w:spacing w:after="0"/>
              <w:rPr>
                <w:sz w:val="20"/>
                <w:szCs w:val="20"/>
                <w:color w:val="auto"/>
              </w:rPr>
            </w:pPr>
            <w:r>
              <w:rPr>
                <w:rFonts w:ascii="Arial" w:cs="Arial" w:eastAsia="Arial" w:hAnsi="Arial"/>
                <w:sz w:val="8"/>
                <w:szCs w:val="8"/>
                <w:color w:val="auto"/>
                <w:w w:val="88"/>
              </w:rPr>
              <w:t>376.1</w:t>
            </w:r>
            <w:r>
              <w:rPr>
                <w:rFonts w:ascii="Arial" w:cs="Arial" w:eastAsia="Arial" w:hAnsi="Arial"/>
                <w:sz w:val="12"/>
                <w:szCs w:val="12"/>
                <w:color w:val="auto"/>
                <w:w w:val="88"/>
              </w:rPr>
              <w:t>bsp;</w:t>
            </w: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5"/>
              </w:rPr>
              <w:t>&amp;n</w:t>
            </w:r>
          </w:p>
        </w:tc>
        <w:tc>
          <w:tcPr>
            <w:tcW w:w="0" w:type="dxa"/>
            <w:vAlign w:val="bottom"/>
          </w:tcPr>
          <w:p>
            <w:pPr>
              <w:spacing w:after="0"/>
              <w:rPr>
                <w:sz w:val="1"/>
                <w:szCs w:val="1"/>
                <w:color w:val="auto"/>
              </w:rPr>
            </w:pPr>
          </w:p>
        </w:tc>
      </w:tr>
      <w:tr>
        <w:trPr>
          <w:trHeight w:val="135"/>
        </w:trPr>
        <w:tc>
          <w:tcPr>
            <w:tcW w:w="6340" w:type="dxa"/>
            <w:vAlign w:val="bottom"/>
            <w:shd w:val="clear" w:color="auto" w:fill="CCEEFF"/>
          </w:tcPr>
          <w:p>
            <w:pPr>
              <w:ind w:left="220"/>
              <w:spacing w:after="0"/>
              <w:rPr>
                <w:sz w:val="20"/>
                <w:szCs w:val="20"/>
                <w:color w:val="auto"/>
              </w:rPr>
            </w:pPr>
            <w:r>
              <w:rPr>
                <w:rFonts w:ascii="Arial" w:cs="Arial" w:eastAsia="Arial" w:hAnsi="Arial"/>
                <w:sz w:val="8"/>
                <w:szCs w:val="8"/>
                <w:color w:val="auto"/>
              </w:rPr>
              <w:t>Cash and cash equivalents, excluding pledged cash related to secured trust deposits, at beginning of year</w:t>
            </w:r>
          </w:p>
        </w:tc>
        <w:tc>
          <w:tcPr>
            <w:tcW w:w="5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105.3</w:t>
            </w: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205.7</w:t>
            </w:r>
          </w:p>
        </w:tc>
        <w:tc>
          <w:tcPr>
            <w:tcW w:w="2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gridSpan w:val="2"/>
            <w:vMerge w:val="continue"/>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340" w:type="dxa"/>
            <w:vAlign w:val="bottom"/>
          </w:tcPr>
          <w:p>
            <w:pPr>
              <w:ind w:left="220"/>
              <w:spacing w:after="0"/>
              <w:rPr>
                <w:sz w:val="20"/>
                <w:szCs w:val="20"/>
                <w:color w:val="auto"/>
              </w:rPr>
            </w:pPr>
            <w:r>
              <w:rPr>
                <w:rFonts w:ascii="Arial" w:cs="Arial" w:eastAsia="Arial" w:hAnsi="Arial"/>
                <w:sz w:val="8"/>
                <w:szCs w:val="8"/>
                <w:color w:val="auto"/>
              </w:rPr>
              <w:t>Cash and cash equivalents, excluding pledged cash related to secured trust deposits, at end of year</w:t>
            </w: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w:t>
            </w: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8"/>
                <w:szCs w:val="8"/>
                <w:color w:val="auto"/>
              </w:rPr>
              <w:t>434.6</w:t>
            </w:r>
          </w:p>
        </w:tc>
        <w:tc>
          <w:tcPr>
            <w:tcW w:w="1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105.3</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8"/>
                <w:szCs w:val="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205.7</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See Notes to Consolidated Financial Statements.</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80"/>
          </w:cols>
          <w:pgMar w:left="220" w:top="131" w:right="199" w:bottom="1440" w:gutter="0" w:footer="0" w:header="0"/>
        </w:sectPr>
      </w:pPr>
    </w:p>
    <w:bookmarkStart w:id="55" w:name="page56"/>
    <w:bookmarkEnd w:id="55"/>
    <w:p>
      <w:pPr>
        <w:ind w:left="2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47"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37"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Note A.</w:t>
      </w:r>
      <w:r>
        <w:rPr>
          <w:sz w:val="20"/>
          <w:szCs w:val="20"/>
          <w:color w:val="auto"/>
        </w:rPr>
        <w:tab/>
      </w:r>
      <w:r>
        <w:rPr>
          <w:rFonts w:ascii="Arial" w:cs="Arial" w:eastAsia="Arial" w:hAnsi="Arial"/>
          <w:sz w:val="10"/>
          <w:szCs w:val="10"/>
          <w:b w:val="1"/>
          <w:bCs w:val="1"/>
          <w:color w:val="auto"/>
        </w:rPr>
        <w:t>Summary of Significant Accounting Policies</w:t>
      </w:r>
    </w:p>
    <w:p>
      <w:pPr>
        <w:spacing w:after="0" w:line="15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following describes the significant accounting policies of Fidelity National Financial, Inc. and its subsidiaries (collectively, “We,” “Us,” “Our,” or “FNF”) which have been followed in preparing the accompanying Consolidated Financial Statements.</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Description of Business</w:t>
      </w:r>
    </w:p>
    <w:p>
      <w:pPr>
        <w:spacing w:after="0" w:line="15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are a holding company that through our subsidiaries provides title insurance, mortgage services, specialty insurance and information services. We are the nation's largest title insurance company through our title insurance underwriters — Fidelity National Title, Chicago Title, Commonwealth Land Title, and Alamo Title — which collec tively issued more title insurance policies in 2009 than any other title company in the United States. We also provide flood insurance, personal lines insurance, and home warranty insurance through our specialty insurance subsidiaries. We own a minority interest in Ceridian Corporation ("Ceridian"), a leading provider of global human resources, payroll, benefits and payment solutions. We also own a minority interest in Remy International, Inc. (“Remy”), a leading designer, manufacturer, remanufacturer, marketer and distributor of aftermarket and original equipment electrical components for automobiles, light trucks, heavy-duty trucks and other vehicles.</w:t>
      </w:r>
    </w:p>
    <w:p>
      <w:pPr>
        <w:spacing w:after="0" w:line="126"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During 2010, we completed a project to reduce the number of our title insurance underwriters. Our remaining four principal title insurance underwriters are Fidelity National Title, Chicago Title, Commonwealth Land Title, and Alamo Title. Security Union Title and Ticor Title were merged into Chicago Title. Lawyers Title was merged into Fidelity National Title.</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currently have three reporting segments as follows:</w:t>
      </w:r>
    </w:p>
    <w:p>
      <w:pPr>
        <w:spacing w:after="0" w:line="114" w:lineRule="exact"/>
        <w:rPr>
          <w:sz w:val="20"/>
          <w:szCs w:val="20"/>
          <w:color w:val="auto"/>
        </w:rPr>
      </w:pPr>
    </w:p>
    <w:p>
      <w:pPr>
        <w:ind w:left="580" w:right="20" w:hanging="156"/>
        <w:spacing w:after="0" w:line="276" w:lineRule="auto"/>
        <w:tabs>
          <w:tab w:leader="none" w:pos="796"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Fidelity National Title Group. </w:t>
      </w:r>
      <w:r>
        <w:rPr>
          <w:rFonts w:ascii="Arial" w:cs="Arial" w:eastAsia="Arial" w:hAnsi="Arial"/>
          <w:sz w:val="12"/>
          <w:szCs w:val="12"/>
          <w:color w:val="auto"/>
        </w:rPr>
        <w:t>This segment consists of the operations of our title insurance underwriters and related businesses. This segment provides core title insurance and escrow and other title-related services</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collection and trust activities, trustee’s sales guarantees, recordings and reconveyances.</w:t>
      </w:r>
    </w:p>
    <w:p>
      <w:pPr>
        <w:spacing w:after="0" w:line="78" w:lineRule="exact"/>
        <w:rPr>
          <w:rFonts w:ascii="Arial" w:cs="Arial" w:eastAsia="Arial" w:hAnsi="Arial"/>
          <w:sz w:val="12"/>
          <w:szCs w:val="12"/>
          <w:color w:val="auto"/>
        </w:rPr>
      </w:pPr>
    </w:p>
    <w:p>
      <w:pPr>
        <w:ind w:left="800" w:hanging="376"/>
        <w:spacing w:after="0"/>
        <w:tabs>
          <w:tab w:leader="none" w:pos="80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Specialty Insurance. </w:t>
      </w:r>
      <w:r>
        <w:rPr>
          <w:rFonts w:ascii="Arial" w:cs="Arial" w:eastAsia="Arial" w:hAnsi="Arial"/>
          <w:sz w:val="12"/>
          <w:szCs w:val="12"/>
          <w:color w:val="auto"/>
        </w:rPr>
        <w:t>This segment consists of certain subsidiaries that issue flood, home warranty, homeowners’, automobile and other personal lines insurance policies.</w:t>
      </w:r>
    </w:p>
    <w:p>
      <w:pPr>
        <w:spacing w:after="0" w:line="114" w:lineRule="exact"/>
        <w:rPr>
          <w:rFonts w:ascii="Arial" w:cs="Arial" w:eastAsia="Arial" w:hAnsi="Arial"/>
          <w:sz w:val="12"/>
          <w:szCs w:val="12"/>
          <w:color w:val="auto"/>
        </w:rPr>
      </w:pPr>
    </w:p>
    <w:p>
      <w:pPr>
        <w:ind w:left="580" w:hanging="156"/>
        <w:spacing w:after="0" w:line="276" w:lineRule="auto"/>
        <w:tabs>
          <w:tab w:leader="none" w:pos="796"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Corporate and Other. </w:t>
      </w:r>
      <w:r>
        <w:rPr>
          <w:rFonts w:ascii="Arial" w:cs="Arial" w:eastAsia="Arial" w:hAnsi="Arial"/>
          <w:sz w:val="12"/>
          <w:szCs w:val="12"/>
          <w:color w:val="auto"/>
        </w:rPr>
        <w:t>This segment consists of the operations of the parent holding company, certain other unallocated corporate overhead expenses, other smaller operations, and our share in the operations of certai n</w:t>
      </w:r>
      <w:r>
        <w:rPr>
          <w:rFonts w:ascii="Arial" w:cs="Arial" w:eastAsia="Arial" w:hAnsi="Arial"/>
          <w:sz w:val="12"/>
          <w:szCs w:val="12"/>
          <w:i w:val="1"/>
          <w:iCs w:val="1"/>
          <w:color w:val="auto"/>
        </w:rPr>
        <w:t xml:space="preserve"> </w:t>
      </w:r>
      <w:r>
        <w:rPr>
          <w:rFonts w:ascii="Arial" w:cs="Arial" w:eastAsia="Arial" w:hAnsi="Arial"/>
          <w:sz w:val="12"/>
          <w:szCs w:val="12"/>
          <w:color w:val="auto"/>
        </w:rPr>
        <w:t>investments in minority-owned affiliates, including Ceridian and Remy.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Principles of Consolidation and Basis of Presentation</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accompanying Consolidated Financial Statements are prepared in accordance with generally accepted accounting principles in the United States and include our accounts as well as our wholly-owned and majority-owned subsidiaries. All intercompany profits, transactions and balances have bee n eliminated. Our investments in non-majority-owned partnerships and affiliates are accounted for using the equity method until such time that they become wholly or majority-owned. Earnings attributable to noncontrolling interests are recorded on the Consolidated Statement of Operations relating to majority-owned subsidiaries with the appropriate noncontrolling interest that represents the portion of equity not related to our ownership interest recorded on the Consolidated Balance Sheets in each period.</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Sale of Sedgwick CMS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May 28, 2010, we completed the sale of our 32% interest in Sedgwick, our minority-owned affiliate that provides claims management services to large corporate and public sector entities, to a group of private equity funds. See note D on investments for further discussion of the sale.</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Discontinued Operations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On September 25, 2009, we closed on the sale of Fidelity National Capital, Inc. (“FN Capital”), a wholly-owned financing and leasing subsidiary, to Winthrop Resources Corporation. Accordingly, the sale and results of FN Capital for periods prior to the sale are reflected in the financial statements as discontinued operations for all periods presented. Net proceeds to FNF from the sale of FN Capital were $49.2 million. We recorded a pre-tax loss on the sale of $3.4 million ($2.2 million after tax). Total revenues from FN Capital included in discontinued operations were $29.3 million and $32.1 million for the years ended</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80"/>
          </w:cols>
          <w:pgMar w:left="220" w:top="131" w:right="199" w:bottom="1440" w:gutter="0" w:footer="0" w:header="0"/>
        </w:sectPr>
      </w:pPr>
    </w:p>
    <w:bookmarkStart w:id="56" w:name="page57"/>
    <w:bookmarkEnd w:id="56"/>
    <w:p>
      <w:pPr>
        <w:ind w:left="41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December 31, 2009 and 2008, respectively. Pre-tax (loss ) income included in discontinued operations was $(2.1) million and $3.4 million for the years ended December 31, 2009, and 2008, respectively.</w:t>
      </w:r>
    </w:p>
    <w:p>
      <w:pPr>
        <w:spacing w:after="0" w:line="15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In February 2009, we transferred our ownership interest in FNRES Holdings, Inc. (“FNRES”) to Lender Processing Services, Inc. ("LPS"), a related par ty at the time, in exchange for all of the outstanding shares of Investment Property Exchange Services, Inc. (“IPEX”), a company that facilitates real estate exchanges under Section 1031 of the Internal Revenue Code. The purchase price of IPEX was approximately $43.0 million, which was the fair value of FNF’s 61% holdings in FNRES. The results of operations of FNRES are reflected as discontinued operations in the Consolidated Statements of Operations for all periods presented. Discontinued operations included revenues from FNRES operations of $3.5 million and $45.8 million for the years ending December 31, 2009 and 2008, respectively. Discontinued operations included pre-tax losses related to FNRES operations of $0.5 million and $19.0 million in years ending December 31, 2009, and 2008, respectively.</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Investments</w:t>
      </w:r>
    </w:p>
    <w:p>
      <w:pPr>
        <w:spacing w:after="0" w:line="150"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based on quoted market prices. Discount or premium is recorded for the difference between the purchase price and the principal amount. The discou nt or premium is amortized or accreted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prospectively.</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Equity securities are considered to be available for sale and carried at fair value as of the balance sheet dates. Fair values are based on quoted market prices.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Investments in unconsolidated affiliates are recorded using the equity method of accounting (see note 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long-term investments consist primarily of structured notes, and are carried at fair value as of the balance sheet dates. Fair values are based on exit prices obtained from a broker-dealer.</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Short-term investments, which consist primarily of securities purchased under agreements to resell, commercial paper and money market instruments, which have an original maturity of one year or less, are carried at amortized cost, which approximates fair value.</w:t>
      </w:r>
    </w:p>
    <w:p>
      <w:pPr>
        <w:spacing w:after="0" w:line="11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Realized gains and losses on the sale of investments are determined on the basis of the cost of the specific investments sold and are credited or charged to income on a trade date basis. Unrealized gains or losses on fixed maturity and equity securities which are classified as available for sale, net of applicable deferred income tax expenses (benefits), are excluded from earnings and credited or charged di rectly to a separate component of equity. If any unrealized losses on fixed maturity or equity securities are deemed other-than-temporary, such unrealized losses are recognized as realized losses. Unrealized losses are deemed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0"/>
          </w:cols>
          <w:pgMar w:left="220" w:top="127" w:right="199" w:bottom="1440" w:gutter="0" w:footer="0" w:header="0"/>
        </w:sectPr>
      </w:pPr>
    </w:p>
    <w:bookmarkStart w:id="57" w:name="page58"/>
    <w:bookmarkEnd w:id="57"/>
    <w:p>
      <w:pPr>
        <w:ind w:left="41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150"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Trade and Notes Receivables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carrying values reported in the Consolidated Balance Sheets for trade and no tes receivables approximate their fair value.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Goodwill</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Goodwill represents the excess of cost over fair value of identifiable net assets acquired and assumed in a business combination. Goodwill and other intangible assets with indefinite useful lives are tested for impairment annually or more frequently if circumstances indicate potential impairment, through a comparison of fair value to the carrying amount. In evaluating the recover ability of goodwill, we perform an annual goodwill impairment test based on an analysis of the discounted future cash flows generated by the underlying assets.</w:t>
      </w:r>
    </w:p>
    <w:p>
      <w:pPr>
        <w:spacing w:after="0" w:line="12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completed annual goodwill impairment tests in the fourth quarter of each respective year using a September 30 measurement date and as a result no goodwill impairments have been recorded. For the years ended December 31, 2010 and 2009, we determined fair values substantially exceeded carrying values.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Capitalized Software</w:t>
      </w:r>
    </w:p>
    <w:p>
      <w:pPr>
        <w:spacing w:after="0" w:line="15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Capitalized software includes software acquired in business acquisitions, purchased software and internally developed capitalized software. Purchased software is recorded at cost and amortized using the straight-line method over a three-year period and software acquired in a business acquisition is recorded at its fair value upon acquisition and amortized using straight-line and accelerated methods over its estimated useful life. After the technological feasibil ity of software to be developed internally has been established, or at the beginning of application development, software development costs, which include salaries and related payroll costs and costs of independent contractors incurred during development, are capitalized. Research and development costs incurred prior to the establishment of technological feasibility, or prior to software development, are expensed as incurred. For internally developed software, software development costs are amortized on a product by product basis commencing on the date of general release of the products, generally the greater of (1) the straight-line method over its estimated useful life, which ranges from three to seven years or (2) the ratio of current revenues to total anticipated revenue over estimated useful life.</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At December 31, 2010, capitalized software was $191.7 million, less accumulated amortization of $147.7 million. At December 31, 2009, capitalized software was $181.9 million, less accumulated amortization of $125.9 million.</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Amortization expense relating to computer software was $24.4 million, $25.9 million, and $27.4 million for the years ended December 31, 2010, 2009, and 2008, respectively.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Other Intangible Assets</w:t>
      </w:r>
    </w:p>
    <w:p>
      <w:pPr>
        <w:spacing w:after="0" w:line="150"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We have other intangible assets, not including software, which consist primarily of customer relationships and contracts and trademarks which are generally recorded in connection with acquisitions at their fair value. Intangible assets with e stimable lives are amortized over their respective estimated useful lives to their estimated residual values and reviewed for impairment whenever events or changes in circumstances indicate that the carrying amount may not be recoverable. Customer relationships are amortized over their estimated useful lives using an accelerated method which takes into consideration expected customer attrition rates over a ten-year period. Contractual relationships are generally amortized over their contractual life. Trademarks are considered intangible assets with indefinite lives and are reviewed for impairment at least annually.</w:t>
      </w:r>
    </w:p>
    <w:p>
      <w:pPr>
        <w:spacing w:after="0" w:line="109"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During 2008, we determined that the carrying value of certain of our intangible assets, softwar e and license fees may not be recoverable and recorded impairment expense of $8.5 million, relating to the impairment of these assets. This expense amount was included in other operating expenses in the Consolidated Statement of Operations for the year ended December 31, 2008. We recorded no impairment expense in 2010 or 2009.</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127" w:right="199" w:bottom="1440" w:gutter="0" w:footer="0" w:header="0"/>
        </w:sectPr>
      </w:pPr>
    </w:p>
    <w:bookmarkStart w:id="58" w:name="page59"/>
    <w:bookmarkEnd w:id="58"/>
    <w:p>
      <w:pPr>
        <w:ind w:left="41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Title Plants</w:t>
      </w:r>
    </w:p>
    <w:p>
      <w:pPr>
        <w:spacing w:after="0" w:line="15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Title plants are recorded at the cost incurred to construct or obtain and organize historical title information to the point it can be used to perform title searches. Costs incu 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and in the years ending December 31, 2010 and December 31, 2009 identified and recorded impairment expense of $4.3 million and $2.2 million, respectively.</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Property and equipment are recorded at cost, less depreciation. Depreciation is computed primarily using the straight-line method based on the estimated useful lives of the related assets: thirty years for buildings and three to seven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Reserve for Claim Losses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reserve for claim losses includes known claims for title and specialty insurance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takes into consideration o ther factors, including industry trends, claim loss history, current legal environment, geographic considerations and type of policy written. For specialty insurance, reserve for claims incurred but not reported are estimated based on historical loss experience.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reserve for claim losses also includes reserves for losses arising from the escrow, closing and disbursement functions due to fraud or operational error.</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Secured Trust Deposits</w:t>
      </w:r>
    </w:p>
    <w:p>
      <w:pPr>
        <w:spacing w:after="0" w:line="150"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In the state of Illinois, a trust company is permitted to commingle and invest customers’ as sets with its own assets, pending completion of real estate transactions. Accordingly, our Consolidated Balance Sheets reflect a secured trust deposit liability of $388.4 million and $373.3 million at December 31, 2010 and 2009, respectively, representing customers’ assets held by us and corresponding assets including cash and investments pledged as security for those trust balances.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recognize deferred tax assets and liabilities for temporary differences between the financial reporting basis and the tax basis of our assets and liabilities and expected benefits of utilizing net operating loss and credit carryforwards. De 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Reinsurance</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127" w:right="199" w:bottom="1440" w:gutter="0" w:footer="0" w:header="0"/>
        </w:sectPr>
      </w:pPr>
    </w:p>
    <w:bookmarkStart w:id="59" w:name="page60"/>
    <w:bookmarkEnd w:id="59"/>
    <w:p>
      <w:pPr>
        <w:ind w:left="2480"/>
        <w:spacing w:after="0"/>
        <w:rPr>
          <w:sz w:val="20"/>
          <w:szCs w:val="20"/>
          <w:color w:val="auto"/>
        </w:rPr>
      </w:pPr>
      <w:r>
        <w:rPr>
          <w:rFonts w:ascii="Arial" w:cs="Arial" w:eastAsia="Arial" w:hAnsi="Arial"/>
          <w:sz w:val="12"/>
          <w:szCs w:val="12"/>
          <w:b w:val="1"/>
          <w:bCs w:val="1"/>
          <w:color w:val="auto"/>
        </w:rPr>
        <w:t>FIDELITY NATIONAL FINANCIAL, INC. AND SUBSIDIARIES</w:t>
      </w:r>
      <w:r>
        <w:rPr>
          <w:rFonts w:ascii="Arial" w:cs="Arial" w:eastAsia="Arial" w:hAnsi="Arial"/>
          <w:sz w:val="12"/>
          <w:szCs w:val="12"/>
          <w:color w:val="auto"/>
        </w:rPr>
        <w:t>&lt; font style="font-family:inherit;font-size:10pt;font-weight:bold;"&gt;</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expenses) exceeding the retained amounts, the reinsurer is liable for the excess amount assumed. However, the ceding company remains primarily liable in the event the reinsurer does not meet its contractual obligations.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i w:val="1"/>
          <w:iCs w:val="1"/>
          <w:color w:val="auto"/>
        </w:rPr>
        <w:t xml:space="preserve">Fidelity National Title Group. </w:t>
      </w:r>
      <w:r>
        <w:rPr>
          <w:rFonts w:ascii="Arial" w:cs="Arial" w:eastAsia="Arial" w:hAnsi="Arial"/>
          <w:sz w:val="11"/>
          <w:szCs w:val="11"/>
          <w:color w:val="auto"/>
        </w:rPr>
        <w:t>Our direct title insurance premiums and escrow, title-related and other fees are recognized as revenue at the time of closing of the related transaction as the earnings process is then considered complete,</w:t>
      </w:r>
      <w:r>
        <w:rPr>
          <w:rFonts w:ascii="Arial" w:cs="Arial" w:eastAsia="Arial" w:hAnsi="Arial"/>
          <w:sz w:val="11"/>
          <w:szCs w:val="11"/>
          <w:i w:val="1"/>
          <w:iCs w:val="1"/>
          <w:color w:val="auto"/>
        </w:rPr>
        <w:t xml:space="preserve"> </w:t>
      </w:r>
      <w:r>
        <w:rPr>
          <w:rFonts w:ascii="Arial" w:cs="Arial" w:eastAsia="Arial" w:hAnsi="Arial"/>
          <w:sz w:val="11"/>
          <w:szCs w:val="11"/>
          <w:color w:val="auto"/>
        </w:rPr>
        <w:t>whereas premium revenues from agency operations and agency commissions include an accrual based on estimates using historical information of the volume of transactions that have closed in a particular period for which premiums have not yet be 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60-70% reported within three months following closing, an additional 20-30% reported within the next three months and the remainder within seven to fifteen months. In addition to accruing these earned but unreported agency premiums, we also accrue agent commission expense, which was 78.6%, 79.6% and 78.3% of agent premiums earned in 2010, 2009 and 2008, respectively. We also record provision for claim losses at our average provision rate at the time we record the accrual for the premiums, which was 6.8%, 7.3% and 8.5% for 2010, 2009 and 2008, respectively, and accruals for premium taxes and other expenses relating to our premium accrual. The resulting impact to pretax earnings in any period is less than 10% of the accrued premium amount. The impact of the change in the accrual for agency premiums and related exp enses for the years ended December 31, 2010, 2009 and 2008 on our pretax earnings was an increase (decrease) of $10.7 million, $(3.4) million and $(6.4) million, respectively, excluding an adjustment recorded in 2008 relating to a change in our estimation process, which resulted in a decrease of $11.8 million in our pretax earnings for 2008. The amount due from our agents relating to this accrual, i.e. the agent premium less their contractual retained commission, was approximately $112.1 million and $88.1 million at December 31, 2010 and 2009, respectively, which represents agency premiums of approximately $546.0 million and $425.4 million at December 31, 2010 and 2009, respectively, and agent commissions of $433.9 million and $337.3 million at December 31, 2010 and 2009, respectively.</w:t>
      </w:r>
    </w:p>
    <w:p>
      <w:pPr>
        <w:spacing w:after="0" w:line="118" w:lineRule="exact"/>
        <w:rPr>
          <w:sz w:val="20"/>
          <w:szCs w:val="20"/>
          <w:color w:val="auto"/>
        </w:rPr>
      </w:pPr>
    </w:p>
    <w:p>
      <w:pPr>
        <w:jc w:val="both"/>
        <w:ind w:firstLine="126"/>
        <w:spacing w:after="0" w:line="254" w:lineRule="auto"/>
        <w:rPr>
          <w:sz w:val="20"/>
          <w:szCs w:val="20"/>
          <w:color w:val="auto"/>
        </w:rPr>
      </w:pPr>
      <w:r>
        <w:rPr>
          <w:rFonts w:ascii="Arial" w:cs="Arial" w:eastAsia="Arial" w:hAnsi="Arial"/>
          <w:sz w:val="12"/>
          <w:szCs w:val="12"/>
          <w:color w:val="auto"/>
        </w:rPr>
        <w:t>During the second half of 2008, we re-evaluated and refined the method that we used to estimate this accrual, which resulted in a reduction in 2008 revenue from agency title insurance premiums of $138.5 million compared to the revenues that would have been accrued under our prior method. During 2008, due to the real estate market's continued slow down and the fact that mortgage originations and refinancing transactions were decreasing in volume, we increased our scrutiny on unprofitable, low-remitting and high-claims agent relationships resulting in a significant reduction in the number of agents with which we continued to conduct business. As a result of the reduction in transaction volumes due to both the economy and the terminated agents, we reviewed and refined the process we used to estimate agency premium accruals relying more on remittance patterns of our agents over the previous 15 months and less on the historical trends of our direct operations. The impact of this adjustment was a decrease of $11.8 million in 2008 pretax earnings and $7.6 million in 2008 net income, or approximately $0.04 per share, compared to the amounts that would have been recorded under our prior method. The impact of the adjustment on pretax earnings of only $11.8 million is due to the expense accruals noted above. We believe that this adjustment is properly reflected as a change in accounting estimate in 2008.</w:t>
      </w:r>
    </w:p>
    <w:p>
      <w:pPr>
        <w:spacing w:after="0" w:line="13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Specialty Insurance. </w:t>
      </w:r>
      <w:r>
        <w:rPr>
          <w:rFonts w:ascii="Arial" w:cs="Arial" w:eastAsia="Arial" w:hAnsi="Arial"/>
          <w:sz w:val="12"/>
          <w:szCs w:val="12"/>
          <w:color w:val="auto"/>
        </w:rPr>
        <w:t>Revenues from home warranty and personal lines insurance policies are recognized over the life of the policy, which is one year. The unrecognized portion is recorded as deferred revenue. Revenues and</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related to the sale of flood insurance are recognized when the policy is reported.</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Earnings Per Share</w:t>
      </w:r>
    </w:p>
    <w:p>
      <w:pPr>
        <w:spacing w:after="0" w:line="150"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Basic earnings per share is computed by dividing net earnings available to common stockholders by the weighted average number of common shares outstanding during the period. In periods when earnings are positive, diluted earnings per share is calculated by dividing net earnings available to common stockholders by the sum of the weighted average number of common shares outstanding and the impact of assumed conversions of potentially dilutive securities. For pe riods when we recognize a net loss, diluted earnings per share is equal to basic earnings per share as the impact of assumed conversions of potentially dilutive securities is considered to be anti-dilutive. We have granted certain options, warrants and restricted stock which have been treated as common share equivalents for purposes of calculating diluted earnings per share for periods in which positive earnings have been reported.</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127" w:right="199" w:bottom="1440" w:gutter="0" w:footer="0" w:header="0"/>
        </w:sectPr>
      </w:pPr>
    </w:p>
    <w:bookmarkStart w:id="60" w:name="page61"/>
    <w:bookmarkEnd w:id="60"/>
    <w:p>
      <w:pPr>
        <w:jc w:val="center"/>
        <w:ind w:right="-179"/>
        <w:spacing w:after="0"/>
        <w:rPr>
          <w:sz w:val="20"/>
          <w:szCs w:val="20"/>
          <w:color w:val="auto"/>
        </w:rPr>
      </w:pPr>
      <w:r>
        <w:rPr>
          <w:rFonts w:ascii="Arial" w:cs="Arial" w:eastAsia="Arial" w:hAnsi="Arial"/>
          <w:sz w:val="12"/>
          <w:szCs w:val="12"/>
          <w:color w:val="auto"/>
        </w:rPr>
        <w:t>FIDELITY NATIONAL FINANCIAL, INC. AND SUBSIDIARIES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following table presents the computation of basic and diluted earnings per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320" w:type="dxa"/>
            <w:vAlign w:val="bottom"/>
          </w:tcPr>
          <w:p>
            <w:pPr>
              <w:spacing w:after="0"/>
              <w:rPr>
                <w:sz w:val="11"/>
                <w:szCs w:val="11"/>
                <w:color w:val="auto"/>
              </w:rPr>
            </w:pPr>
          </w:p>
        </w:tc>
        <w:tc>
          <w:tcPr>
            <w:tcW w:w="1820" w:type="dxa"/>
            <w:vAlign w:val="bottom"/>
            <w:tcBorders>
              <w:bottom w:val="single" w:sz="8" w:color="auto"/>
            </w:tcBorders>
            <w:gridSpan w:val="3"/>
          </w:tcPr>
          <w:p>
            <w:pPr>
              <w:ind w:left="240"/>
              <w:spacing w:after="0"/>
              <w:rPr>
                <w:sz w:val="20"/>
                <w:szCs w:val="20"/>
                <w:color w:val="auto"/>
              </w:rPr>
            </w:pPr>
            <w:r>
              <w:rPr>
                <w:rFonts w:ascii="Arial" w:cs="Arial" w:eastAsia="Arial" w:hAnsi="Arial"/>
                <w:sz w:val="10"/>
                <w:szCs w:val="10"/>
                <w:b w:val="1"/>
                <w:bCs w:val="1"/>
                <w:color w:val="auto"/>
              </w:rPr>
              <w:t>Year Ended December 31,</w:t>
            </w:r>
          </w:p>
        </w:tc>
        <w:tc>
          <w:tcPr>
            <w:tcW w:w="5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169"/>
        </w:trPr>
        <w:tc>
          <w:tcPr>
            <w:tcW w:w="6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2010</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2009</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124"/>
        </w:trPr>
        <w:tc>
          <w:tcPr>
            <w:tcW w:w="6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87"/>
              </w:rPr>
              <w:t>(In millions, except per share data)</w:t>
            </w: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4"/>
        </w:trPr>
        <w:tc>
          <w:tcPr>
            <w:tcW w:w="6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Basic and diluted net earnings (loss) from continuing operations attributable to FNF common shareholders</w:t>
            </w:r>
          </w:p>
        </w:tc>
        <w:tc>
          <w:tcPr>
            <w:tcW w:w="5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370.1</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224.1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(173.7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6320" w:type="dxa"/>
            <w:vAlign w:val="bottom"/>
          </w:tcPr>
          <w:p>
            <w:pPr>
              <w:ind w:left="220"/>
              <w:spacing w:after="0"/>
              <w:rPr>
                <w:sz w:val="20"/>
                <w:szCs w:val="20"/>
                <w:color w:val="auto"/>
              </w:rPr>
            </w:pPr>
            <w:r>
              <w:rPr>
                <w:rFonts w:ascii="Arial" w:cs="Arial" w:eastAsia="Arial" w:hAnsi="Arial"/>
                <w:sz w:val="12"/>
                <w:szCs w:val="12"/>
                <w:color w:val="auto"/>
              </w:rPr>
              <w:t>Bas ic and diluted net loss from discontinued operations attributable to FNF common shareholders</w:t>
            </w:r>
          </w:p>
        </w:tc>
        <w:tc>
          <w:tcPr>
            <w:tcW w:w="54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(5.3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6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Basic and diluted net earnings (loss) attributable to FNF common shareholders</w:t>
            </w:r>
          </w:p>
        </w:tc>
        <w:tc>
          <w:tcPr>
            <w:tcW w:w="5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2"/>
                <w:szCs w:val="12"/>
                <w:color w:val="auto"/>
              </w:rPr>
              <w:t>370.1</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222.3</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(179.0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6320" w:type="dxa"/>
            <w:vAlign w:val="bottom"/>
          </w:tcPr>
          <w:p>
            <w:pPr>
              <w:ind w:left="220"/>
              <w:spacing w:after="0"/>
              <w:rPr>
                <w:sz w:val="20"/>
                <w:szCs w:val="20"/>
                <w:color w:val="auto"/>
              </w:rPr>
            </w:pPr>
            <w:r>
              <w:rPr>
                <w:rFonts w:ascii="Arial" w:cs="Arial" w:eastAsia="Arial" w:hAnsi="Arial"/>
                <w:sz w:val="12"/>
                <w:szCs w:val="12"/>
                <w:color w:val="auto"/>
              </w:rPr>
              <w:t>Weighted average shares outstanding during the period, basic basis</w:t>
            </w:r>
          </w:p>
        </w:tc>
        <w:tc>
          <w:tcPr>
            <w:tcW w:w="540" w:type="dxa"/>
            <w:vAlign w:val="bottom"/>
          </w:tcPr>
          <w:p>
            <w:pPr>
              <w:spacing w:after="0"/>
              <w:rPr>
                <w:sz w:val="14"/>
                <w:szCs w:val="14"/>
                <w:color w:val="auto"/>
              </w:rPr>
            </w:pPr>
          </w:p>
        </w:tc>
        <w:tc>
          <w:tcPr>
            <w:tcW w:w="1000" w:type="dxa"/>
            <w:vAlign w:val="bottom"/>
          </w:tcPr>
          <w:p>
            <w:pPr>
              <w:jc w:val="right"/>
              <w:ind w:right="241"/>
              <w:spacing w:after="0"/>
              <w:rPr>
                <w:sz w:val="20"/>
                <w:szCs w:val="20"/>
                <w:color w:val="auto"/>
              </w:rPr>
            </w:pPr>
            <w:r>
              <w:rPr>
                <w:rFonts w:ascii="Arial" w:cs="Arial" w:eastAsia="Arial" w:hAnsi="Arial"/>
                <w:sz w:val="12"/>
                <w:szCs w:val="12"/>
                <w:color w:val="auto"/>
              </w:rPr>
              <w:t>226.2</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224.7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210.0</w:t>
            </w:r>
          </w:p>
        </w:tc>
        <w:tc>
          <w:tcPr>
            <w:tcW w:w="180" w:type="dxa"/>
            <w:vAlign w:val="bottom"/>
          </w:tcPr>
          <w:p>
            <w:pPr>
              <w:spacing w:after="0"/>
              <w:rPr>
                <w:sz w:val="14"/>
                <w:szCs w:val="14"/>
                <w:color w:val="auto"/>
              </w:rPr>
            </w:pPr>
          </w:p>
        </w:tc>
      </w:tr>
      <w:tr>
        <w:trPr>
          <w:trHeight w:val="180"/>
        </w:trPr>
        <w:tc>
          <w:tcPr>
            <w:tcW w:w="6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Plus: Common stock equivalent shares assumed from conversion of options</w:t>
            </w:r>
          </w:p>
        </w:tc>
        <w:tc>
          <w:tcPr>
            <w:tcW w:w="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2"/>
                <w:szCs w:val="12"/>
                <w:color w:val="auto"/>
              </w:rPr>
              <w:t>3.1</w:t>
            </w:r>
          </w:p>
        </w:tc>
        <w:tc>
          <w:tcPr>
            <w:tcW w:w="2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5"/>
                <w:szCs w:val="15"/>
                <w:color w:val="auto"/>
              </w:rPr>
            </w:pPr>
          </w:p>
        </w:tc>
      </w:tr>
      <w:tr>
        <w:trPr>
          <w:trHeight w:val="185"/>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Weighted average shares outstanding during the period, diluted basis</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color w:val="auto"/>
              </w:rPr>
              <w:t>229.3</w:t>
            </w:r>
          </w:p>
        </w:tc>
        <w:tc>
          <w:tcPr>
            <w:tcW w:w="2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228.5</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210.0</w:t>
            </w:r>
          </w:p>
        </w:tc>
        <w:tc>
          <w:tcPr>
            <w:tcW w:w="180" w:type="dxa"/>
            <w:vAlign w:val="bottom"/>
            <w:tcBorders>
              <w:bottom w:val="single" w:sz="8" w:color="auto"/>
            </w:tcBorders>
          </w:tcPr>
          <w:p>
            <w:pPr>
              <w:spacing w:after="0"/>
              <w:rPr>
                <w:sz w:val="16"/>
                <w:szCs w:val="16"/>
                <w:color w:val="auto"/>
              </w:rPr>
            </w:pPr>
          </w:p>
        </w:tc>
      </w:tr>
      <w:tr>
        <w:trPr>
          <w:trHeight w:val="180"/>
        </w:trPr>
        <w:tc>
          <w:tcPr>
            <w:tcW w:w="6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Basic net earnings (loss) per share from continuing operations attributable to FNF common shareholders</w:t>
            </w:r>
          </w:p>
        </w:tc>
        <w:tc>
          <w:tcPr>
            <w:tcW w:w="5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1.64</w:t>
            </w: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Basic net loss from discontinued operations attributable to FNF common shareholders</w:t>
            </w: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(0.01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Basic earnings (loss) per share attributable to FNF common shareholders</w:t>
            </w:r>
          </w:p>
        </w:tc>
        <w:tc>
          <w:tcPr>
            <w:tcW w:w="5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2"/>
                <w:szCs w:val="12"/>
                <w:color w:val="auto"/>
              </w:rPr>
              <w:t>1.64</w:t>
            </w:r>
          </w:p>
        </w:tc>
        <w:tc>
          <w:tcPr>
            <w:tcW w:w="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0.99</w:t>
            </w: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6320" w:type="dxa"/>
            <w:vAlign w:val="bottom"/>
          </w:tcPr>
          <w:p>
            <w:pPr>
              <w:ind w:left="220"/>
              <w:spacing w:after="0"/>
              <w:rPr>
                <w:sz w:val="20"/>
                <w:szCs w:val="20"/>
                <w:color w:val="auto"/>
              </w:rPr>
            </w:pPr>
            <w:r>
              <w:rPr>
                <w:rFonts w:ascii="Arial" w:cs="Arial" w:eastAsia="Arial" w:hAnsi="Arial"/>
                <w:sz w:val="12"/>
                <w:szCs w:val="12"/>
                <w:color w:val="auto"/>
              </w:rPr>
              <w:t>Diluted net earnings (loss) per share from continuing operations attributable to FNF common shareholders</w:t>
            </w:r>
          </w:p>
        </w:tc>
        <w:tc>
          <w:tcPr>
            <w:tcW w:w="540" w:type="dxa"/>
            <w:vAlign w:val="bottom"/>
          </w:tcPr>
          <w:p>
            <w:pPr>
              <w:ind w:left="24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41"/>
              <w:spacing w:after="0"/>
              <w:rPr>
                <w:sz w:val="20"/>
                <w:szCs w:val="20"/>
                <w:color w:val="auto"/>
              </w:rPr>
            </w:pPr>
            <w:r>
              <w:rPr>
                <w:rFonts w:ascii="Arial" w:cs="Arial" w:eastAsia="Arial" w:hAnsi="Arial"/>
                <w:sz w:val="12"/>
                <w:szCs w:val="12"/>
                <w:color w:val="auto"/>
              </w:rPr>
              <w:t>1.61</w:t>
            </w:r>
          </w:p>
        </w:tc>
        <w:tc>
          <w:tcPr>
            <w:tcW w:w="280" w:type="dxa"/>
            <w:vAlign w:val="bottom"/>
          </w:tcPr>
          <w:p>
            <w:pPr>
              <w:spacing w:after="0"/>
              <w:rPr>
                <w:sz w:val="14"/>
                <w:szCs w:val="14"/>
                <w:color w:val="auto"/>
              </w:rPr>
            </w:pPr>
          </w:p>
        </w:tc>
        <w:tc>
          <w:tcPr>
            <w:tcW w:w="5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0.98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(0.83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6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Diluted net loss from discontinued operations attributable to FNF common shareholde rs</w:t>
            </w:r>
          </w:p>
        </w:tc>
        <w:tc>
          <w:tcPr>
            <w:tcW w:w="5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59"/>
        </w:trPr>
        <w:tc>
          <w:tcPr>
            <w:tcW w:w="63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161"/>
              <w:spacing w:after="0"/>
              <w:rPr>
                <w:sz w:val="20"/>
                <w:szCs w:val="20"/>
                <w:color w:val="auto"/>
              </w:rPr>
            </w:pPr>
            <w:r>
              <w:rPr>
                <w:rFonts w:ascii="Arial" w:cs="Arial" w:eastAsia="Arial" w:hAnsi="Arial"/>
                <w:sz w:val="12"/>
                <w:szCs w:val="12"/>
                <w:color w:val="auto"/>
              </w:rPr>
              <w:t>&lt;</w:t>
            </w:r>
          </w:p>
        </w:tc>
        <w:tc>
          <w:tcPr>
            <w:tcW w:w="28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r>
      <w:tr>
        <w:trPr>
          <w:trHeight w:val="178"/>
        </w:trPr>
        <w:tc>
          <w:tcPr>
            <w:tcW w:w="6320" w:type="dxa"/>
            <w:vAlign w:val="bottom"/>
          </w:tcPr>
          <w:p>
            <w:pPr>
              <w:ind w:left="220"/>
              <w:spacing w:after="0"/>
              <w:rPr>
                <w:sz w:val="20"/>
                <w:szCs w:val="20"/>
                <w:color w:val="auto"/>
              </w:rPr>
            </w:pPr>
            <w:r>
              <w:rPr>
                <w:rFonts w:ascii="Arial" w:cs="Arial" w:eastAsia="Arial" w:hAnsi="Arial"/>
                <w:sz w:val="12"/>
                <w:szCs w:val="12"/>
                <w:color w:val="auto"/>
              </w:rPr>
              <w:t>Diluted earnings (loss) per share attributable to FNF common shareholders</w:t>
            </w: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1.61/td&gt;</w:t>
            </w:r>
          </w:p>
        </w:tc>
        <w:tc>
          <w:tcPr>
            <w:tcW w:w="280" w:type="dxa"/>
            <w:vAlign w:val="bottom"/>
          </w:tcPr>
          <w:p>
            <w:pPr>
              <w:spacing w:after="0"/>
              <w:rPr>
                <w:sz w:val="15"/>
                <w:szCs w:val="15"/>
                <w:color w:val="auto"/>
              </w:rPr>
            </w:pPr>
          </w:p>
        </w:tc>
        <w:tc>
          <w:tcPr>
            <w:tcW w:w="54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0.97</w:t>
            </w:r>
          </w:p>
        </w:tc>
        <w:tc>
          <w:tcPr>
            <w:tcW w:w="1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(0.85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For the years ended December 31, 2010, 2009, and 2008, options to purchase 12.6 million shares, 10.2 million shares and 23.2 million shares, respectively, of our common stock were excluded from the computation of diluted earnings per share because they were anti-dilutive.</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Transactions with Related Parties</w:t>
      </w:r>
    </w:p>
    <w:p>
      <w:pPr>
        <w:spacing w:after="0" w:line="51"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We have historically conducted business with FIS and its subsidiaries. On July 2, 2008, FIS completed the spin-off of its lender processing services segment into a separate publicly traded company, LPS. As part of the spin-off of LPS, a number of the agreements that were previously between FNF and FIS were amended and renegotiated to reflect the revised relationships between FNF and FIS and the new relationships between FNF and LPS. Effective March 15, 2009, William P. Foley, II, retired from his position as an officer and director of LPS. Prior to March 15, 2009, Mr. Foley was the Chairman of the Board of LPS. Also at that time, Daniel D. (Ron) Lane and Cary H. Thompson, retired from the LPS Board of Directors. As a result, as of March 15, 2009, LPS is no longer a related party and activity between FNF and LPS subsequent to that date is not included in our disclosures of transactions with related parties.</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Agreements with FIS</w:t>
      </w:r>
    </w:p>
    <w:p>
      <w:pPr>
        <w:spacing w:after="0" w:line="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summary of the agreements that were in effect with FIS through December 31, 2010, is as follows:</w:t>
      </w:r>
    </w:p>
    <w:p>
      <w:pPr>
        <w:spacing w:after="0" w:line="51" w:lineRule="exact"/>
        <w:rPr>
          <w:sz w:val="20"/>
          <w:szCs w:val="20"/>
          <w:color w:val="auto"/>
        </w:rPr>
      </w:pPr>
    </w:p>
    <w:p>
      <w:pPr>
        <w:ind w:left="800" w:hanging="159"/>
        <w:spacing w:after="0" w:line="299" w:lineRule="auto"/>
        <w:tabs>
          <w:tab w:leader="none" w:pos="1016" w:val="left"/>
        </w:tabs>
        <w:numPr>
          <w:ilvl w:val="0"/>
          <w:numId w:val="30"/>
        </w:numPr>
        <w:rPr>
          <w:rFonts w:ascii="Arial" w:cs="Arial" w:eastAsia="Arial" w:hAnsi="Arial"/>
          <w:sz w:val="11"/>
          <w:szCs w:val="11"/>
          <w:color w:val="auto"/>
        </w:rPr>
      </w:pPr>
      <w:r>
        <w:rPr>
          <w:rFonts w:ascii="Arial" w:cs="Arial" w:eastAsia="Arial" w:hAnsi="Arial"/>
          <w:sz w:val="11"/>
          <w:szCs w:val="11"/>
          <w:color w:val="auto"/>
        </w:rPr>
        <w:t>Technology (“IT”) and data processing services from FIS. These agreements govern IT support services provided to us by FIS, primarily consisting of infrastructure support and data center management. Subject to certain early termination provisions (including the payment of minimum monthly service and termination fe es), the agreement expires on or about June 30, 2013 with an option to renew for one or two additional years.</w:t>
      </w:r>
    </w:p>
    <w:p>
      <w:pPr>
        <w:ind w:left="1020" w:hanging="379"/>
        <w:spacing w:after="0"/>
        <w:tabs>
          <w:tab w:leader="none" w:pos="1020" w:val="left"/>
        </w:tabs>
        <w:numPr>
          <w:ilvl w:val="0"/>
          <w:numId w:val="30"/>
        </w:numPr>
        <w:rPr>
          <w:rFonts w:ascii="Arial" w:cs="Arial" w:eastAsia="Arial" w:hAnsi="Arial"/>
          <w:sz w:val="10"/>
          <w:szCs w:val="10"/>
          <w:color w:val="auto"/>
        </w:rPr>
      </w:pPr>
      <w:r>
        <w:rPr>
          <w:rFonts w:ascii="Arial" w:cs="Arial" w:eastAsia="Arial" w:hAnsi="Arial"/>
          <w:sz w:val="10"/>
          <w:szCs w:val="10"/>
          <w:color w:val="auto"/>
        </w:rPr>
        <w:t>Administrative corporate support and cost-sharing services to and from FIS. We have provided certain administrative corporate support services such as corporate aviation and other administrative support services to</w:t>
      </w:r>
    </w:p>
    <w:p>
      <w:pPr>
        <w:spacing w:after="0" w:line="37" w:lineRule="exact"/>
        <w:rPr>
          <w:rFonts w:ascii="Arial" w:cs="Arial" w:eastAsia="Arial" w:hAnsi="Arial"/>
          <w:sz w:val="10"/>
          <w:szCs w:val="10"/>
          <w:color w:val="auto"/>
        </w:rPr>
      </w:pPr>
    </w:p>
    <w:p>
      <w:pPr>
        <w:ind w:left="800"/>
        <w:spacing w:after="0"/>
        <w:rPr>
          <w:rFonts w:ascii="Arial" w:cs="Arial" w:eastAsia="Arial" w:hAnsi="Arial"/>
          <w:sz w:val="10"/>
          <w:szCs w:val="10"/>
          <w:color w:val="auto"/>
        </w:rPr>
      </w:pPr>
      <w:r>
        <w:rPr>
          <w:rFonts w:ascii="Arial" w:cs="Arial" w:eastAsia="Arial" w:hAnsi="Arial"/>
          <w:sz w:val="12"/>
          <w:szCs w:val="12"/>
          <w:color w:val="auto"/>
        </w:rPr>
        <w:t>FIS.</w:t>
      </w:r>
    </w:p>
    <w:p>
      <w:pPr>
        <w:spacing w:after="0" w:line="24" w:lineRule="exact"/>
        <w:rPr>
          <w:rFonts w:ascii="Arial" w:cs="Arial" w:eastAsia="Arial" w:hAnsi="Arial"/>
          <w:sz w:val="10"/>
          <w:szCs w:val="10"/>
          <w:color w:val="auto"/>
        </w:rPr>
      </w:pPr>
    </w:p>
    <w:p>
      <w:pPr>
        <w:ind w:left="800" w:hanging="159"/>
        <w:spacing w:after="0" w:line="380" w:lineRule="auto"/>
        <w:tabs>
          <w:tab w:leader="none" w:pos="1016" w:val="left"/>
        </w:tabs>
        <w:numPr>
          <w:ilvl w:val="0"/>
          <w:numId w:val="30"/>
        </w:numPr>
        <w:rPr>
          <w:rFonts w:ascii="Arial" w:cs="Arial" w:eastAsia="Arial" w:hAnsi="Arial"/>
          <w:sz w:val="10"/>
          <w:szCs w:val="10"/>
          <w:color w:val="auto"/>
        </w:rPr>
      </w:pPr>
      <w:r>
        <w:rPr>
          <w:rFonts w:ascii="Arial" w:cs="Arial" w:eastAsia="Arial" w:hAnsi="Arial"/>
          <w:sz w:val="10"/>
          <w:szCs w:val="10"/>
          <w:color w:val="auto"/>
        </w:rPr>
        <w:t>Real estate management, real estate lease and equipment lease agreements. Included in our revenues are amounts received related to leases of certain equipment to FIS and the sublease of certain office space, furniture and furnishings to FIS. A majority of the leases of equipment to FIS were between FN Capital and FIS and the related receipts are no longer revenue to us subsequent to the sale of FN Capital on September 25, 2009.</w:t>
      </w:r>
    </w:p>
    <w:p>
      <w:pPr>
        <w:sectPr>
          <w:pgSz w:w="11900" w:h="16838" w:orient="portrait"/>
          <w:cols w:equalWidth="0" w:num="1">
            <w:col w:w="11480"/>
          </w:cols>
          <w:pgMar w:left="220" w:top="131" w:right="199" w:bottom="1440" w:gutter="0" w:footer="0" w:header="0"/>
        </w:sectPr>
      </w:pPr>
    </w:p>
    <w:bookmarkStart w:id="61" w:name="page62"/>
    <w:bookmarkEnd w:id="61"/>
    <w:p>
      <w:pPr>
        <w:ind w:left="41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detail of related party items between us and FIS that were included in revenues and expenses for the periods presented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7"/>
              </w:rPr>
              <w:t>Year Ended December 31,</w:t>
            </w:r>
          </w:p>
        </w:tc>
        <w:tc>
          <w:tcPr>
            <w:tcW w:w="5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169"/>
        </w:trPr>
        <w:tc>
          <w:tcPr>
            <w:tcW w:w="64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2009</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auto"/>
            </w:tcBorders>
          </w:tcPr>
          <w:p>
            <w:pPr>
              <w:spacing w:after="0"/>
              <w:rPr>
                <w:sz w:val="14"/>
                <w:szCs w:val="14"/>
                <w:color w:val="auto"/>
              </w:rPr>
            </w:pPr>
          </w:p>
        </w:tc>
      </w:tr>
      <w:tr>
        <w:trPr>
          <w:trHeight w:val="124"/>
        </w:trPr>
        <w:tc>
          <w:tcPr>
            <w:tcW w:w="6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(In millions)</w:t>
            </w: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4"/>
        </w:trPr>
        <w:tc>
          <w:tcPr>
            <w:tcW w:w="6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Rental revenue</w:t>
            </w:r>
          </w:p>
        </w:tc>
        <w:tc>
          <w:tcPr>
            <w:tcW w:w="980" w:type="dxa"/>
            <w:vAlign w:val="bottom"/>
            <w:shd w:val="clear" w:color="auto" w:fill="CCEEFF"/>
          </w:tcPr>
          <w:p>
            <w:pPr>
              <w:jc w:val="right"/>
              <w:ind w:right="64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260" w:type="dxa"/>
            <w:vAlign w:val="bottom"/>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15.8</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25.5</w:t>
            </w:r>
          </w:p>
        </w:tc>
        <w:tc>
          <w:tcPr>
            <w:tcW w:w="180" w:type="dxa"/>
            <w:vAlign w:val="bottom"/>
            <w:shd w:val="clear" w:color="auto" w:fill="CCEEFF"/>
          </w:tcPr>
          <w:p>
            <w:pPr>
              <w:spacing w:after="0"/>
              <w:rPr>
                <w:sz w:val="16"/>
                <w:szCs w:val="16"/>
                <w:color w:val="auto"/>
              </w:rPr>
            </w:pPr>
          </w:p>
        </w:tc>
      </w:tr>
      <w:tr>
        <w:trPr>
          <w:trHeight w:val="171"/>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Corporate services and cost-sharing</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3.7</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color w:val="auto"/>
              </w:rPr>
              <w:t>2.1</w:t>
            </w: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96"/>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revenues</w:t>
            </w:r>
          </w:p>
        </w:tc>
        <w:tc>
          <w:tcPr>
            <w:tcW w:w="98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4.5</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2"/>
                <w:szCs w:val="12"/>
                <w:color w:val="auto"/>
              </w:rPr>
              <w:t>17.9</w:t>
            </w: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21.4</w:t>
            </w:r>
          </w:p>
        </w:tc>
        <w:tc>
          <w:tcPr>
            <w:tcW w:w="180" w:type="dxa"/>
            <w:vAlign w:val="bottom"/>
            <w:tcBorders>
              <w:bottom w:val="single" w:sz="8" w:color="auto"/>
            </w:tcBorders>
            <w:shd w:val="clear" w:color="auto" w:fill="CCEEFF"/>
          </w:tcPr>
          <w:p>
            <w:pPr>
              <w:spacing w:after="0"/>
              <w:rPr>
                <w:sz w:val="17"/>
                <w:szCs w:val="17"/>
                <w:color w:val="auto"/>
              </w:rPr>
            </w:pPr>
          </w:p>
        </w:tc>
      </w:tr>
      <w:tr>
        <w:trPr>
          <w:trHeight w:val="176"/>
        </w:trPr>
        <w:tc>
          <w:tcPr>
            <w:tcW w:w="6420" w:type="dxa"/>
            <w:vAlign w:val="bottom"/>
          </w:tcPr>
          <w:p>
            <w:pPr>
              <w:ind w:left="220"/>
              <w:spacing w:after="0"/>
              <w:rPr>
                <w:sz w:val="20"/>
                <w:szCs w:val="20"/>
                <w:color w:val="auto"/>
              </w:rPr>
            </w:pPr>
            <w:r>
              <w:rPr>
                <w:rFonts w:ascii="Arial" w:cs="Arial" w:eastAsia="Arial" w:hAnsi="Arial"/>
                <w:sz w:val="12"/>
                <w:szCs w:val="12"/>
                <w:color w:val="auto"/>
              </w:rPr>
              <w:t>Data processing costs</w:t>
            </w:r>
          </w:p>
        </w:tc>
        <w:tc>
          <w:tcPr>
            <w:tcW w:w="98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w w:val="93"/>
              </w:rPr>
              <w:t>48.1</w:t>
            </w:r>
          </w:p>
        </w:tc>
        <w:tc>
          <w:tcPr>
            <w:tcW w:w="2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2"/>
                <w:szCs w:val="12"/>
                <w:color w:val="auto"/>
              </w:rPr>
              <w:t>47.4</w:t>
            </w:r>
          </w:p>
        </w:tc>
        <w:tc>
          <w:tcPr>
            <w:tcW w:w="2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42.6</w:t>
            </w:r>
          </w:p>
        </w:tc>
        <w:tc>
          <w:tcPr>
            <w:tcW w:w="180" w:type="dxa"/>
            <w:vAlign w:val="bottom"/>
            <w:tcBorders>
              <w:top w:val="single" w:sz="8" w:color="auto"/>
              <w:bottom w:val="single" w:sz="8" w:color="auto"/>
            </w:tcBorders>
          </w:tcPr>
          <w:p>
            <w:pPr>
              <w:spacing w:after="0"/>
              <w:rPr>
                <w:sz w:val="15"/>
                <w:szCs w:val="15"/>
                <w:color w:val="auto"/>
              </w:rPr>
            </w:pPr>
          </w:p>
        </w:tc>
      </w:tr>
    </w:tbl>
    <w:p>
      <w:pPr>
        <w:spacing w:after="0" w:line="36" w:lineRule="exact"/>
        <w:rPr>
          <w:sz w:val="20"/>
          <w:szCs w:val="20"/>
          <w:color w:val="auto"/>
        </w:rPr>
      </w:pPr>
    </w:p>
    <w:p>
      <w:pPr>
        <w:jc w:val="both"/>
        <w:ind w:firstLine="216"/>
        <w:spacing w:after="0" w:line="332" w:lineRule="auto"/>
        <w:rPr>
          <w:sz w:val="20"/>
          <w:szCs w:val="20"/>
          <w:color w:val="auto"/>
        </w:rPr>
      </w:pPr>
      <w:r>
        <w:rPr>
          <w:rFonts w:ascii="Arial" w:cs="Arial" w:eastAsia="Arial" w:hAnsi="Arial"/>
          <w:sz w:val="10"/>
          <w:szCs w:val="10"/>
          <w:color w:val="auto"/>
        </w:rPr>
        <w:t>We believe the amounts we earned or were charged under each of the foregoing arrangements are fair and reasonable. The information technology infrastructure support and data center management services provided to us are priced within the range of prices that FIS offers to its unaffiliated third party customers for the same type s of services. However, the amounts FNF earned or was charged under these arrangements were not negotiated at arm’s-length, and may not represent the terms that we might have obtained from an unrelated third party. The net amounts due to FIS as a result of these agreements were $8.3 million and $6.9 million as of December 31, 2010 and 2009, respectively.</w:t>
      </w:r>
    </w:p>
    <w:p>
      <w:pPr>
        <w:jc w:val="both"/>
        <w:ind w:firstLine="216"/>
        <w:spacing w:after="0" w:line="290" w:lineRule="auto"/>
        <w:rPr>
          <w:sz w:val="20"/>
          <w:szCs w:val="20"/>
          <w:color w:val="auto"/>
        </w:rPr>
      </w:pPr>
      <w:r>
        <w:rPr>
          <w:rFonts w:ascii="Arial" w:cs="Arial" w:eastAsia="Arial" w:hAnsi="Arial"/>
          <w:sz w:val="11"/>
          <w:szCs w:val="11"/>
          <w:color w:val="auto"/>
        </w:rPr>
        <w:t>On October 1, 2009, pursuant to an investment agreement between us and FIS dated March 31, 2009 (the “Investment Agreement”), we invested a total of $50.0 million in FIS common stock in connection with a merger between FIS and Metavante Technologies, Inc. Under the terms of the Investment Agreement, we purchased 3,215,434 shares of FIS’s common stock at a price of $15.55 per share. Additionally, we received a transaction fee of $1.5 million from FIS. During the third quarter of 2010, we sold 1,611,574 shares as part of a tender offer by FIS at $29.00 per share for a realized gain of $21.7 million. The fair value of this investment is $43.9 million and $75.4 million as of December 31, 2010 and 2009, respectively, and is recorded in equity securities. Changes in fair value of the FIS stock are recorded as other comprehensive earnings.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Agreements with LPS</w:t>
      </w:r>
    </w:p>
    <w:p>
      <w:pPr>
        <w:spacing w:after="0" w:line="51"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As noted above, prior to March 15, 2009, LPS was a related party to us. Agreements with LPS for title agency and other services were in eff ect at that time. As a result of related party transactions, as of December 31, 2008, we owed $3.1 million to LPS. A detail of related party revenues and expenses between FNF and LPS are as follows and include results of transactions prior to July 2, 2008, when LPS was a subsidiary of FIS. For the year ended December 31, 2008, we recorded agency title premiums of $212.3 million and $84.2 million for the period from January 1 through March 15, 2009. We recorded agency title commissions of $187.9 million for the year ended December 31, 2008 and $73.8 million for the period from January 1 through March 15, 2009. We recorded other revenue of $8.4 million for the year ended December 31, 2008 and $4.9 million for the period from January 1 through March 15, 2009. Other operating expenses relating to agreements with LPS were $66.5 million for the year ended December 31, 2008 and $18.9 million for the period from January 1 through March 15, 2009.</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Stock-Based Compensation Plans</w:t>
      </w:r>
    </w:p>
    <w:p>
      <w:pPr>
        <w:spacing w:after="0" w:line="5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2"/>
          <w:szCs w:val="12"/>
          <w:color w:val="auto"/>
        </w:rPr>
        <w:t>We account for stock-based compensation plans using the fair value method. Using the fair value method of accounting, compensation cost is measured based on the fair value of the award at the grant date and recognized over the service period.</w:t>
      </w:r>
    </w:p>
    <w:p>
      <w:pPr>
        <w:ind w:left="200"/>
        <w:spacing w:after="0"/>
        <w:rPr>
          <w:sz w:val="20"/>
          <w:szCs w:val="20"/>
          <w:color w:val="auto"/>
        </w:rPr>
      </w:pPr>
      <w:r>
        <w:rPr>
          <w:rFonts w:ascii="Arial" w:cs="Arial" w:eastAsia="Arial" w:hAnsi="Arial"/>
          <w:sz w:val="12"/>
          <w:szCs w:val="12"/>
          <w:b w:val="1"/>
          <w:bCs w:val="1"/>
          <w:i w:val="1"/>
          <w:iCs w:val="1"/>
          <w:color w:val="auto"/>
        </w:rPr>
        <w:t>&amp;n bsp;</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Foreign Currency Translation</w:t>
      </w:r>
    </w:p>
    <w:p>
      <w:pPr>
        <w:spacing w:after="0" w:line="4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functional currency for our foreign operations is either the U.S. Dollar or the local currency. For foreign operations where the local currency is the functional currency, the translation of foreign currencies into U.S. Dollars is performed for balance sheet accounts using exchange rates in effect at the balance sheet date and for revenue and expense accounts using a weighted average exchange rate during the period. The unrealized gains and losses resulting from the translation are included in accumulated other comprehe nsive earnings in the Consolidated Statements of Equity and are excluded from net earnings. Gains or losses resulting from foreign currency transactions are included in realized gains and losses and are insignificant in 2010, 2009, and 2008.</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127" w:right="199" w:bottom="1440" w:gutter="0" w:footer="0" w:header="0"/>
        </w:sectPr>
      </w:pPr>
    </w:p>
    <w:bookmarkStart w:id="62" w:name="page63"/>
    <w:bookmarkEnd w:id="62"/>
    <w:p>
      <w:pPr>
        <w:ind w:left="41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Management Estimates</w:t>
      </w:r>
    </w:p>
    <w:p>
      <w:pPr>
        <w:spacing w:after="0" w:line="15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The preparation of these Consolidated Financial Statements in conformity with U.S. generally accepted accounting principles requires us to make estimates and assumptions that affect the reported amounts of assets and liabilities and disclosure of contingent assets and liabilities at the date of the Consolidated Financial Stateme nts and the reported amounts of revenues and expenses during the reporting period. Actual results could differ from those estimates.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Certain Reclassifications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Certain reclassifications have been made in the 2009 and 2008 Consolidated Financial Statements to conform to the classifications used in 2010.</w:t>
      </w:r>
    </w:p>
    <w:p>
      <w:pPr>
        <w:spacing w:after="0" w:line="14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Note B.</w:t>
      </w:r>
      <w:r>
        <w:rPr>
          <w:sz w:val="20"/>
          <w:szCs w:val="20"/>
          <w:color w:val="auto"/>
        </w:rPr>
        <w:tab/>
      </w:r>
      <w:r>
        <w:rPr>
          <w:rFonts w:ascii="Arial" w:cs="Arial" w:eastAsia="Arial" w:hAnsi="Arial"/>
          <w:sz w:val="10"/>
          <w:szCs w:val="10"/>
          <w:b w:val="1"/>
          <w:bCs w:val="1"/>
          <w:color w:val="auto"/>
        </w:rPr>
        <w:t>Acquisitions</w:t>
      </w:r>
    </w:p>
    <w:p>
      <w:pPr>
        <w:spacing w:after="0" w:line="154"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The results of operations and financial position of the entities acquired during any year are included in the Consolidated Financial Statements from and after the date of acquisition. Based on our valuation, any differences between the fair value of the identifiable assets and liabilities and the purchase price paid are recorded as goodwill. The only significant acquisitions in the three years ended December 31, 2010, were the acquisitions of certain underwriters from LandAmerica Financial Group, Inc. (“LFG”) in 2008. On December 22, 2008, we completed the acquisition of LFG's two principal title insurance underwrit ers, Commonwealth Land Title Insurance Company (“Commonwealth”) and Lawyers Title Insurance Corporation (“Lawyers”), as well as United Capital Title Insurance Company (“United”) (collectively, the “LFG Underwriters”). The total purchase price for the LFG Underwriters was $258.9 million, net of cash acquired of $5.9 million, and was comprised of $153.9 million paid by two of our title insurance underwriters, Fidelity National Title Insurance Company and Chicago Title Insurance Company, a $50.0 million subordinated note, which was paid in full during 2010, $50.0 million in FNF common stock (3,176,620 shares valued at $15.74 per share at the time of closing) and $5.0 million in transaction costs.</w:t>
      </w:r>
    </w:p>
    <w:p>
      <w:pPr>
        <w:spacing w:after="0" w:line="47"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Note C.</w:t>
      </w:r>
      <w:r>
        <w:rPr>
          <w:sz w:val="20"/>
          <w:szCs w:val="20"/>
          <w:color w:val="auto"/>
        </w:rPr>
        <w:tab/>
      </w:r>
      <w:r>
        <w:rPr>
          <w:rFonts w:ascii="Arial" w:cs="Arial" w:eastAsia="Arial" w:hAnsi="Arial"/>
          <w:sz w:val="10"/>
          <w:szCs w:val="10"/>
          <w:b w:val="1"/>
          <w:bCs w:val="1"/>
          <w:color w:val="auto"/>
        </w:rPr>
        <w:t>Fair Value Measurements</w:t>
      </w:r>
    </w:p>
    <w:p>
      <w:pPr>
        <w:spacing w:after="0" w:line="8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 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Financial assets and liabilities whose values are based on unadjusted quoted prices for identical assets or liabilities in an active market that we have the ability to access.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i w:val="1"/>
          <w:iCs w:val="1"/>
          <w:color w:val="auto"/>
        </w:rPr>
        <w:t xml:space="preserve">Level 2. </w:t>
      </w:r>
      <w:r>
        <w:rPr>
          <w:rFonts w:ascii="Arial" w:cs="Arial" w:eastAsia="Arial" w:hAnsi="Arial"/>
          <w:sz w:val="11"/>
          <w:szCs w:val="11"/>
          <w:color w:val="auto"/>
        </w:rPr>
        <w:t>Financial assets and liabilities whose values are based on quoted prices in markets that are not active or model inputs that are observable either directly or indirectly for substantially the full term of the asset or liability.</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Financial assets and liabilities whose values are based on model inputs that are unobs 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&amp;nbs p;</w:t>
      </w:r>
    </w:p>
    <w:p>
      <w:pPr>
        <w:spacing w:after="0" w:line="5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127" w:right="199" w:bottom="1440" w:gutter="0" w:footer="0" w:header="0"/>
        </w:sectPr>
      </w:pPr>
    </w:p>
    <w:bookmarkStart w:id="63" w:name="page64"/>
    <w:bookmarkEnd w:id="63"/>
    <w:p>
      <w:pPr>
        <w:ind w:left="41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our fair value hierarchy for those assets measured at fair value on a recurring basis as of December 31, 2010 and 2009, respectively: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0"/>
                <w:szCs w:val="10"/>
                <w:b w:val="1"/>
                <w:bCs w:val="1"/>
                <w:color w:val="auto"/>
                <w:w w:val="86"/>
              </w:rPr>
              <w:t>December 31, 2010</w:t>
            </w: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rPr>
              <w:t>Level 1</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0"/>
                <w:szCs w:val="10"/>
                <w:b w:val="1"/>
                <w:bCs w:val="1"/>
                <w:color w:val="auto"/>
              </w:rPr>
              <w:t>Level 2</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Level 3</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0"/>
                <w:szCs w:val="10"/>
                <w:b w:val="1"/>
                <w:bCs w:val="1"/>
                <w:color w:val="auto"/>
                <w:w w:val="89"/>
              </w:rPr>
              <w:t>(In millions)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Fixed-maturity securities (available for sale):</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800" w:type="dxa"/>
            <w:vAlign w:val="bottom"/>
          </w:tcPr>
          <w:p>
            <w:pPr>
              <w:ind w:left="380"/>
              <w:spacing w:after="0"/>
              <w:rPr>
                <w:sz w:val="20"/>
                <w:szCs w:val="20"/>
                <w:color w:val="auto"/>
              </w:rPr>
            </w:pPr>
            <w:r>
              <w:rPr>
                <w:rFonts w:ascii="Arial" w:cs="Arial" w:eastAsia="Arial" w:hAnsi="Arial"/>
                <w:sz w:val="12"/>
                <w:szCs w:val="12"/>
                <w:color w:val="auto"/>
              </w:rPr>
              <w:t>U.S. government and agencies</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0" w:type="dxa"/>
            <w:vAlign w:val="bottom"/>
          </w:tcPr>
          <w:p>
            <w:pPr>
              <w:ind w:left="180"/>
              <w:spacing w:after="0"/>
              <w:rPr>
                <w:sz w:val="20"/>
                <w:szCs w:val="20"/>
                <w:color w:val="auto"/>
              </w:rPr>
            </w:pPr>
            <w:r>
              <w:rPr>
                <w:rFonts w:ascii="Arial" w:cs="Arial" w:eastAsia="Arial" w:hAnsi="Arial"/>
                <w:sz w:val="12"/>
                <w:szCs w:val="12"/>
                <w:color w:val="auto"/>
              </w:rPr>
              <w:t>&lt; /td&gt;</w:t>
            </w:r>
          </w:p>
        </w:tc>
        <w:tc>
          <w:tcPr>
            <w:tcW w:w="4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4"/>
              <w:spacing w:after="0"/>
              <w:rPr>
                <w:sz w:val="20"/>
                <w:szCs w:val="20"/>
                <w:color w:val="auto"/>
              </w:rPr>
            </w:pPr>
            <w:r>
              <w:rPr>
                <w:rFonts w:ascii="Arial" w:cs="Arial" w:eastAsia="Arial" w:hAnsi="Arial"/>
                <w:sz w:val="12"/>
                <w:szCs w:val="12"/>
                <w:color w:val="auto"/>
              </w:rPr>
              <w:t>313.5</w:t>
            </w:r>
          </w:p>
        </w:tc>
        <w:tc>
          <w:tcPr>
            <w:tcW w:w="8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96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313.5</w:t>
            </w: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State and political subdivisions</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4"/>
              <w:spacing w:after="0"/>
              <w:rPr>
                <w:sz w:val="20"/>
                <w:szCs w:val="20"/>
                <w:color w:val="auto"/>
              </w:rPr>
            </w:pPr>
            <w:r>
              <w:rPr>
                <w:rFonts w:ascii="Arial" w:cs="Arial" w:eastAsia="Arial" w:hAnsi="Arial"/>
                <w:sz w:val="12"/>
                <w:szCs w:val="12"/>
                <w:color w:val="auto"/>
              </w:rPr>
              <w:t>1,374.0</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1,374.0</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00" w:type="dxa"/>
            <w:vAlign w:val="bottom"/>
          </w:tcPr>
          <w:p>
            <w:pPr>
              <w:ind w:left="380"/>
              <w:spacing w:after="0"/>
              <w:rPr>
                <w:sz w:val="20"/>
                <w:szCs w:val="20"/>
                <w:color w:val="auto"/>
              </w:rPr>
            </w:pPr>
            <w:r>
              <w:rPr>
                <w:rFonts w:ascii="Arial" w:cs="Arial" w:eastAsia="Arial" w:hAnsi="Arial"/>
                <w:sz w:val="12"/>
                <w:szCs w:val="12"/>
                <w:color w:val="auto"/>
              </w:rPr>
              <w:t>Corporate debt securities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jc w:val="right"/>
              <w:ind w:right="44"/>
              <w:spacing w:after="0"/>
              <w:rPr>
                <w:sz w:val="20"/>
                <w:szCs w:val="20"/>
                <w:color w:val="auto"/>
              </w:rPr>
            </w:pPr>
            <w:r>
              <w:rPr>
                <w:rFonts w:ascii="Arial" w:cs="Arial" w:eastAsia="Arial" w:hAnsi="Arial"/>
                <w:sz w:val="12"/>
                <w:szCs w:val="12"/>
                <w:color w:val="auto"/>
              </w:rPr>
              <w:t>1,532.7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1,532.7</w:t>
            </w: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Foreign government bonds</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4"/>
              <w:spacing w:after="0"/>
              <w:rPr>
                <w:sz w:val="20"/>
                <w:szCs w:val="20"/>
                <w:color w:val="auto"/>
              </w:rPr>
            </w:pPr>
            <w:r>
              <w:rPr>
                <w:rFonts w:ascii="Arial" w:cs="Arial" w:eastAsia="Arial" w:hAnsi="Arial"/>
                <w:sz w:val="12"/>
                <w:szCs w:val="12"/>
                <w:color w:val="auto"/>
              </w:rPr>
              <w:t>80.6</w:t>
            </w:r>
          </w:p>
        </w:tc>
        <w:tc>
          <w:tcPr>
            <w:tcW w:w="16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80.6</w:t>
            </w:r>
          </w:p>
        </w:tc>
        <w:tc>
          <w:tcPr>
            <w:tcW w:w="0" w:type="dxa"/>
            <w:vAlign w:val="bottom"/>
          </w:tcPr>
          <w:p>
            <w:pPr>
              <w:spacing w:after="0"/>
              <w:rPr>
                <w:sz w:val="1"/>
                <w:szCs w:val="1"/>
                <w:color w:val="auto"/>
              </w:rPr>
            </w:pPr>
          </w:p>
        </w:tc>
      </w:tr>
      <w:tr>
        <w:trPr>
          <w:trHeight w:val="171"/>
        </w:trPr>
        <w:tc>
          <w:tcPr>
            <w:tcW w:w="4800" w:type="dxa"/>
            <w:vAlign w:val="bottom"/>
          </w:tcPr>
          <w:p>
            <w:pPr>
              <w:ind w:left="380"/>
              <w:spacing w:after="0"/>
              <w:rPr>
                <w:sz w:val="20"/>
                <w:szCs w:val="20"/>
                <w:color w:val="auto"/>
              </w:rPr>
            </w:pPr>
            <w:r>
              <w:rPr>
                <w:rFonts w:ascii="Arial" w:cs="Arial" w:eastAsia="Arial" w:hAnsi="Arial"/>
                <w:sz w:val="12"/>
                <w:szCs w:val="12"/>
                <w:color w:val="auto"/>
              </w:rPr>
              <w:t>Mortgage-backed/asset-backed securities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jc w:val="right"/>
              <w:ind w:right="44"/>
              <w:spacing w:after="0"/>
              <w:rPr>
                <w:sz w:val="20"/>
                <w:szCs w:val="20"/>
                <w:color w:val="auto"/>
              </w:rPr>
            </w:pPr>
            <w:r>
              <w:rPr>
                <w:rFonts w:ascii="Arial" w:cs="Arial" w:eastAsia="Arial" w:hAnsi="Arial"/>
                <w:sz w:val="12"/>
                <w:szCs w:val="12"/>
                <w:color w:val="auto"/>
              </w:rPr>
              <w:t>184.0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184.0</w:t>
            </w: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fixed-maturity</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71"/>
        </w:trPr>
        <w:tc>
          <w:tcPr>
            <w:tcW w:w="4800" w:type="dxa"/>
            <w:vAlign w:val="bottom"/>
          </w:tcPr>
          <w:p>
            <w:pPr>
              <w:ind w:left="220"/>
              <w:spacing w:after="0"/>
              <w:rPr>
                <w:sz w:val="20"/>
                <w:szCs w:val="20"/>
                <w:color w:val="auto"/>
              </w:rPr>
            </w:pPr>
            <w:r>
              <w:rPr>
                <w:rFonts w:ascii="Arial" w:cs="Arial" w:eastAsia="Arial" w:hAnsi="Arial"/>
                <w:sz w:val="12"/>
                <w:szCs w:val="12"/>
                <w:color w:val="auto"/>
              </w:rPr>
              <w:t>Equity securities available for sale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75.2</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jc w:val="right"/>
              <w:ind w:right="44"/>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75.2</w:t>
            </w:r>
          </w:p>
        </w:tc>
        <w:tc>
          <w:tcPr>
            <w:tcW w:w="0" w:type="dxa"/>
            <w:vAlign w:val="bottom"/>
          </w:tcPr>
          <w:p>
            <w:pPr>
              <w:spacing w:after="0"/>
              <w:rPr>
                <w:sz w:val="1"/>
                <w:szCs w:val="1"/>
                <w:color w:val="auto"/>
              </w:rPr>
            </w:pPr>
          </w:p>
        </w:tc>
      </w:tr>
      <w:tr>
        <w:trPr>
          <w:trHeight w:val="180"/>
        </w:trPr>
        <w:tc>
          <w:tcPr>
            <w:tcW w:w="4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long-term investments</w:t>
            </w: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90.1</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90.1</w:t>
            </w:r>
          </w:p>
        </w:tc>
        <w:tc>
          <w:tcPr>
            <w:tcW w:w="0" w:type="dxa"/>
            <w:vAlign w:val="bottom"/>
          </w:tcPr>
          <w:p>
            <w:pPr>
              <w:spacing w:after="0"/>
              <w:rPr>
                <w:sz w:val="1"/>
                <w:szCs w:val="1"/>
                <w:color w:val="auto"/>
              </w:rPr>
            </w:pPr>
          </w:p>
        </w:tc>
      </w:tr>
      <w:tr>
        <w:trPr>
          <w:trHeight w:val="185"/>
        </w:trPr>
        <w:tc>
          <w:tcPr>
            <w:tcW w:w="4800" w:type="dxa"/>
            <w:vAlign w:val="bottom"/>
          </w:tcPr>
          <w:p>
            <w:pPr>
              <w:ind w:left="220"/>
              <w:spacing w:after="0"/>
              <w:rPr>
                <w:sz w:val="20"/>
                <w:szCs w:val="20"/>
                <w:color w:val="auto"/>
              </w:rPr>
            </w:pPr>
            <w:r>
              <w:rPr>
                <w:rFonts w:ascii="Arial" w:cs="Arial" w:eastAsia="Arial" w:hAnsi="Arial"/>
                <w:sz w:val="12"/>
                <w:szCs w:val="12"/>
                <w:color w:val="auto"/>
              </w:rPr>
              <w:t>Total</w:t>
            </w:r>
          </w:p>
        </w:tc>
        <w:tc>
          <w:tcPr>
            <w:tcW w:w="4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75.2</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4"/>
              <w:spacing w:after="0"/>
              <w:rPr>
                <w:sz w:val="20"/>
                <w:szCs w:val="20"/>
                <w:color w:val="auto"/>
              </w:rPr>
            </w:pPr>
            <w:r>
              <w:rPr>
                <w:rFonts w:ascii="Arial" w:cs="Arial" w:eastAsia="Arial" w:hAnsi="Arial"/>
                <w:sz w:val="12"/>
                <w:szCs w:val="12"/>
                <w:color w:val="auto"/>
              </w:rPr>
              <w:t>3,484.8</w:t>
            </w:r>
          </w:p>
        </w:tc>
        <w:tc>
          <w:tcPr>
            <w:tcW w:w="860" w:type="dxa"/>
            <w:vAlign w:val="bottom"/>
            <w:gridSpan w:val="3"/>
          </w:tcPr>
          <w:p>
            <w:pPr>
              <w:ind w:left="68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99.6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3,659.6</w:t>
            </w:r>
          </w:p>
        </w:tc>
        <w:tc>
          <w:tcPr>
            <w:tcW w:w="0" w:type="dxa"/>
            <w:vAlign w:val="bottom"/>
          </w:tcPr>
          <w:p>
            <w:pPr>
              <w:spacing w:after="0"/>
              <w:rPr>
                <w:sz w:val="1"/>
                <w:szCs w:val="1"/>
                <w:color w:val="auto"/>
              </w:rPr>
            </w:pPr>
          </w:p>
        </w:tc>
      </w:tr>
      <w:tr>
        <w:trPr>
          <w:trHeight w:val="302"/>
        </w:trPr>
        <w:tc>
          <w:tcPr>
            <w:tcW w:w="48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gridSpan w:val="4"/>
          </w:tcPr>
          <w:p>
            <w:pPr>
              <w:jc w:val="right"/>
              <w:ind w:right="341"/>
              <w:spacing w:after="0"/>
              <w:rPr>
                <w:sz w:val="20"/>
                <w:szCs w:val="20"/>
                <w:color w:val="auto"/>
              </w:rPr>
            </w:pPr>
            <w:r>
              <w:rPr>
                <w:rFonts w:ascii="Arial" w:cs="Arial" w:eastAsia="Arial" w:hAnsi="Arial"/>
                <w:sz w:val="10"/>
                <w:szCs w:val="10"/>
                <w:b w:val="1"/>
                <w:bCs w:val="1"/>
                <w:color w:val="auto"/>
                <w:w w:val="84"/>
              </w:rPr>
              <w:t>December 31, 2009</w:t>
            </w:r>
          </w:p>
        </w:tc>
        <w:tc>
          <w:tcPr>
            <w:tcW w:w="7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Level 1</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Level 2</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4"/>
          </w:tcPr>
          <w:p>
            <w:pPr>
              <w:ind w:left="160"/>
              <w:spacing w:after="0"/>
              <w:rPr>
                <w:sz w:val="20"/>
                <w:szCs w:val="20"/>
                <w:color w:val="auto"/>
              </w:rPr>
            </w:pPr>
            <w:r>
              <w:rPr>
                <w:rFonts w:ascii="Arial" w:cs="Arial" w:eastAsia="Arial" w:hAnsi="Arial"/>
                <w:sz w:val="10"/>
                <w:szCs w:val="10"/>
                <w:b w:val="1"/>
                <w:bCs w:val="1"/>
                <w:color w:val="auto"/>
              </w:rPr>
              <w:t>Level 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Borders>
              <w:top w:val="single" w:sz="8" w:color="auto"/>
            </w:tcBorders>
            <w:gridSpan w:val="4"/>
          </w:tcPr>
          <w:p>
            <w:pPr>
              <w:jc w:val="right"/>
              <w:ind w:right="481"/>
              <w:spacing w:after="0"/>
              <w:rPr>
                <w:sz w:val="20"/>
                <w:szCs w:val="20"/>
                <w:color w:val="auto"/>
              </w:rPr>
            </w:pPr>
            <w:r>
              <w:rPr>
                <w:rFonts w:ascii="Arial" w:cs="Arial" w:eastAsia="Arial" w:hAnsi="Arial"/>
                <w:sz w:val="10"/>
                <w:szCs w:val="10"/>
                <w:b w:val="1"/>
                <w:bCs w:val="1"/>
                <w:color w:val="auto"/>
              </w:rPr>
              <w:t>(In millions)</w:t>
            </w: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Fixed-maturity securities (available for sale):</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00" w:type="dxa"/>
            <w:vAlign w:val="bottom"/>
          </w:tcPr>
          <w:p>
            <w:pPr>
              <w:ind w:left="380"/>
              <w:spacing w:after="0"/>
              <w:rPr>
                <w:sz w:val="20"/>
                <w:szCs w:val="20"/>
                <w:color w:val="auto"/>
              </w:rPr>
            </w:pPr>
            <w:r>
              <w:rPr>
                <w:rFonts w:ascii="Arial" w:cs="Arial" w:eastAsia="Arial" w:hAnsi="Arial"/>
                <w:sz w:val="12"/>
                <w:szCs w:val="12"/>
                <w:color w:val="auto"/>
              </w:rPr>
              <w:t>U.S. government and agencies</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409.2</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409.2</w:t>
            </w: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State and political subdivisions</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1,339.4</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1,339.4</w:t>
            </w:r>
          </w:p>
        </w:tc>
        <w:tc>
          <w:tcPr>
            <w:tcW w:w="0" w:type="dxa"/>
            <w:vAlign w:val="bottom"/>
          </w:tcPr>
          <w:p>
            <w:pPr>
              <w:spacing w:after="0"/>
              <w:rPr>
                <w:sz w:val="1"/>
                <w:szCs w:val="1"/>
                <w:color w:val="auto"/>
              </w:rPr>
            </w:pPr>
          </w:p>
        </w:tc>
      </w:tr>
      <w:tr>
        <w:trPr>
          <w:trHeight w:val="171"/>
        </w:trPr>
        <w:tc>
          <w:tcPr>
            <w:tcW w:w="4800" w:type="dxa"/>
            <w:vAlign w:val="bottom"/>
          </w:tcPr>
          <w:p>
            <w:pPr>
              <w:ind w:left="380"/>
              <w:spacing w:after="0"/>
              <w:rPr>
                <w:sz w:val="20"/>
                <w:szCs w:val="20"/>
                <w:color w:val="auto"/>
              </w:rPr>
            </w:pPr>
            <w:r>
              <w:rPr>
                <w:rFonts w:ascii="Arial" w:cs="Arial" w:eastAsia="Arial" w:hAnsi="Arial"/>
                <w:sz w:val="12"/>
                <w:szCs w:val="12"/>
                <w:color w:val="auto"/>
              </w:rPr>
              <w:t>Corporate debt securities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1,379.1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1,379.1</w:t>
            </w:r>
          </w:p>
        </w:tc>
        <w:tc>
          <w:tcPr>
            <w:tcW w:w="0" w:type="dxa"/>
            <w:vAlign w:val="bottom"/>
          </w:tcPr>
          <w:p>
            <w:pPr>
              <w:spacing w:after="0"/>
              <w:rPr>
                <w:sz w:val="1"/>
                <w:szCs w:val="1"/>
                <w:color w:val="auto"/>
              </w:rPr>
            </w:pPr>
          </w:p>
        </w:tc>
      </w:tr>
      <w:tr>
        <w:trPr>
          <w:trHeight w:val="171"/>
        </w:trPr>
        <w:tc>
          <w:tcPr>
            <w:tcW w:w="4800" w:type="dxa"/>
            <w:vAlign w:val="bottom"/>
            <w:vMerge w:val="restart"/>
            <w:shd w:val="clear" w:color="auto" w:fill="CCEEFF"/>
          </w:tcPr>
          <w:p>
            <w:pPr>
              <w:ind w:left="380"/>
              <w:spacing w:after="0"/>
              <w:rPr>
                <w:sz w:val="20"/>
                <w:szCs w:val="20"/>
                <w:color w:val="auto"/>
              </w:rPr>
            </w:pPr>
            <w:r>
              <w:rPr>
                <w:rFonts w:ascii="Arial" w:cs="Arial" w:eastAsia="Arial" w:hAnsi="Arial"/>
                <w:sz w:val="12"/>
                <w:szCs w:val="12"/>
                <w:color w:val="auto"/>
              </w:rPr>
              <w:t>Foreign government bonds</w:t>
            </w: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38.8</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4"/>
                <w:szCs w:val="14"/>
                <w:color w:val="auto"/>
              </w:rPr>
            </w:pPr>
          </w:p>
        </w:tc>
        <w:tc>
          <w:tcPr>
            <w:tcW w:w="22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w w:val="79"/>
              </w:rPr>
              <w:t>bsp;</w:t>
            </w:r>
          </w:p>
        </w:tc>
        <w:tc>
          <w:tcPr>
            <w:tcW w:w="66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&amp;n</w:t>
            </w:r>
          </w:p>
        </w:tc>
        <w:tc>
          <w:tcPr>
            <w:tcW w:w="8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162"/>
        </w:trPr>
        <w:tc>
          <w:tcPr>
            <w:tcW w:w="480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tcPr>
          <w:p>
            <w:pPr>
              <w:ind w:left="380"/>
              <w:spacing w:after="0"/>
              <w:rPr>
                <w:sz w:val="20"/>
                <w:szCs w:val="20"/>
                <w:color w:val="auto"/>
              </w:rPr>
            </w:pPr>
            <w:r>
              <w:rPr>
                <w:rFonts w:ascii="Arial" w:cs="Arial" w:eastAsia="Arial" w:hAnsi="Arial"/>
                <w:sz w:val="12"/>
                <w:szCs w:val="12"/>
                <w:color w:val="auto"/>
              </w:rPr>
              <w:t>Mortgage-backed/asset-backed securities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312.5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312.5</w:t>
            </w:r>
          </w:p>
        </w:tc>
        <w:tc>
          <w:tcPr>
            <w:tcW w:w="0" w:type="dxa"/>
            <w:vAlign w:val="bottom"/>
          </w:tcPr>
          <w:p>
            <w:pPr>
              <w:spacing w:after="0"/>
              <w:rPr>
                <w:sz w:val="1"/>
                <w:szCs w:val="1"/>
                <w:color w:val="auto"/>
              </w:rPr>
            </w:pPr>
          </w:p>
        </w:tc>
      </w:tr>
      <w:tr>
        <w:trPr>
          <w:trHeight w:val="189"/>
        </w:trPr>
        <w:tc>
          <w:tcPr>
            <w:tcW w:w="48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fixed-maturity</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21"/>
              <w:spacing w:after="0"/>
              <w:rPr>
                <w:sz w:val="20"/>
                <w:szCs w:val="20"/>
                <w:color w:val="auto"/>
              </w:rPr>
            </w:pPr>
            <w:r>
              <w:rPr>
                <w:rFonts w:ascii="Arial" w:cs="Arial" w:eastAsia="Arial" w:hAnsi="Arial"/>
                <w:sz w:val="12"/>
                <w:szCs w:val="12"/>
                <w:color w:val="auto"/>
              </w:rPr>
              <w:t>45.2</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&lt; font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4"/>
          </w:tcPr>
          <w:p>
            <w:pPr>
              <w:ind w:left="240"/>
              <w:spacing w:after="0"/>
              <w:rPr>
                <w:sz w:val="20"/>
                <w:szCs w:val="20"/>
                <w:color w:val="auto"/>
              </w:rPr>
            </w:pPr>
            <w:r>
              <w:rPr>
                <w:rFonts w:ascii="Arial" w:cs="Arial" w:eastAsia="Arial" w:hAnsi="Arial"/>
                <w:sz w:val="12"/>
                <w:szCs w:val="12"/>
                <w:color w:val="auto"/>
              </w:rPr>
              <w:t>style="font-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4"/>
          </w:tcPr>
          <w:p>
            <w:pPr>
              <w:ind w:left="240"/>
              <w:spacing w:after="0" w:line="126" w:lineRule="exact"/>
              <w:rPr>
                <w:sz w:val="20"/>
                <w:szCs w:val="20"/>
                <w:color w:val="auto"/>
              </w:rPr>
            </w:pPr>
            <w:r>
              <w:rPr>
                <w:rFonts w:ascii="Arial" w:cs="Arial" w:eastAsia="Arial" w:hAnsi="Arial"/>
                <w:sz w:val="12"/>
                <w:szCs w:val="12"/>
                <w:color w:val="auto"/>
              </w:rPr>
              <w:t>family:inherit;font-</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tcPr>
          <w:p>
            <w:pPr>
              <w:ind w:left="220"/>
              <w:spacing w:after="0"/>
              <w:rPr>
                <w:sz w:val="20"/>
                <w:szCs w:val="20"/>
                <w:color w:val="auto"/>
              </w:rPr>
            </w:pPr>
            <w:r>
              <w:rPr>
                <w:rFonts w:ascii="Arial" w:cs="Arial" w:eastAsia="Arial" w:hAnsi="Arial"/>
                <w:sz w:val="12"/>
                <w:szCs w:val="12"/>
                <w:color w:val="auto"/>
              </w:rPr>
              <w:t>Equity securities available for sale</w:t>
            </w:r>
          </w:p>
        </w:tc>
        <w:tc>
          <w:tcPr>
            <w:tcW w:w="4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92.5</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4"/>
          </w:tcPr>
          <w:p>
            <w:pPr>
              <w:ind w:left="120"/>
              <w:spacing w:after="0"/>
              <w:rPr>
                <w:sz w:val="20"/>
                <w:szCs w:val="20"/>
                <w:color w:val="auto"/>
              </w:rPr>
            </w:pPr>
            <w:r>
              <w:rPr>
                <w:rFonts w:ascii="Arial" w:cs="Arial" w:eastAsia="Arial" w:hAnsi="Arial"/>
                <w:sz w:val="12"/>
                <w:szCs w:val="12"/>
                <w:color w:val="auto"/>
              </w:rPr>
              <w:t>—size:10pt;"&gt;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92.5</w:t>
            </w:r>
          </w:p>
        </w:tc>
        <w:tc>
          <w:tcPr>
            <w:tcW w:w="0" w:type="dxa"/>
            <w:vAlign w:val="bottom"/>
          </w:tcPr>
          <w:p>
            <w:pPr>
              <w:spacing w:after="0"/>
              <w:rPr>
                <w:sz w:val="1"/>
                <w:szCs w:val="1"/>
                <w:color w:val="auto"/>
              </w:rPr>
            </w:pPr>
          </w:p>
        </w:tc>
      </w:tr>
      <w:tr>
        <w:trPr>
          <w:trHeight w:val="176"/>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Other long-term investments</w:t>
            </w:r>
          </w:p>
        </w:tc>
        <w:tc>
          <w:tcPr>
            <w:tcW w:w="4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3"/>
            <w:shd w:val="clear" w:color="auto" w:fill="CCEEFF"/>
          </w:tcPr>
          <w:p>
            <w:pPr>
              <w:jc w:val="right"/>
              <w:ind w:right="121"/>
              <w:spacing w:after="0"/>
              <w:rPr>
                <w:sz w:val="20"/>
                <w:szCs w:val="20"/>
                <w:color w:val="auto"/>
              </w:rPr>
            </w:pPr>
            <w:r>
              <w:rPr>
                <w:rFonts w:ascii="Arial" w:cs="Arial" w:eastAsia="Arial" w:hAnsi="Arial"/>
                <w:sz w:val="12"/>
                <w:szCs w:val="12"/>
                <w:color w:val="auto"/>
              </w:rPr>
              <w:t>78.7</w:t>
            </w:r>
          </w:p>
        </w:tc>
        <w:tc>
          <w:tcPr>
            <w:tcW w:w="7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78.7</w:t>
            </w:r>
          </w:p>
        </w:tc>
        <w:tc>
          <w:tcPr>
            <w:tcW w:w="0" w:type="dxa"/>
            <w:vAlign w:val="bottom"/>
          </w:tcPr>
          <w:p>
            <w:pPr>
              <w:spacing w:after="0"/>
              <w:rPr>
                <w:sz w:val="1"/>
                <w:szCs w:val="1"/>
                <w:color w:val="auto"/>
              </w:rPr>
            </w:pPr>
          </w:p>
        </w:tc>
      </w:tr>
      <w:tr>
        <w:trPr>
          <w:trHeight w:val="181"/>
        </w:trPr>
        <w:tc>
          <w:tcPr>
            <w:tcW w:w="4800" w:type="dxa"/>
            <w:vAlign w:val="bottom"/>
          </w:tcPr>
          <w:p>
            <w:pPr>
              <w:ind w:left="220"/>
              <w:spacing w:after="0"/>
              <w:rPr>
                <w:sz w:val="20"/>
                <w:szCs w:val="20"/>
                <w:color w:val="auto"/>
              </w:rPr>
            </w:pPr>
            <w:r>
              <w:rPr>
                <w:rFonts w:ascii="Arial" w:cs="Arial" w:eastAsia="Arial" w:hAnsi="Arial"/>
                <w:sz w:val="12"/>
                <w:szCs w:val="12"/>
                <w:color w:val="auto"/>
              </w:rPr>
              <w:t>Total</w:t>
            </w: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92.5</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3,479.0</w:t>
            </w:r>
          </w:p>
        </w:tc>
        <w:tc>
          <w:tcPr>
            <w:tcW w:w="28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2"/>
                <w:szCs w:val="12"/>
                <w:color w:val="auto"/>
              </w:rPr>
              <w:t>123.9</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4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3,695.4</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Our Level 2 fair value measures for fixed-maturities available for sale are provided by third-party pricing services. We utilize one firm for our taxable bond portfolio and another for our tax-exempt bonds and municipal bond portfolio. These pricing services are leading global providers of financial market data, analytics and related services to financial institutions. We only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to ensure that we concur with their pricing methodologies and compare the resulting prices to other publicly available measures of fair value. The pricing methodologies used by the relevant third party pricing services are: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U.S. government and agencies: These securities are valued based on data obtained for similar securities in active markets and from inter-dealer brokers.</w:t>
      </w:r>
    </w:p>
    <w:p>
      <w:pPr>
        <w:spacing w:after="0" w:line="150" w:lineRule="exact"/>
        <w:rPr>
          <w:sz w:val="20"/>
          <w:szCs w:val="20"/>
          <w:color w:val="auto"/>
        </w:rPr>
      </w:pPr>
    </w:p>
    <w:p>
      <w:pPr>
        <w:ind w:left="200" w:firstLine="216"/>
        <w:spacing w:after="0" w:line="276" w:lineRule="auto"/>
        <w:rPr>
          <w:sz w:val="20"/>
          <w:szCs w:val="20"/>
          <w:color w:val="auto"/>
        </w:rPr>
      </w:pPr>
      <w:r>
        <w:rPr>
          <w:rFonts w:ascii="Arial" w:cs="Arial" w:eastAsia="Arial" w:hAnsi="Arial"/>
          <w:sz w:val="12"/>
          <w:szCs w:val="12"/>
          <w:color w:val="auto"/>
        </w:rPr>
        <w:t>State and political subdivisions: These securities are valued b ased on data obtained for similar securities in active markets and from inter-dealer brokers. Factors considered include relevant trade information, dealer quotes and other relevant market data.</w:t>
      </w:r>
    </w:p>
    <w:p>
      <w:pPr>
        <w:spacing w:after="0" w:line="115" w:lineRule="exact"/>
        <w:rPr>
          <w:sz w:val="20"/>
          <w:szCs w:val="20"/>
          <w:color w:val="auto"/>
        </w:rPr>
      </w:pPr>
    </w:p>
    <w:p>
      <w:pPr>
        <w:ind w:left="200" w:right="20" w:firstLine="216"/>
        <w:spacing w:after="0" w:line="276" w:lineRule="auto"/>
        <w:rPr>
          <w:sz w:val="20"/>
          <w:szCs w:val="20"/>
          <w:color w:val="auto"/>
        </w:rPr>
      </w:pPr>
      <w:r>
        <w:rPr>
          <w:rFonts w:ascii="Arial" w:cs="Arial" w:eastAsia="Arial" w:hAnsi="Arial"/>
          <w:sz w:val="12"/>
          <w:szCs w:val="12"/>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80"/>
          </w:cols>
          <w:pgMar w:left="220" w:top="127" w:right="199" w:bottom="1440" w:gutter="0" w:footer="0" w:header="0"/>
        </w:sectPr>
      </w:pPr>
    </w:p>
    <w:bookmarkStart w:id="64" w:name="page65"/>
    <w:bookmarkEnd w:id="64"/>
    <w:p>
      <w:pPr>
        <w:ind w:left="41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9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Foreign government bonds: These securities are valued based on a discounted cash flow model incorporating observable market inputs such as available broker quotes and yields of comparable securities.</w:t>
      </w:r>
    </w:p>
    <w:p>
      <w:pPr>
        <w:spacing w:after="0" w:line="150" w:lineRule="exact"/>
        <w:rPr>
          <w:sz w:val="20"/>
          <w:szCs w:val="20"/>
          <w:color w:val="auto"/>
        </w:rPr>
      </w:pPr>
    </w:p>
    <w:p>
      <w:pPr>
        <w:ind w:left="200" w:firstLine="216"/>
        <w:spacing w:after="0" w:line="276" w:lineRule="auto"/>
        <w:rPr>
          <w:sz w:val="20"/>
          <w:szCs w:val="20"/>
          <w:color w:val="auto"/>
        </w:rPr>
      </w:pPr>
      <w:r>
        <w:rPr>
          <w:rFonts w:ascii="Arial" w:cs="Arial" w:eastAsia="Arial" w:hAnsi="Arial"/>
          <w:sz w:val="12"/>
          <w:szCs w:val="12"/>
          <w:color w:val="auto"/>
        </w:rPr>
        <w:t>Mortgage-backed/asset-backed securities: These securities are comprised of commercial mortgage-backed securities, agency mortgage-backed securities, collaterized mortgage obligation, and asset-backed securities. They are valued based on available trade information, dealer quotes, cash flows, relevant indices and market data for similar assets in active mark ets.</w:t>
      </w:r>
    </w:p>
    <w:p>
      <w:pPr>
        <w:spacing w:after="0" w:line="115"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Our Level 3 investments consist of auction rate securities which were included in the assets of the LFG Underwriters that were acquired on December 22, 2008, and structured notes that were purchased in the third quarter of 2009. The auction rate securities are classified in other fixed-maturity investments and had a par value of $14.1 million and fair value of $9.5 million at December 31, 2010 and a par value of $69.7 million and fair value of $45.2 million at December 31, 2009. These securities represent less than one percent of our total investment portfolio. There is no active market for the auction rate securities and they are valued using models with significant non-observable inputs. Fair values for these securities are provided by a third-party pricing service using a proprietary valuation model which considers factors such as time to maturity, interest rates, credit-worthiness of the issuer, trading characteristics, and available market data for similar securities. The structured notes had a par value of $75.0 million and fair value of $90.1 million at December 31, 2010 and a par value of $75.0 million and fair value of $78.7 million at December 31, 2009. The structured notes are held for general investment purposes and represent less than two percent of our total investment portfolio. The stru ctured notes are classified as other long-term investments and are measured in their entirety at fair value with changes in fair value recognized in earnings. The fair value of these instruments are the product of a proprietary valuation model utilized by the trading desk of the broker-dealer and contain assumptions relating to volatility, the level of interest rates, and the underlying value of the indexes, exchange-traded funds, and foreign currencies. We review the pricing methodologies for our Level 3 investments to ensure that they are reasonable and believe they represent an exit price as of December 31, 2010.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780" w:type="dxa"/>
            <w:vAlign w:val="bottom"/>
          </w:tcPr>
          <w:p>
            <w:pPr>
              <w:ind w:left="200"/>
              <w:spacing w:after="0"/>
              <w:rPr>
                <w:sz w:val="20"/>
                <w:szCs w:val="20"/>
                <w:color w:val="auto"/>
              </w:rPr>
            </w:pPr>
            <w:r>
              <w:rPr>
                <w:rFonts w:ascii="Arial" w:cs="Arial" w:eastAsia="Arial" w:hAnsi="Arial"/>
                <w:sz w:val="12"/>
                <w:szCs w:val="12"/>
                <w:color w:val="auto"/>
              </w:rPr>
              <w:t>The following table presents the changes in our investments that are classified as Level 3 for the year ended December 31, 2010 (in millions).</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90"/>
        </w:trPr>
        <w:tc>
          <w:tcPr>
            <w:tcW w:w="9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180"/>
        </w:trPr>
        <w:tc>
          <w:tcPr>
            <w:tcW w:w="9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Balance, December 31 , 2008</w:t>
            </w:r>
          </w:p>
        </w:tc>
        <w:tc>
          <w:tcPr>
            <w:tcW w:w="7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32.0</w:t>
            </w:r>
          </w:p>
        </w:tc>
        <w:tc>
          <w:tcPr>
            <w:tcW w:w="180" w:type="dxa"/>
            <w:vAlign w:val="bottom"/>
            <w:shd w:val="clear" w:color="auto" w:fill="CCEEFF"/>
          </w:tcPr>
          <w:p>
            <w:pPr>
              <w:spacing w:after="0"/>
              <w:rPr>
                <w:sz w:val="15"/>
                <w:szCs w:val="15"/>
                <w:color w:val="auto"/>
              </w:rPr>
            </w:pPr>
          </w:p>
        </w:tc>
      </w:tr>
      <w:tr>
        <w:trPr>
          <w:trHeight w:val="171"/>
        </w:trPr>
        <w:tc>
          <w:tcPr>
            <w:tcW w:w="9780" w:type="dxa"/>
            <w:vAlign w:val="bottom"/>
          </w:tcPr>
          <w:p>
            <w:pPr>
              <w:ind w:left="220"/>
              <w:spacing w:after="0"/>
              <w:rPr>
                <w:sz w:val="20"/>
                <w:szCs w:val="20"/>
                <w:color w:val="auto"/>
              </w:rPr>
            </w:pPr>
            <w:r>
              <w:rPr>
                <w:rFonts w:ascii="Arial" w:cs="Arial" w:eastAsia="Arial" w:hAnsi="Arial"/>
                <w:sz w:val="12"/>
                <w:szCs w:val="12"/>
                <w:color w:val="auto"/>
              </w:rPr>
              <w:t>Purchases</w:t>
            </w:r>
          </w:p>
        </w:tc>
        <w:tc>
          <w:tcPr>
            <w:tcW w:w="72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75.0</w:t>
            </w:r>
          </w:p>
        </w:tc>
        <w:tc>
          <w:tcPr>
            <w:tcW w:w="180" w:type="dxa"/>
            <w:vAlign w:val="bottom"/>
          </w:tcPr>
          <w:p>
            <w:pPr>
              <w:spacing w:after="0"/>
              <w:rPr>
                <w:sz w:val="14"/>
                <w:szCs w:val="14"/>
                <w:color w:val="auto"/>
              </w:rPr>
            </w:pPr>
          </w:p>
        </w:tc>
      </w:tr>
      <w:tr>
        <w:trPr>
          <w:trHeight w:val="189"/>
        </w:trPr>
        <w:tc>
          <w:tcPr>
            <w:tcW w:w="9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received upon call/sales</w:t>
            </w: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9780" w:type="dxa"/>
            <w:vAlign w:val="bottom"/>
          </w:tcPr>
          <w:p>
            <w:pPr>
              <w:ind w:left="220"/>
              <w:spacing w:after="0"/>
              <w:rPr>
                <w:sz w:val="20"/>
                <w:szCs w:val="20"/>
                <w:color w:val="auto"/>
              </w:rPr>
            </w:pPr>
            <w:r>
              <w:rPr>
                <w:rFonts w:ascii="Arial" w:cs="Arial" w:eastAsia="Arial" w:hAnsi="Arial"/>
                <w:sz w:val="12"/>
                <w:szCs w:val="12"/>
                <w:color w:val="auto"/>
              </w:rPr>
              <w:t>Realized gain</w:t>
            </w:r>
          </w:p>
        </w:tc>
        <w:tc>
          <w:tcPr>
            <w:tcW w:w="72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12.1</w:t>
            </w:r>
          </w:p>
        </w:tc>
        <w:tc>
          <w:tcPr>
            <w:tcW w:w="180" w:type="dxa"/>
            <w:vAlign w:val="bottom"/>
          </w:tcPr>
          <w:p>
            <w:pPr>
              <w:spacing w:after="0"/>
              <w:rPr>
                <w:sz w:val="14"/>
                <w:szCs w:val="14"/>
                <w:color w:val="auto"/>
              </w:rPr>
            </w:pPr>
          </w:p>
        </w:tc>
      </w:tr>
      <w:tr>
        <w:trPr>
          <w:trHeight w:val="180"/>
        </w:trPr>
        <w:tc>
          <w:tcPr>
            <w:tcW w:w="9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change included in other comprehensive earnings</w:t>
            </w:r>
          </w:p>
        </w:tc>
        <w:tc>
          <w:tcPr>
            <w:tcW w:w="7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18.5</w:t>
            </w:r>
          </w:p>
        </w:tc>
        <w:tc>
          <w:tcPr>
            <w:tcW w:w="180" w:type="dxa"/>
            <w:vAlign w:val="bottom"/>
            <w:tcBorders>
              <w:bottom w:val="single" w:sz="8" w:color="auto"/>
            </w:tcBorders>
            <w:shd w:val="clear" w:color="auto" w:fill="CCEEFF"/>
          </w:tcPr>
          <w:p>
            <w:pPr>
              <w:spacing w:after="0"/>
              <w:rPr>
                <w:sz w:val="15"/>
                <w:szCs w:val="15"/>
                <w:color w:val="auto"/>
              </w:rPr>
            </w:pPr>
          </w:p>
        </w:tc>
      </w:tr>
      <w:tr>
        <w:trPr>
          <w:trHeight w:val="169"/>
        </w:trPr>
        <w:tc>
          <w:tcPr>
            <w:tcW w:w="9780" w:type="dxa"/>
            <w:vAlign w:val="bottom"/>
          </w:tcPr>
          <w:p>
            <w:pPr>
              <w:ind w:left="220"/>
              <w:spacing w:after="0"/>
              <w:rPr>
                <w:sz w:val="20"/>
                <w:szCs w:val="20"/>
                <w:color w:val="auto"/>
              </w:rPr>
            </w:pPr>
            <w:r>
              <w:rPr>
                <w:rFonts w:ascii="Arial" w:cs="Arial" w:eastAsia="Arial" w:hAnsi="Arial"/>
                <w:sz w:val="12"/>
                <w:szCs w:val="12"/>
                <w:color w:val="auto"/>
              </w:rPr>
              <w:t>Balance, December 31, 2009</w:t>
            </w:r>
          </w:p>
        </w:tc>
        <w:tc>
          <w:tcPr>
            <w:tcW w:w="72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123.9</w:t>
            </w:r>
          </w:p>
        </w:tc>
        <w:tc>
          <w:tcPr>
            <w:tcW w:w="180" w:type="dxa"/>
            <w:vAlign w:val="bottom"/>
          </w:tcPr>
          <w:p>
            <w:pPr>
              <w:spacing w:after="0"/>
              <w:rPr>
                <w:sz w:val="14"/>
                <w:szCs w:val="14"/>
                <w:color w:val="auto"/>
              </w:rPr>
            </w:pPr>
          </w:p>
        </w:tc>
      </w:tr>
      <w:tr>
        <w:trPr>
          <w:trHeight w:val="189"/>
        </w:trPr>
        <w:tc>
          <w:tcPr>
            <w:tcW w:w="9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received upon call/sales</w:t>
            </w: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(34.9</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9780" w:type="dxa"/>
            <w:vAlign w:val="bottom"/>
          </w:tcPr>
          <w:p>
            <w:pPr>
              <w:ind w:left="220"/>
              <w:spacing w:after="0"/>
              <w:rPr>
                <w:sz w:val="20"/>
                <w:szCs w:val="20"/>
                <w:color w:val="auto"/>
              </w:rPr>
            </w:pPr>
            <w:r>
              <w:rPr>
                <w:rFonts w:ascii="Arial" w:cs="Arial" w:eastAsia="Arial" w:hAnsi="Arial"/>
                <w:sz w:val="12"/>
                <w:szCs w:val="12"/>
                <w:color w:val="auto"/>
              </w:rPr>
              <w:t>Realized gain</w:t>
            </w:r>
          </w:p>
        </w:tc>
        <w:tc>
          <w:tcPr>
            <w:tcW w:w="72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24.8</w:t>
            </w:r>
          </w:p>
        </w:tc>
        <w:tc>
          <w:tcPr>
            <w:tcW w:w="180" w:type="dxa"/>
            <w:vAlign w:val="bottom"/>
          </w:tcPr>
          <w:p>
            <w:pPr>
              <w:spacing w:after="0"/>
              <w:rPr>
                <w:sz w:val="14"/>
                <w:szCs w:val="14"/>
                <w:color w:val="auto"/>
              </w:rPr>
            </w:pPr>
          </w:p>
        </w:tc>
      </w:tr>
      <w:tr>
        <w:trPr>
          <w:trHeight w:val="180"/>
        </w:trPr>
        <w:tc>
          <w:tcPr>
            <w:tcW w:w="9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change included in other comprehensive earnings</w:t>
            </w:r>
          </w:p>
        </w:tc>
        <w:tc>
          <w:tcPr>
            <w:tcW w:w="7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9780" w:type="dxa"/>
            <w:vAlign w:val="bottom"/>
          </w:tcPr>
          <w:p>
            <w:pPr>
              <w:ind w:left="220"/>
              <w:spacing w:after="0"/>
              <w:rPr>
                <w:sz w:val="20"/>
                <w:szCs w:val="20"/>
                <w:color w:val="auto"/>
              </w:rPr>
            </w:pPr>
            <w:r>
              <w:rPr>
                <w:rFonts w:ascii="Arial" w:cs="Arial" w:eastAsia="Arial" w:hAnsi="Arial"/>
                <w:sz w:val="12"/>
                <w:szCs w:val="12"/>
                <w:color w:val="auto"/>
              </w:rPr>
              <w:t>Balance, December 31, 2010</w:t>
            </w: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99.6</w:t>
            </w:r>
          </w:p>
        </w:tc>
        <w:tc>
          <w:tcPr>
            <w:tcW w:w="180" w:type="dxa"/>
            <w:vAlign w:val="bottom"/>
            <w:tcBorders>
              <w:bottom w:val="single" w:sz="8" w:color="auto"/>
            </w:tcBorders>
          </w:tcPr>
          <w:p>
            <w:pPr>
              <w:spacing w:after="0"/>
              <w:rPr>
                <w:sz w:val="16"/>
                <w:szCs w:val="16"/>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carrying amounts of accounts receivable and notes receivable approximate fair value due to their short-term nature. The fair value of our notes payable is included in Note I.</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Additional information regarding the fair value of our investment portfolio is included in Note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80"/>
          </w:cols>
          <w:pgMar w:left="220" w:top="127" w:right="199" w:bottom="1440" w:gutter="0" w:footer="0" w:header="0"/>
        </w:sectPr>
      </w:pPr>
    </w:p>
    <w:bookmarkStart w:id="65" w:name="page66"/>
    <w:bookmarkEnd w:id="65"/>
    <w:p>
      <w:pPr>
        <w:ind w:left="3960"/>
        <w:spacing w:after="0"/>
        <w:rPr>
          <w:sz w:val="20"/>
          <w:szCs w:val="20"/>
          <w:color w:val="auto"/>
        </w:rPr>
      </w:pPr>
      <w:r>
        <w:rPr>
          <w:rFonts w:ascii="Arial" w:cs="Arial" w:eastAsia="Arial" w:hAnsi="Arial"/>
          <w:sz w:val="12"/>
          <w:szCs w:val="12"/>
          <w:b w:val="1"/>
          <w:bCs w:val="1"/>
          <w:color w:val="auto"/>
        </w:rPr>
        <w:t>FIDELITY NATIONAL FINANCIAL, IN C. AND SUBSIDIARIES</w:t>
      </w:r>
    </w:p>
    <w:p>
      <w:pPr>
        <w:spacing w:after="0" w:line="114" w:lineRule="exact"/>
        <w:rPr>
          <w:sz w:val="20"/>
          <w:szCs w:val="20"/>
          <w:color w:val="auto"/>
        </w:rPr>
      </w:pPr>
    </w:p>
    <w:p>
      <w:pPr>
        <w:ind w:left="37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95" w:lineRule="exact"/>
        <w:rPr>
          <w:sz w:val="20"/>
          <w:szCs w:val="20"/>
          <w:color w:val="auto"/>
        </w:rPr>
      </w:pPr>
    </w:p>
    <w:p>
      <w:pPr>
        <w:ind w:left="840"/>
        <w:spacing w:after="0"/>
        <w:tabs>
          <w:tab w:leader="none" w:pos="1360" w:val="left"/>
        </w:tabs>
        <w:rPr>
          <w:sz w:val="20"/>
          <w:szCs w:val="20"/>
          <w:color w:val="auto"/>
        </w:rPr>
      </w:pPr>
      <w:r>
        <w:rPr>
          <w:rFonts w:ascii="Arial" w:cs="Arial" w:eastAsia="Arial" w:hAnsi="Arial"/>
          <w:sz w:val="12"/>
          <w:szCs w:val="12"/>
          <w:b w:val="1"/>
          <w:bCs w:val="1"/>
          <w:color w:val="auto"/>
        </w:rPr>
        <w:t>Note D.</w:t>
      </w:r>
      <w:r>
        <w:rPr>
          <w:sz w:val="20"/>
          <w:szCs w:val="20"/>
          <w:color w:val="auto"/>
        </w:rPr>
        <w:tab/>
      </w:r>
      <w:r>
        <w:rPr>
          <w:rFonts w:ascii="Arial" w:cs="Arial" w:eastAsia="Arial" w:hAnsi="Arial"/>
          <w:sz w:val="10"/>
          <w:szCs w:val="10"/>
          <w:b w:val="1"/>
          <w:bCs w:val="1"/>
          <w:color w:val="auto"/>
        </w:rPr>
        <w:t>Investments</w:t>
      </w:r>
    </w:p>
    <w:p>
      <w:pPr>
        <w:spacing w:after="0" w:line="1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carrying amounts and fair values of our fixed maturity securities at December 31, 2010 and 2009 are as follows:</w:t>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&lt; td colspan="3" style="vertical-align:bottom;padding-left:2px;padding-top:2px;padding-bottom:2px;padding-right:2px;border-bottom:1px solid #000000;"&gt;</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Carrying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gridSpan w:val="3"/>
          </w:tcPr>
          <w:p>
            <w:pPr>
              <w:jc w:val="right"/>
              <w:ind w:right="840"/>
              <w:spacing w:after="0"/>
              <w:rPr>
                <w:sz w:val="20"/>
                <w:szCs w:val="20"/>
                <w:color w:val="auto"/>
              </w:rPr>
            </w:pPr>
            <w:r>
              <w:rPr>
                <w:rFonts w:ascii="Arial" w:cs="Arial" w:eastAsia="Arial" w:hAnsi="Arial"/>
                <w:sz w:val="10"/>
                <w:szCs w:val="10"/>
                <w:b w:val="1"/>
                <w:bCs w:val="1"/>
                <w:color w:val="auto"/>
                <w:w w:val="97"/>
              </w:rPr>
              <w:t>Value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8"/>
        </w:trPr>
        <w:tc>
          <w:tcPr>
            <w:tcW w:w="8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ind w:left="240"/>
              <w:spacing w:after="0"/>
              <w:rPr>
                <w:sz w:val="20"/>
                <w:szCs w:val="20"/>
                <w:color w:val="auto"/>
              </w:rPr>
            </w:pPr>
            <w:r>
              <w:rPr>
                <w:rFonts w:ascii="Arial" w:cs="Arial" w:eastAsia="Arial" w:hAnsi="Arial"/>
                <w:sz w:val="10"/>
                <w:szCs w:val="10"/>
                <w:b w:val="1"/>
                <w:bCs w:val="1"/>
                <w:color w:val="auto"/>
                <w:w w:val="95"/>
              </w:rPr>
              <w:t>December 31, 2010</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96"/>
        </w:trPr>
        <w:tc>
          <w:tcPr>
            <w:tcW w:w="8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gridSpan w:val="3"/>
          </w:tcPr>
          <w:p>
            <w:pPr>
              <w:jc w:val="right"/>
              <w:ind w:right="60"/>
              <w:spacing w:after="0" w:line="96" w:lineRule="exact"/>
              <w:rPr>
                <w:sz w:val="20"/>
                <w:szCs w:val="20"/>
                <w:color w:val="auto"/>
              </w:rPr>
            </w:pPr>
            <w:r>
              <w:rPr>
                <w:rFonts w:ascii="Arial" w:cs="Arial" w:eastAsia="Arial" w:hAnsi="Arial"/>
                <w:sz w:val="10"/>
                <w:szCs w:val="10"/>
                <w:b w:val="1"/>
                <w:bCs w:val="1"/>
                <w:color w:val="auto"/>
              </w:rPr>
              <w:t>Amortized</w:t>
            </w:r>
          </w:p>
        </w:tc>
        <w:tc>
          <w:tcPr>
            <w:tcW w:w="520" w:type="dxa"/>
            <w:vAlign w:val="bottom"/>
          </w:tcPr>
          <w:p>
            <w:pPr>
              <w:spacing w:after="0"/>
              <w:rPr>
                <w:sz w:val="8"/>
                <w:szCs w:val="8"/>
                <w:color w:val="auto"/>
              </w:rPr>
            </w:pPr>
          </w:p>
        </w:tc>
        <w:tc>
          <w:tcPr>
            <w:tcW w:w="620" w:type="dxa"/>
            <w:vAlign w:val="bottom"/>
            <w:gridSpan w:val="3"/>
          </w:tcPr>
          <w:p>
            <w:pPr>
              <w:jc w:val="right"/>
              <w:ind w:right="100"/>
              <w:spacing w:after="0" w:line="96" w:lineRule="exact"/>
              <w:rPr>
                <w:sz w:val="20"/>
                <w:szCs w:val="20"/>
                <w:color w:val="auto"/>
              </w:rPr>
            </w:pPr>
            <w:r>
              <w:rPr>
                <w:rFonts w:ascii="Arial" w:cs="Arial" w:eastAsia="Arial" w:hAnsi="Arial"/>
                <w:sz w:val="10"/>
                <w:szCs w:val="10"/>
                <w:b w:val="1"/>
                <w:bCs w:val="1"/>
                <w:color w:val="auto"/>
                <w:w w:val="98"/>
              </w:rPr>
              <w:t>Unrealized</w:t>
            </w:r>
          </w:p>
        </w:tc>
        <w:tc>
          <w:tcPr>
            <w:tcW w:w="540" w:type="dxa"/>
            <w:vAlign w:val="bottom"/>
          </w:tcPr>
          <w:p>
            <w:pPr>
              <w:spacing w:after="0"/>
              <w:rPr>
                <w:sz w:val="8"/>
                <w:szCs w:val="8"/>
                <w:color w:val="auto"/>
              </w:rPr>
            </w:pPr>
          </w:p>
        </w:tc>
        <w:tc>
          <w:tcPr>
            <w:tcW w:w="580" w:type="dxa"/>
            <w:vAlign w:val="bottom"/>
            <w:gridSpan w:val="2"/>
          </w:tcPr>
          <w:p>
            <w:pPr>
              <w:jc w:val="center"/>
              <w:ind w:right="48"/>
              <w:spacing w:after="0" w:line="96" w:lineRule="exact"/>
              <w:rPr>
                <w:sz w:val="20"/>
                <w:szCs w:val="20"/>
                <w:color w:val="auto"/>
              </w:rPr>
            </w:pPr>
            <w:r>
              <w:rPr>
                <w:rFonts w:ascii="Arial" w:cs="Arial" w:eastAsia="Arial" w:hAnsi="Arial"/>
                <w:sz w:val="10"/>
                <w:szCs w:val="10"/>
                <w:b w:val="1"/>
                <w:bCs w:val="1"/>
                <w:color w:val="auto"/>
                <w:w w:val="86"/>
              </w:rPr>
              <w:t>Unrealized</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gridSpan w:val="2"/>
          </w:tcPr>
          <w:p>
            <w:pPr>
              <w:jc w:val="right"/>
              <w:ind w:right="200"/>
              <w:spacing w:after="0" w:line="96" w:lineRule="exact"/>
              <w:rPr>
                <w:sz w:val="20"/>
                <w:szCs w:val="20"/>
                <w:color w:val="auto"/>
              </w:rPr>
            </w:pPr>
            <w:r>
              <w:rPr>
                <w:rFonts w:ascii="Arial" w:cs="Arial" w:eastAsia="Arial" w:hAnsi="Arial"/>
                <w:sz w:val="10"/>
                <w:szCs w:val="10"/>
                <w:b w:val="1"/>
                <w:bCs w:val="1"/>
                <w:color w:val="auto"/>
                <w:w w:val="97"/>
              </w:rPr>
              <w:t>Fair</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28"/>
        </w:trPr>
        <w:tc>
          <w:tcPr>
            <w:tcW w:w="8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0"/>
                <w:szCs w:val="10"/>
                <w:color w:val="auto"/>
              </w:rPr>
              <w:t>Cost</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Gains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48"/>
              <w:spacing w:after="0"/>
              <w:rPr>
                <w:sz w:val="20"/>
                <w:szCs w:val="20"/>
                <w:color w:val="auto"/>
              </w:rPr>
            </w:pPr>
            <w:r>
              <w:rPr>
                <w:rFonts w:ascii="Arial" w:cs="Arial" w:eastAsia="Arial" w:hAnsi="Arial"/>
                <w:sz w:val="10"/>
                <w:szCs w:val="10"/>
                <w:b w:val="1"/>
                <w:bCs w:val="1"/>
                <w:color w:val="auto"/>
                <w:w w:val="81"/>
              </w:rPr>
              <w:t>Losses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2"/>
              </w:rPr>
              <w:t>Value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18"/>
        </w:trPr>
        <w:tc>
          <w:tcPr>
            <w:tcW w:w="8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w w:val="81"/>
              </w:rPr>
              <w:t>(Dollars in</w:t>
            </w:r>
          </w:p>
        </w:tc>
        <w:tc>
          <w:tcPr>
            <w:tcW w:w="480" w:type="dxa"/>
            <w:vAlign w:val="bottom"/>
          </w:tcPr>
          <w:p>
            <w:pPr>
              <w:jc w:val="center"/>
              <w:spacing w:after="0" w:line="111" w:lineRule="exact"/>
              <w:rPr>
                <w:sz w:val="20"/>
                <w:szCs w:val="20"/>
                <w:color w:val="auto"/>
              </w:rPr>
            </w:pPr>
            <w:r>
              <w:rPr>
                <w:rFonts w:ascii="Arial" w:cs="Arial" w:eastAsia="Arial" w:hAnsi="Arial"/>
                <w:sz w:val="10"/>
                <w:szCs w:val="10"/>
                <w:b w:val="1"/>
                <w:bCs w:val="1"/>
                <w:color w:val="auto"/>
                <w:w w:val="87"/>
              </w:rPr>
              <w:t>millions)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Pr>
          <w:p>
            <w:pPr>
              <w:spacing w:after="0"/>
              <w:rPr>
                <w:sz w:val="10"/>
                <w:szCs w:val="10"/>
                <w:color w:val="auto"/>
              </w:rPr>
            </w:pPr>
          </w:p>
        </w:tc>
      </w:tr>
      <w:tr>
        <w:trPr>
          <w:trHeight w:val="181"/>
        </w:trPr>
        <w:tc>
          <w:tcPr>
            <w:tcW w:w="840" w:type="dxa"/>
            <w:vAlign w:val="bottom"/>
          </w:tcPr>
          <w:p>
            <w:pPr>
              <w:spacing w:after="0"/>
              <w:rPr>
                <w:sz w:val="20"/>
                <w:szCs w:val="20"/>
                <w:color w:val="auto"/>
              </w:rPr>
            </w:pPr>
            <w:r>
              <w:rPr>
                <w:rFonts w:ascii="Arial" w:cs="Arial" w:eastAsia="Arial" w:hAnsi="Arial"/>
                <w:sz w:val="12"/>
                <w:szCs w:val="12"/>
                <w:color w:val="auto"/>
              </w:rPr>
              <w:t>Fixed maturity</w:t>
            </w:r>
          </w:p>
        </w:tc>
        <w:tc>
          <w:tcPr>
            <w:tcW w:w="3000" w:type="dxa"/>
            <w:vAlign w:val="bottom"/>
            <w:shd w:val="clear" w:color="auto" w:fill="CCEEFF"/>
          </w:tcPr>
          <w:p>
            <w:pPr>
              <w:spacing w:after="0"/>
              <w:rPr>
                <w:sz w:val="20"/>
                <w:szCs w:val="20"/>
                <w:color w:val="auto"/>
              </w:rPr>
            </w:pPr>
            <w:r>
              <w:rPr>
                <w:rFonts w:ascii="Arial" w:cs="Arial" w:eastAsia="Arial" w:hAnsi="Arial"/>
                <w:sz w:val="12"/>
                <w:szCs w:val="12"/>
                <w:color w:val="auto"/>
              </w:rPr>
              <w:t>investments (available for sale):</w:t>
            </w:r>
          </w:p>
        </w:tc>
        <w:tc>
          <w:tcPr>
            <w:tcW w:w="1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3840" w:type="dxa"/>
            <w:vAlign w:val="bottom"/>
            <w:gridSpan w:val="2"/>
          </w:tcPr>
          <w:p>
            <w:pPr>
              <w:spacing w:after="0"/>
              <w:rPr>
                <w:sz w:val="20"/>
                <w:szCs w:val="20"/>
                <w:color w:val="auto"/>
              </w:rPr>
            </w:pPr>
            <w:r>
              <w:rPr>
                <w:rFonts w:ascii="Arial" w:cs="Arial" w:eastAsia="Arial" w:hAnsi="Arial"/>
                <w:sz w:val="12"/>
                <w:szCs w:val="12"/>
                <w:color w:val="auto"/>
              </w:rPr>
              <w:t>U.S. government and agencies</w:t>
            </w:r>
          </w:p>
        </w:tc>
        <w:tc>
          <w:tcPr>
            <w:tcW w:w="17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313.5</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3"/>
              <w:spacing w:after="0"/>
              <w:rPr>
                <w:sz w:val="20"/>
                <w:szCs w:val="20"/>
                <w:color w:val="auto"/>
              </w:rPr>
            </w:pPr>
            <w:r>
              <w:rPr>
                <w:rFonts w:ascii="Arial" w:cs="Arial" w:eastAsia="Arial" w:hAnsi="Arial"/>
                <w:sz w:val="12"/>
                <w:szCs w:val="12"/>
                <w:color w:val="auto"/>
              </w:rPr>
              <w:t>303.8</w:t>
            </w:r>
          </w:p>
        </w:tc>
        <w:tc>
          <w:tcPr>
            <w:tcW w:w="580" w:type="dxa"/>
            <w:vAlign w:val="bottom"/>
            <w:gridSpan w:val="2"/>
          </w:tcPr>
          <w:p>
            <w:pPr>
              <w:jc w:val="center"/>
              <w:ind w:left="26"/>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313.5</w:t>
            </w:r>
          </w:p>
        </w:tc>
      </w:tr>
      <w:tr>
        <w:trPr>
          <w:trHeight w:val="189"/>
        </w:trPr>
        <w:tc>
          <w:tcPr>
            <w:tcW w:w="840" w:type="dxa"/>
            <w:vAlign w:val="bottom"/>
          </w:tcPr>
          <w:p>
            <w:pPr>
              <w:spacing w:after="0"/>
              <w:rPr>
                <w:sz w:val="20"/>
                <w:szCs w:val="20"/>
                <w:color w:val="auto"/>
              </w:rPr>
            </w:pPr>
            <w:r>
              <w:rPr>
                <w:rFonts w:ascii="Arial" w:cs="Arial" w:eastAsia="Arial" w:hAnsi="Arial"/>
                <w:sz w:val="12"/>
                <w:szCs w:val="12"/>
                <w:color w:val="auto"/>
                <w:w w:val="81"/>
              </w:rPr>
              <w:t>States and political</w:t>
            </w:r>
          </w:p>
        </w:tc>
        <w:tc>
          <w:tcPr>
            <w:tcW w:w="30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subdivisions</w:t>
            </w:r>
          </w:p>
        </w:tc>
        <w:tc>
          <w:tcPr>
            <w:tcW w:w="1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1,374.0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1,343.3</w:t>
            </w:r>
          </w:p>
        </w:tc>
        <w:tc>
          <w:tcPr>
            <w:tcW w:w="100" w:type="dxa"/>
            <w:vAlign w:val="bottom"/>
            <w:shd w:val="clear" w:color="auto" w:fill="CCEEFF"/>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37.9</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1,374.0</w:t>
            </w:r>
          </w:p>
        </w:tc>
      </w:tr>
      <w:tr>
        <w:trPr>
          <w:trHeight w:val="171"/>
        </w:trPr>
        <w:tc>
          <w:tcPr>
            <w:tcW w:w="3840" w:type="dxa"/>
            <w:vAlign w:val="bottom"/>
            <w:gridSpan w:val="2"/>
          </w:tcPr>
          <w:p>
            <w:pPr>
              <w:spacing w:after="0"/>
              <w:rPr>
                <w:sz w:val="20"/>
                <w:szCs w:val="20"/>
                <w:color w:val="auto"/>
              </w:rPr>
            </w:pPr>
            <w:r>
              <w:rPr>
                <w:rFonts w:ascii="Arial" w:cs="Arial" w:eastAsia="Arial" w:hAnsi="Arial"/>
                <w:sz w:val="12"/>
                <w:szCs w:val="12"/>
                <w:color w:val="auto"/>
              </w:rPr>
              <w:t>Corporate debt securities</w:t>
            </w:r>
          </w:p>
        </w:tc>
        <w:tc>
          <w:tcPr>
            <w:tcW w:w="1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w w:val="99"/>
              </w:rPr>
              <w:t>1,532.7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jc w:val="right"/>
              <w:ind w:right="43"/>
              <w:spacing w:after="0"/>
              <w:rPr>
                <w:sz w:val="20"/>
                <w:szCs w:val="20"/>
                <w:color w:val="auto"/>
              </w:rPr>
            </w:pPr>
            <w:r>
              <w:rPr>
                <w:rFonts w:ascii="Arial" w:cs="Arial" w:eastAsia="Arial" w:hAnsi="Arial"/>
                <w:sz w:val="12"/>
                <w:szCs w:val="12"/>
                <w:color w:val="auto"/>
              </w:rPr>
              <w:t>1,469.6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69.4</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1,532.7</w:t>
            </w:r>
          </w:p>
        </w:tc>
      </w:tr>
      <w:tr>
        <w:trPr>
          <w:trHeight w:val="189"/>
        </w:trPr>
        <w:tc>
          <w:tcPr>
            <w:tcW w:w="840" w:type="dxa"/>
            <w:vAlign w:val="bottom"/>
          </w:tcPr>
          <w:p>
            <w:pPr>
              <w:spacing w:after="0"/>
              <w:rPr>
                <w:sz w:val="20"/>
                <w:szCs w:val="20"/>
                <w:color w:val="auto"/>
              </w:rPr>
            </w:pPr>
            <w:r>
              <w:rPr>
                <w:rFonts w:ascii="Arial" w:cs="Arial" w:eastAsia="Arial" w:hAnsi="Arial"/>
                <w:sz w:val="12"/>
                <w:szCs w:val="12"/>
                <w:color w:val="auto"/>
                <w:w w:val="76"/>
              </w:rPr>
              <w:t>Foreign government</w:t>
            </w:r>
          </w:p>
        </w:tc>
        <w:tc>
          <w:tcPr>
            <w:tcW w:w="3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bonds</w:t>
            </w:r>
          </w:p>
        </w:tc>
        <w:tc>
          <w:tcPr>
            <w:tcW w:w="1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78.7</w:t>
            </w:r>
          </w:p>
        </w:tc>
        <w:tc>
          <w:tcPr>
            <w:tcW w:w="10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80.6</w:t>
            </w:r>
          </w:p>
        </w:tc>
      </w:tr>
      <w:tr>
        <w:trPr>
          <w:trHeight w:val="180"/>
        </w:trPr>
        <w:tc>
          <w:tcPr>
            <w:tcW w:w="3840" w:type="dxa"/>
            <w:vAlign w:val="bottom"/>
            <w:gridSpan w:val="2"/>
          </w:tcPr>
          <w:p>
            <w:pPr>
              <w:spacing w:after="0"/>
              <w:rPr>
                <w:sz w:val="20"/>
                <w:szCs w:val="20"/>
                <w:color w:val="auto"/>
              </w:rPr>
            </w:pPr>
            <w:r>
              <w:rPr>
                <w:rFonts w:ascii="Arial" w:cs="Arial" w:eastAsia="Arial" w:hAnsi="Arial"/>
                <w:sz w:val="12"/>
                <w:szCs w:val="12"/>
                <w:color w:val="auto"/>
              </w:rPr>
              <w:t>Mortgage-backed/asset-backed securities</w:t>
            </w:r>
          </w:p>
        </w:tc>
        <w:tc>
          <w:tcPr>
            <w:tcW w:w="1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184.0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ind w:right="43"/>
              <w:spacing w:after="0"/>
              <w:rPr>
                <w:sz w:val="20"/>
                <w:szCs w:val="20"/>
                <w:color w:val="auto"/>
              </w:rPr>
            </w:pPr>
            <w:r>
              <w:rPr>
                <w:rFonts w:ascii="Arial" w:cs="Arial" w:eastAsia="Arial" w:hAnsi="Arial"/>
                <w:sz w:val="12"/>
                <w:szCs w:val="12"/>
                <w:color w:val="auto"/>
              </w:rPr>
              <w:t>176.8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184.0</w:t>
            </w:r>
          </w:p>
        </w:tc>
      </w:tr>
      <w:tr>
        <w:trPr>
          <w:trHeight w:val="180"/>
        </w:trPr>
        <w:tc>
          <w:tcPr>
            <w:tcW w:w="840" w:type="dxa"/>
            <w:vAlign w:val="bottom"/>
          </w:tcPr>
          <w:p>
            <w:pPr>
              <w:spacing w:after="0"/>
              <w:rPr>
                <w:sz w:val="20"/>
                <w:szCs w:val="20"/>
                <w:color w:val="auto"/>
              </w:rPr>
            </w:pPr>
            <w:r>
              <w:rPr>
                <w:rFonts w:ascii="Arial" w:cs="Arial" w:eastAsia="Arial" w:hAnsi="Arial"/>
                <w:sz w:val="12"/>
                <w:szCs w:val="12"/>
                <w:color w:val="auto"/>
              </w:rPr>
              <w:t>Other</w:t>
            </w:r>
          </w:p>
        </w:tc>
        <w:tc>
          <w:tcPr>
            <w:tcW w:w="30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9.5</w:t>
            </w:r>
          </w:p>
        </w:tc>
      </w:tr>
      <w:tr>
        <w:trPr>
          <w:trHeight w:val="160"/>
        </w:trPr>
        <w:tc>
          <w:tcPr>
            <w:tcW w:w="8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7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w w:val="92"/>
              </w:rPr>
              <w:t>3 ,494.3</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3"/>
              <w:spacing w:after="0"/>
              <w:rPr>
                <w:sz w:val="20"/>
                <w:szCs w:val="20"/>
                <w:color w:val="auto"/>
              </w:rPr>
            </w:pPr>
            <w:r>
              <w:rPr>
                <w:rFonts w:ascii="Arial" w:cs="Arial" w:eastAsia="Arial" w:hAnsi="Arial"/>
                <w:sz w:val="12"/>
                <w:szCs w:val="12"/>
                <w:color w:val="auto"/>
              </w:rPr>
              <w:t>3,377.2</w:t>
            </w:r>
          </w:p>
        </w:tc>
        <w:tc>
          <w:tcPr>
            <w:tcW w:w="1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133.1</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(16.0</w:t>
            </w:r>
          </w:p>
        </w:tc>
        <w:tc>
          <w:tcPr>
            <w:tcW w:w="100" w:type="dxa"/>
            <w:vAlign w:val="bottom"/>
          </w:tcPr>
          <w:p>
            <w:pPr>
              <w:spacing w:after="0"/>
              <w:rPr>
                <w:sz w:val="13"/>
                <w:szCs w:val="13"/>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3,494.3</w:t>
            </w:r>
          </w:p>
        </w:tc>
      </w:tr>
      <w:tr>
        <w:trPr>
          <w:trHeight w:val="36"/>
        </w:trPr>
        <w:tc>
          <w:tcPr>
            <w:tcW w:w="84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r>
    </w:tbl>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&lt; td style="vertical-align:bottom;padding-left:2px;padding-top:2px;padding-bottom:2px;padding-right:2px;"&gt;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w w:val="86"/>
              </w:rPr>
              <w:t>December 31, 2009</w:t>
            </w: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r>
        <w:trPr>
          <w:trHeight w:val="96"/>
        </w:trPr>
        <w:tc>
          <w:tcPr>
            <w:tcW w:w="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60" w:type="dxa"/>
            <w:vAlign w:val="bottom"/>
            <w:gridSpan w:val="2"/>
          </w:tcPr>
          <w:p>
            <w:pPr>
              <w:jc w:val="right"/>
              <w:ind w:right="40"/>
              <w:spacing w:after="0" w:line="96" w:lineRule="exact"/>
              <w:rPr>
                <w:sz w:val="20"/>
                <w:szCs w:val="20"/>
                <w:color w:val="auto"/>
              </w:rPr>
            </w:pPr>
            <w:r>
              <w:rPr>
                <w:rFonts w:ascii="Arial" w:cs="Arial" w:eastAsia="Arial" w:hAnsi="Arial"/>
                <w:sz w:val="10"/>
                <w:szCs w:val="10"/>
                <w:b w:val="1"/>
                <w:bCs w:val="1"/>
                <w:color w:val="auto"/>
              </w:rPr>
              <w:t>Carrying</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tcPr>
          <w:p>
            <w:pPr>
              <w:jc w:val="center"/>
              <w:ind w:right="540"/>
              <w:spacing w:after="0" w:line="96" w:lineRule="exact"/>
              <w:rPr>
                <w:sz w:val="20"/>
                <w:szCs w:val="20"/>
                <w:color w:val="auto"/>
              </w:rPr>
            </w:pPr>
            <w:r>
              <w:rPr>
                <w:rFonts w:ascii="Arial" w:cs="Arial" w:eastAsia="Arial" w:hAnsi="Arial"/>
                <w:sz w:val="10"/>
                <w:szCs w:val="10"/>
                <w:b w:val="1"/>
                <w:bCs w:val="1"/>
                <w:color w:val="auto"/>
                <w:w w:val="85"/>
              </w:rPr>
              <w:t>Amortized</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gridSpan w:val="2"/>
          </w:tcPr>
          <w:p>
            <w:pPr>
              <w:jc w:val="right"/>
              <w:ind w:right="80"/>
              <w:spacing w:after="0" w:line="96" w:lineRule="exact"/>
              <w:rPr>
                <w:sz w:val="20"/>
                <w:szCs w:val="20"/>
                <w:color w:val="auto"/>
              </w:rPr>
            </w:pPr>
            <w:r>
              <w:rPr>
                <w:rFonts w:ascii="Arial" w:cs="Arial" w:eastAsia="Arial" w:hAnsi="Arial"/>
                <w:sz w:val="10"/>
                <w:szCs w:val="10"/>
                <w:b w:val="1"/>
                <w:bCs w:val="1"/>
                <w:color w:val="auto"/>
                <w:w w:val="90"/>
              </w:rPr>
              <w:t>Unrealized</w:t>
            </w:r>
          </w:p>
        </w:tc>
        <w:tc>
          <w:tcPr>
            <w:tcW w:w="920" w:type="dxa"/>
            <w:vAlign w:val="bottom"/>
            <w:gridSpan w:val="5"/>
          </w:tcPr>
          <w:p>
            <w:pPr>
              <w:jc w:val="right"/>
              <w:ind w:right="100"/>
              <w:spacing w:after="0" w:line="96" w:lineRule="exact"/>
              <w:rPr>
                <w:sz w:val="20"/>
                <w:szCs w:val="20"/>
                <w:color w:val="auto"/>
              </w:rPr>
            </w:pPr>
            <w:r>
              <w:rPr>
                <w:rFonts w:ascii="Arial" w:cs="Arial" w:eastAsia="Arial" w:hAnsi="Arial"/>
                <w:sz w:val="10"/>
                <w:szCs w:val="10"/>
                <w:b w:val="1"/>
                <w:bCs w:val="1"/>
                <w:color w:val="auto"/>
              </w:rPr>
              <w:t>Unrealized</w:t>
            </w:r>
          </w:p>
        </w:tc>
        <w:tc>
          <w:tcPr>
            <w:tcW w:w="360" w:type="dxa"/>
            <w:vAlign w:val="bottom"/>
          </w:tcPr>
          <w:p>
            <w:pPr>
              <w:spacing w:after="0"/>
              <w:rPr>
                <w:sz w:val="8"/>
                <w:szCs w:val="8"/>
                <w:color w:val="auto"/>
              </w:rPr>
            </w:pPr>
          </w:p>
        </w:tc>
        <w:tc>
          <w:tcPr>
            <w:tcW w:w="420" w:type="dxa"/>
            <w:vAlign w:val="bottom"/>
            <w:gridSpan w:val="3"/>
          </w:tcPr>
          <w:p>
            <w:pPr>
              <w:jc w:val="center"/>
              <w:ind w:right="120"/>
              <w:spacing w:after="0" w:line="96" w:lineRule="exact"/>
              <w:rPr>
                <w:sz w:val="20"/>
                <w:szCs w:val="20"/>
                <w:color w:val="auto"/>
              </w:rPr>
            </w:pPr>
            <w:r>
              <w:rPr>
                <w:rFonts w:ascii="Arial" w:cs="Arial" w:eastAsia="Arial" w:hAnsi="Arial"/>
                <w:sz w:val="10"/>
                <w:szCs w:val="10"/>
                <w:b w:val="1"/>
                <w:bCs w:val="1"/>
                <w:color w:val="auto"/>
                <w:w w:val="97"/>
              </w:rPr>
              <w:t>Fair</w:t>
            </w:r>
          </w:p>
        </w:tc>
        <w:tc>
          <w:tcPr>
            <w:tcW w:w="580" w:type="dxa"/>
            <w:vAlign w:val="bottom"/>
          </w:tcPr>
          <w:p>
            <w:pPr>
              <w:spacing w:after="0"/>
              <w:rPr>
                <w:sz w:val="8"/>
                <w:szCs w:val="8"/>
                <w:color w:val="auto"/>
              </w:rPr>
            </w:pPr>
          </w:p>
        </w:tc>
      </w:tr>
      <w:tr>
        <w:trPr>
          <w:trHeight w:val="128"/>
        </w:trPr>
        <w:tc>
          <w:tcPr>
            <w:tcW w:w="8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Value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0"/>
              </w:rPr>
              <w:t>Cost</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Gains</w:t>
            </w:r>
          </w:p>
        </w:tc>
        <w:tc>
          <w:tcPr>
            <w:tcW w:w="380" w:type="dxa"/>
            <w:vAlign w:val="bottom"/>
          </w:tcPr>
          <w:p>
            <w:pPr>
              <w:spacing w:after="0"/>
              <w:rPr>
                <w:sz w:val="11"/>
                <w:szCs w:val="11"/>
                <w:color w:val="auto"/>
              </w:rPr>
            </w:pPr>
          </w:p>
        </w:tc>
        <w:tc>
          <w:tcPr>
            <w:tcW w:w="540" w:type="dxa"/>
            <w:vAlign w:val="bottom"/>
            <w:gridSpan w:val="4"/>
          </w:tcPr>
          <w:p>
            <w:pPr>
              <w:jc w:val="right"/>
              <w:ind w:right="200"/>
              <w:spacing w:after="0"/>
              <w:rPr>
                <w:sz w:val="20"/>
                <w:szCs w:val="20"/>
                <w:color w:val="auto"/>
              </w:rPr>
            </w:pPr>
            <w:r>
              <w:rPr>
                <w:rFonts w:ascii="Arial" w:cs="Arial" w:eastAsia="Arial" w:hAnsi="Arial"/>
                <w:sz w:val="10"/>
                <w:szCs w:val="10"/>
                <w:b w:val="1"/>
                <w:bCs w:val="1"/>
                <w:color w:val="auto"/>
                <w:w w:val="75"/>
              </w:rPr>
              <w:t>Losses</w:t>
            </w:r>
          </w:p>
        </w:tc>
        <w:tc>
          <w:tcPr>
            <w:tcW w:w="360" w:type="dxa"/>
            <w:vAlign w:val="bottom"/>
          </w:tcPr>
          <w:p>
            <w:pPr>
              <w:spacing w:after="0"/>
              <w:rPr>
                <w:sz w:val="11"/>
                <w:szCs w:val="11"/>
                <w:color w:val="auto"/>
              </w:rPr>
            </w:pPr>
          </w:p>
        </w:tc>
        <w:tc>
          <w:tcPr>
            <w:tcW w:w="42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8"/>
              </w:rPr>
              <w:t>Va lue</w:t>
            </w:r>
          </w:p>
        </w:tc>
        <w:tc>
          <w:tcPr>
            <w:tcW w:w="580" w:type="dxa"/>
            <w:vAlign w:val="bottom"/>
          </w:tcPr>
          <w:p>
            <w:pPr>
              <w:spacing w:after="0"/>
              <w:rPr>
                <w:sz w:val="11"/>
                <w:szCs w:val="11"/>
                <w:color w:val="auto"/>
              </w:rPr>
            </w:pPr>
          </w:p>
        </w:tc>
      </w:tr>
      <w:tr>
        <w:trPr>
          <w:trHeight w:val="124"/>
        </w:trPr>
        <w:tc>
          <w:tcPr>
            <w:tcW w:w="8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w w:val="86"/>
              </w:rPr>
              <w:t>(Dollars in millions)</w:t>
            </w:r>
          </w:p>
        </w:tc>
        <w:tc>
          <w:tcPr>
            <w:tcW w:w="3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r>
      <w:tr>
        <w:trPr>
          <w:trHeight w:val="157"/>
        </w:trPr>
        <w:tc>
          <w:tcPr>
            <w:tcW w:w="840" w:type="dxa"/>
            <w:vAlign w:val="bottom"/>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44"/>
        </w:trPr>
        <w:tc>
          <w:tcPr>
            <w:tcW w:w="840" w:type="dxa"/>
            <w:vAlign w:val="bottom"/>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w w:val="97"/>
              </w:rPr>
              <w:t>family:inherit;font-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71"/>
        </w:trPr>
        <w:tc>
          <w:tcPr>
            <w:tcW w:w="840" w:type="dxa"/>
            <w:vAlign w:val="bottom"/>
          </w:tcPr>
          <w:p>
            <w:pPr>
              <w:spacing w:after="0"/>
              <w:rPr>
                <w:sz w:val="20"/>
                <w:szCs w:val="20"/>
                <w:color w:val="auto"/>
              </w:rPr>
            </w:pPr>
            <w:r>
              <w:rPr>
                <w:rFonts w:ascii="Arial" w:cs="Arial" w:eastAsia="Arial" w:hAnsi="Arial"/>
                <w:sz w:val="12"/>
                <w:szCs w:val="12"/>
                <w:color w:val="auto"/>
              </w:rPr>
              <w:t>Fixed maturity</w:t>
            </w: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investments (available for sale):</w:t>
            </w:r>
          </w:p>
        </w:tc>
        <w:tc>
          <w:tcPr>
            <w:tcW w:w="1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8"/>
              </w:rPr>
              <w:t>size:10pt;"&gt;</w:t>
            </w: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53"/>
        </w:trPr>
        <w:tc>
          <w:tcPr>
            <w:tcW w:w="3400" w:type="dxa"/>
            <w:vAlign w:val="bottom"/>
            <w:gridSpan w:val="2"/>
          </w:tcPr>
          <w:p>
            <w:pPr>
              <w:spacing w:after="0"/>
              <w:rPr>
                <w:sz w:val="20"/>
                <w:szCs w:val="20"/>
                <w:color w:val="auto"/>
              </w:rPr>
            </w:pPr>
            <w:r>
              <w:rPr>
                <w:rFonts w:ascii="Arial" w:cs="Arial" w:eastAsia="Arial" w:hAnsi="Arial"/>
                <w:sz w:val="12"/>
                <w:szCs w:val="12"/>
                <w:color w:val="auto"/>
              </w:rPr>
              <w:t>U.S. government and agencies</w:t>
            </w:r>
          </w:p>
        </w:tc>
        <w:tc>
          <w:tcPr>
            <w:tcW w:w="1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1"/>
        </w:trPr>
        <w:tc>
          <w:tcPr>
            <w:tcW w:w="84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&lt; /td&gt;</w:t>
            </w:r>
          </w:p>
        </w:tc>
        <w:tc>
          <w:tcPr>
            <w:tcW w:w="14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409.2</w:t>
            </w:r>
          </w:p>
        </w:tc>
        <w:tc>
          <w:tcPr>
            <w:tcW w:w="1480" w:type="dxa"/>
            <w:vAlign w:val="bottom"/>
            <w:gridSpan w:val="4"/>
          </w:tcPr>
          <w:p>
            <w:pPr>
              <w:jc w:val="right"/>
              <w:ind w:right="600"/>
              <w:spacing w:after="0"/>
              <w:rPr>
                <w:sz w:val="20"/>
                <w:szCs w:val="20"/>
                <w:color w:val="auto"/>
              </w:rPr>
            </w:pPr>
            <w:r>
              <w:rPr>
                <w:rFonts w:ascii="Arial" w:cs="Arial" w:eastAsia="Arial" w:hAnsi="Arial"/>
                <w:sz w:val="12"/>
                <w:szCs w:val="12"/>
                <w:color w:val="auto"/>
              </w:rPr>
              <w:t>397.5</w:t>
            </w:r>
          </w:p>
        </w:tc>
        <w:tc>
          <w:tcPr>
            <w:tcW w:w="9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14.4 )</w:t>
            </w:r>
          </w:p>
        </w:tc>
        <w:tc>
          <w:tcPr>
            <w:tcW w:w="4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2"/>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409.2</w:t>
            </w:r>
          </w:p>
        </w:tc>
      </w:tr>
      <w:tr>
        <w:trPr>
          <w:trHeight w:val="180"/>
        </w:trPr>
        <w:tc>
          <w:tcPr>
            <w:tcW w:w="840" w:type="dxa"/>
            <w:vAlign w:val="bottom"/>
          </w:tcPr>
          <w:p>
            <w:pPr>
              <w:spacing w:after="0"/>
              <w:rPr>
                <w:sz w:val="20"/>
                <w:szCs w:val="20"/>
                <w:color w:val="auto"/>
              </w:rPr>
            </w:pPr>
            <w:r>
              <w:rPr>
                <w:rFonts w:ascii="Arial" w:cs="Arial" w:eastAsia="Arial" w:hAnsi="Arial"/>
                <w:sz w:val="12"/>
                <w:szCs w:val="12"/>
                <w:color w:val="auto"/>
                <w:w w:val="81"/>
              </w:rPr>
              <w:t>States and political</w:t>
            </w:r>
          </w:p>
        </w:tc>
        <w:tc>
          <w:tcPr>
            <w:tcW w:w="2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subdivisions</w:t>
            </w:r>
          </w:p>
        </w:tc>
        <w:tc>
          <w:tcPr>
            <w:tcW w:w="1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1,294.2</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46.6 )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1,339.4</w:t>
            </w:r>
          </w:p>
        </w:tc>
      </w:tr>
      <w:tr>
        <w:trPr>
          <w:trHeight w:val="171"/>
        </w:trPr>
        <w:tc>
          <w:tcPr>
            <w:tcW w:w="3400" w:type="dxa"/>
            <w:vAlign w:val="bottom"/>
            <w:gridSpan w:val="2"/>
          </w:tcPr>
          <w:p>
            <w:pPr>
              <w:spacing w:after="0"/>
              <w:rPr>
                <w:sz w:val="20"/>
                <w:szCs w:val="20"/>
                <w:color w:val="auto"/>
              </w:rPr>
            </w:pPr>
            <w:r>
              <w:rPr>
                <w:rFonts w:ascii="Arial" w:cs="Arial" w:eastAsia="Arial" w:hAnsi="Arial"/>
                <w:sz w:val="12"/>
                <w:szCs w:val="12"/>
                <w:color w:val="auto"/>
              </w:rPr>
              <w:t>Corporate debt securities</w:t>
            </w: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1,379.1</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1,300.4</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84.0 )</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2"/>
                <w:szCs w:val="12"/>
                <w:color w:val="auto"/>
                <w:w w:val="86"/>
              </w:rPr>
              <w:t>(5.3</w:t>
            </w:r>
          </w:p>
        </w:tc>
        <w:tc>
          <w:tcPr>
            <w:tcW w:w="780" w:type="dxa"/>
            <w:vAlign w:val="bottom"/>
            <w:gridSpan w:val="4"/>
          </w:tcPr>
          <w:p>
            <w:pPr>
              <w:jc w:val="right"/>
              <w:ind w:right="160"/>
              <w:spacing w:after="0"/>
              <w:rPr>
                <w:sz w:val="20"/>
                <w:szCs w:val="20"/>
                <w:color w:val="auto"/>
              </w:rPr>
            </w:pPr>
            <w:r>
              <w:rPr>
                <w:rFonts w:ascii="Arial" w:cs="Arial" w:eastAsia="Arial" w:hAnsi="Arial"/>
                <w:sz w:val="12"/>
                <w:szCs w:val="12"/>
                <w:color w:val="auto"/>
              </w:rPr>
              <w:t>1,379.1</w:t>
            </w:r>
          </w:p>
        </w:tc>
        <w:tc>
          <w:tcPr>
            <w:tcW w:w="580" w:type="dxa"/>
            <w:vAlign w:val="bottom"/>
          </w:tcPr>
          <w:p>
            <w:pPr>
              <w:spacing w:after="0"/>
              <w:rPr>
                <w:sz w:val="14"/>
                <w:szCs w:val="14"/>
                <w:color w:val="auto"/>
              </w:rPr>
            </w:pPr>
          </w:p>
        </w:tc>
      </w:tr>
      <w:tr>
        <w:trPr>
          <w:trHeight w:val="144"/>
        </w:trPr>
        <w:tc>
          <w:tcPr>
            <w:tcW w:w="840" w:type="dxa"/>
            <w:vAlign w:val="bottom"/>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&lt; font style="font-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26"/>
        </w:trPr>
        <w:tc>
          <w:tcPr>
            <w:tcW w:w="840" w:type="dxa"/>
            <w:vAlign w:val="bottom"/>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jc w:val="right"/>
              <w:ind w:right="600"/>
              <w:spacing w:after="0" w:line="126" w:lineRule="exact"/>
              <w:rPr>
                <w:sz w:val="20"/>
                <w:szCs w:val="20"/>
                <w:color w:val="auto"/>
              </w:rPr>
            </w:pPr>
            <w:r>
              <w:rPr>
                <w:rFonts w:ascii="Arial" w:cs="Arial" w:eastAsia="Arial" w:hAnsi="Arial"/>
                <w:sz w:val="12"/>
                <w:szCs w:val="12"/>
                <w:color w:val="auto"/>
              </w:rPr>
              <w:t>family:inherit;font-</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71"/>
        </w:trPr>
        <w:tc>
          <w:tcPr>
            <w:tcW w:w="840" w:type="dxa"/>
            <w:vAlign w:val="bottom"/>
          </w:tcPr>
          <w:p>
            <w:pPr>
              <w:spacing w:after="0"/>
              <w:rPr>
                <w:sz w:val="20"/>
                <w:szCs w:val="20"/>
                <w:color w:val="auto"/>
              </w:rPr>
            </w:pPr>
            <w:r>
              <w:rPr>
                <w:rFonts w:ascii="Arial" w:cs="Arial" w:eastAsia="Arial" w:hAnsi="Arial"/>
                <w:sz w:val="12"/>
                <w:szCs w:val="12"/>
                <w:color w:val="auto"/>
                <w:w w:val="76"/>
              </w:rPr>
              <w:t>Foreign government</w:t>
            </w:r>
          </w:p>
        </w:tc>
        <w:tc>
          <w:tcPr>
            <w:tcW w:w="2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bonds</w:t>
            </w:r>
          </w:p>
        </w:tc>
        <w:tc>
          <w:tcPr>
            <w:tcW w:w="1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w w:val="92"/>
              </w:rPr>
              <w:t>37.6size:10pt;"&gt;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38.8</w:t>
            </w:r>
          </w:p>
        </w:tc>
      </w:tr>
      <w:tr>
        <w:trPr>
          <w:trHeight w:val="171"/>
        </w:trPr>
        <w:tc>
          <w:tcPr>
            <w:tcW w:w="3400" w:type="dxa"/>
            <w:vAlign w:val="bottom"/>
            <w:gridSpan w:val="2"/>
          </w:tcPr>
          <w:p>
            <w:pPr>
              <w:spacing w:after="0"/>
              <w:rPr>
                <w:sz w:val="20"/>
                <w:szCs w:val="20"/>
                <w:color w:val="auto"/>
              </w:rPr>
            </w:pPr>
            <w:r>
              <w:rPr>
                <w:rFonts w:ascii="Arial" w:cs="Arial" w:eastAsia="Arial" w:hAnsi="Arial"/>
                <w:sz w:val="12"/>
                <w:szCs w:val="12"/>
                <w:color w:val="auto"/>
              </w:rPr>
              <w:t>Mortgage-backed/asset-backed securities</w:t>
            </w: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312.5</w:t>
            </w:r>
          </w:p>
        </w:tc>
        <w:tc>
          <w:tcPr>
            <w:tcW w:w="1480" w:type="dxa"/>
            <w:vAlign w:val="bottom"/>
            <w:gridSpan w:val="4"/>
          </w:tcPr>
          <w:p>
            <w:pPr>
              <w:jc w:val="right"/>
              <w:ind w:right="600"/>
              <w:spacing w:after="0"/>
              <w:rPr>
                <w:sz w:val="20"/>
                <w:szCs w:val="20"/>
                <w:color w:val="auto"/>
              </w:rPr>
            </w:pPr>
            <w:r>
              <w:rPr>
                <w:rFonts w:ascii="Arial" w:cs="Arial" w:eastAsia="Arial" w:hAnsi="Arial"/>
                <w:sz w:val="12"/>
                <w:szCs w:val="12"/>
                <w:color w:val="auto"/>
              </w:rPr>
              <w:t>298.5</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14.4 )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312.5</w:t>
            </w:r>
          </w:p>
        </w:tc>
      </w:tr>
      <w:tr>
        <w:trPr>
          <w:trHeight w:val="180"/>
        </w:trPr>
        <w:tc>
          <w:tcPr>
            <w:tcW w:w="840" w:type="dxa"/>
            <w:vAlign w:val="bottom"/>
          </w:tcPr>
          <w:p>
            <w:pPr>
              <w:spacing w:after="0"/>
              <w:rPr>
                <w:sz w:val="20"/>
                <w:szCs w:val="20"/>
                <w:color w:val="auto"/>
              </w:rPr>
            </w:pPr>
            <w:r>
              <w:rPr>
                <w:rFonts w:ascii="Arial" w:cs="Arial" w:eastAsia="Arial" w:hAnsi="Arial"/>
                <w:sz w:val="12"/>
                <w:szCs w:val="12"/>
                <w:color w:val="auto"/>
              </w:rPr>
              <w:t>Other</w:t>
            </w:r>
          </w:p>
        </w:tc>
        <w:tc>
          <w:tcPr>
            <w:tcW w:w="25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26.4</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18.8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45.2</w:t>
            </w:r>
          </w:p>
        </w:tc>
      </w:tr>
      <w:tr>
        <w:trPr>
          <w:trHeight w:val="20"/>
        </w:trPr>
        <w:tc>
          <w:tcPr>
            <w:tcW w:w="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85"/>
        </w:trPr>
        <w:tc>
          <w:tcPr>
            <w:tcW w:w="8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6"/>
                <w:szCs w:val="16"/>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3,524.2</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3,354.6</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6"/>
                <w:szCs w:val="16"/>
                <w:color w:val="auto"/>
              </w:rPr>
            </w:pP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179.5 )</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3,524.2</w:t>
            </w:r>
          </w:p>
        </w:tc>
      </w:tr>
    </w:tbl>
    <w:p>
      <w:pPr>
        <w:spacing w:after="0" w:line="135" w:lineRule="exact"/>
        <w:rPr>
          <w:sz w:val="20"/>
          <w:szCs w:val="20"/>
          <w:color w:val="auto"/>
        </w:rPr>
      </w:pPr>
    </w:p>
    <w:p>
      <w:pPr>
        <w:jc w:val="both"/>
        <w:ind w:left="840" w:firstLine="216"/>
        <w:spacing w:after="0" w:line="263" w:lineRule="auto"/>
        <w:rPr>
          <w:sz w:val="20"/>
          <w:szCs w:val="20"/>
          <w:color w:val="auto"/>
        </w:rPr>
      </w:pPr>
      <w:r>
        <w:rPr>
          <w:rFonts w:ascii="Arial" w:cs="Arial" w:eastAsia="Arial" w:hAnsi="Arial"/>
          <w:sz w:val="12"/>
          <w:szCs w:val="12"/>
          <w:color w:val="auto"/>
        </w:rPr>
        <w:t>The majority of our mortgage-backed and asset-backed securities were acquired as a result of the acquisition of the LFG Underwriters on December 22, 2008. At December 31, 2010 all of our mortgage-backed and asset-backed securities are rated AAA. The mortgage-backed and asset-backed securities are made up of $141.7 million of agency mortgage-backed securities, $0.2 milli on of collateralized mortgage obligations, $16.0 million of commercial mortgage-backed securities, and $26.1 million in asset-backed securities.</w:t>
      </w:r>
    </w:p>
    <w:p>
      <w:pPr>
        <w:spacing w:after="0" w:line="123"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The change in net unrealized gains and losses on fixed maturities for the years ended December 31, 2010, 2009, and 2008 was $(52.5) million, $150.0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60"/>
          </w:cols>
          <w:pgMar w:left="240" w:top="127" w:right="199" w:bottom="1440" w:gutter="0" w:footer="0" w:header="0"/>
        </w:sectPr>
      </w:pPr>
    </w:p>
    <w:bookmarkStart w:id="66" w:name="page67"/>
    <w:bookmarkEnd w:id="66"/>
    <w:p>
      <w:pPr>
        <w:ind w:left="40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78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certain information regarding contractual maturities of our fixed maturity securities at December 31, 2010:</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0"/>
                <w:szCs w:val="10"/>
                <w:b w:val="1"/>
                <w:bCs w:val="1"/>
                <w:color w:val="auto"/>
                <w:w w:val="86"/>
              </w:rPr>
              <w:t>December 31, 2010</w:t>
            </w: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w w:val="88"/>
              </w:rPr>
              <w:t>Maturity</w:t>
            </w:r>
          </w:p>
        </w:tc>
        <w:tc>
          <w:tcPr>
            <w:tcW w:w="4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3540" w:type="dxa"/>
            <w:vAlign w:val="bottom"/>
            <w:gridSpan w:val="3"/>
          </w:tcPr>
          <w:p>
            <w:pPr>
              <w:jc w:val="center"/>
              <w:ind w:left="2705"/>
              <w:spacing w:after="0" w:line="110" w:lineRule="exact"/>
              <w:rPr>
                <w:sz w:val="20"/>
                <w:szCs w:val="20"/>
                <w:color w:val="auto"/>
              </w:rPr>
            </w:pPr>
            <w:r>
              <w:rPr>
                <w:rFonts w:ascii="Arial" w:cs="Arial" w:eastAsia="Arial" w:hAnsi="Arial"/>
                <w:sz w:val="10"/>
                <w:szCs w:val="10"/>
                <w:b w:val="1"/>
                <w:bCs w:val="1"/>
                <w:color w:val="auto"/>
                <w:w w:val="85"/>
              </w:rPr>
              <w:t>Amortized</w:t>
            </w:r>
          </w:p>
        </w:tc>
        <w:tc>
          <w:tcPr>
            <w:tcW w:w="520" w:type="dxa"/>
            <w:vAlign w:val="bottom"/>
          </w:tcPr>
          <w:p>
            <w:pPr>
              <w:spacing w:after="0"/>
              <w:rPr>
                <w:sz w:val="9"/>
                <w:szCs w:val="9"/>
                <w:color w:val="auto"/>
              </w:rPr>
            </w:pPr>
          </w:p>
        </w:tc>
        <w:tc>
          <w:tcPr>
            <w:tcW w:w="280" w:type="dxa"/>
            <w:vAlign w:val="bottom"/>
            <w:gridSpan w:val="2"/>
          </w:tcPr>
          <w:p>
            <w:pPr>
              <w:jc w:val="center"/>
              <w:spacing w:after="0" w:line="110" w:lineRule="exact"/>
              <w:rPr>
                <w:sz w:val="20"/>
                <w:szCs w:val="20"/>
                <w:color w:val="auto"/>
              </w:rPr>
            </w:pPr>
            <w:r>
              <w:rPr>
                <w:rFonts w:ascii="Arial" w:cs="Arial" w:eastAsia="Arial" w:hAnsi="Arial"/>
                <w:sz w:val="10"/>
                <w:szCs w:val="10"/>
                <w:b w:val="1"/>
                <w:bCs w:val="1"/>
                <w:color w:val="auto"/>
                <w:w w:val="94"/>
              </w:rPr>
              <w:t>% of</w:t>
            </w: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gridSpan w:val="2"/>
          </w:tcPr>
          <w:p>
            <w:pPr>
              <w:jc w:val="center"/>
              <w:ind w:right="120"/>
              <w:spacing w:after="0" w:line="110" w:lineRule="exact"/>
              <w:rPr>
                <w:sz w:val="20"/>
                <w:szCs w:val="20"/>
                <w:color w:val="auto"/>
              </w:rPr>
            </w:pPr>
            <w:r>
              <w:rPr>
                <w:rFonts w:ascii="Arial" w:cs="Arial" w:eastAsia="Arial" w:hAnsi="Arial"/>
                <w:sz w:val="10"/>
                <w:szCs w:val="10"/>
                <w:b w:val="1"/>
                <w:bCs w:val="1"/>
                <w:color w:val="auto"/>
                <w:w w:val="97"/>
              </w:rPr>
              <w:t>Fair</w:t>
            </w:r>
          </w:p>
        </w:tc>
        <w:tc>
          <w:tcPr>
            <w:tcW w:w="640" w:type="dxa"/>
            <w:vAlign w:val="bottom"/>
          </w:tcPr>
          <w:p>
            <w:pPr>
              <w:spacing w:after="0"/>
              <w:rPr>
                <w:sz w:val="9"/>
                <w:szCs w:val="9"/>
                <w:color w:val="auto"/>
              </w:rPr>
            </w:pPr>
          </w:p>
        </w:tc>
        <w:tc>
          <w:tcPr>
            <w:tcW w:w="460" w:type="dxa"/>
            <w:vAlign w:val="bottom"/>
            <w:gridSpan w:val="2"/>
          </w:tcPr>
          <w:p>
            <w:pPr>
              <w:jc w:val="center"/>
              <w:ind w:right="180"/>
              <w:spacing w:after="0" w:line="110" w:lineRule="exact"/>
              <w:rPr>
                <w:sz w:val="20"/>
                <w:szCs w:val="20"/>
                <w:color w:val="auto"/>
              </w:rPr>
            </w:pPr>
            <w:r>
              <w:rPr>
                <w:rFonts w:ascii="Arial" w:cs="Arial" w:eastAsia="Arial" w:hAnsi="Arial"/>
                <w:sz w:val="10"/>
                <w:szCs w:val="10"/>
                <w:b w:val="1"/>
                <w:bCs w:val="1"/>
                <w:color w:val="auto"/>
                <w:w w:val="94"/>
              </w:rPr>
              <w:t>% of</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400" w:type="dxa"/>
            <w:vAlign w:val="bottom"/>
            <w:tcBorders>
              <w:bottom w:val="single" w:sz="8" w:color="auto"/>
            </w:tcBorders>
            <w:vMerge w:val="continue"/>
          </w:tcPr>
          <w:p>
            <w:pPr>
              <w:spacing w:after="0"/>
              <w:rPr>
                <w:sz w:val="6"/>
                <w:szCs w:val="6"/>
                <w:color w:val="auto"/>
              </w:rPr>
            </w:pPr>
          </w:p>
        </w:tc>
        <w:tc>
          <w:tcPr>
            <w:tcW w:w="3800" w:type="dxa"/>
            <w:vAlign w:val="bottom"/>
            <w:gridSpan w:val="2"/>
            <w:vMerge w:val="restart"/>
          </w:tcPr>
          <w:p>
            <w:pPr>
              <w:spacing w:after="0"/>
              <w:rPr>
                <w:sz w:val="6"/>
                <w:szCs w:val="6"/>
                <w:color w:val="auto"/>
              </w:rPr>
            </w:pPr>
          </w:p>
        </w:tc>
        <w:tc>
          <w:tcPr>
            <w:tcW w:w="3540" w:type="dxa"/>
            <w:vAlign w:val="bottom"/>
            <w:gridSpan w:val="3"/>
            <w:vMerge w:val="restart"/>
          </w:tcPr>
          <w:p>
            <w:pPr>
              <w:jc w:val="center"/>
              <w:ind w:left="2705"/>
              <w:spacing w:after="0"/>
              <w:rPr>
                <w:sz w:val="20"/>
                <w:szCs w:val="20"/>
                <w:color w:val="auto"/>
              </w:rPr>
            </w:pPr>
            <w:r>
              <w:rPr>
                <w:rFonts w:ascii="Arial" w:cs="Arial" w:eastAsia="Arial" w:hAnsi="Arial"/>
                <w:sz w:val="10"/>
                <w:szCs w:val="10"/>
                <w:b w:val="1"/>
                <w:bCs w:val="1"/>
                <w:color w:val="auto"/>
                <w:w w:val="80"/>
              </w:rPr>
              <w:t>Cost</w:t>
            </w:r>
          </w:p>
        </w:tc>
        <w:tc>
          <w:tcPr>
            <w:tcW w:w="520" w:type="dxa"/>
            <w:vAlign w:val="bottom"/>
          </w:tcPr>
          <w:p>
            <w:pPr>
              <w:spacing w:after="0"/>
              <w:rPr>
                <w:sz w:val="6"/>
                <w:szCs w:val="6"/>
                <w:color w:val="auto"/>
              </w:rPr>
            </w:pPr>
          </w:p>
        </w:tc>
        <w:tc>
          <w:tcPr>
            <w:tcW w:w="2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3"/>
              </w:rPr>
              <w:t>Total</w:t>
            </w: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2"/>
              </w:rPr>
              <w:t>Value</w:t>
            </w:r>
          </w:p>
        </w:tc>
        <w:tc>
          <w:tcPr>
            <w:tcW w:w="640" w:type="dxa"/>
            <w:vAlign w:val="bottom"/>
          </w:tcPr>
          <w:p>
            <w:pPr>
              <w:spacing w:after="0"/>
              <w:rPr>
                <w:sz w:val="6"/>
                <w:szCs w:val="6"/>
                <w:color w:val="auto"/>
              </w:rPr>
            </w:pPr>
          </w:p>
        </w:tc>
        <w:tc>
          <w:tcPr>
            <w:tcW w:w="46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3800" w:type="dxa"/>
            <w:vAlign w:val="bottom"/>
            <w:gridSpan w:val="2"/>
            <w:vMerge w:val="continue"/>
          </w:tcPr>
          <w:p>
            <w:pPr>
              <w:spacing w:after="0"/>
              <w:rPr>
                <w:sz w:val="2"/>
                <w:szCs w:val="2"/>
                <w:color w:val="auto"/>
              </w:rPr>
            </w:pPr>
          </w:p>
        </w:tc>
        <w:tc>
          <w:tcPr>
            <w:tcW w:w="3540" w:type="dxa"/>
            <w:vAlign w:val="bottom"/>
            <w:gridSpan w:val="3"/>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4"/>
          </w:tcPr>
          <w:p>
            <w:pPr>
              <w:jc w:val="center"/>
              <w:ind w:right="400"/>
              <w:spacing w:after="0"/>
              <w:rPr>
                <w:sz w:val="20"/>
                <w:szCs w:val="20"/>
                <w:color w:val="auto"/>
              </w:rPr>
            </w:pPr>
            <w:r>
              <w:rPr>
                <w:rFonts w:ascii="Arial" w:cs="Arial" w:eastAsia="Arial" w:hAnsi="Arial"/>
                <w:sz w:val="10"/>
                <w:szCs w:val="10"/>
                <w:b w:val="1"/>
                <w:bCs w:val="1"/>
                <w:color w:val="auto"/>
                <w:w w:val="88"/>
              </w:rPr>
              <w:t>(Dollars in millions)</w:t>
            </w: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840" w:type="dxa"/>
            <w:vAlign w:val="bottom"/>
            <w:gridSpan w:val="3"/>
          </w:tcPr>
          <w:p>
            <w:pPr>
              <w:spacing w:after="0"/>
              <w:rPr>
                <w:sz w:val="20"/>
                <w:szCs w:val="20"/>
                <w:color w:val="auto"/>
              </w:rPr>
            </w:pPr>
            <w:r>
              <w:rPr>
                <w:rFonts w:ascii="Arial" w:cs="Arial" w:eastAsia="Arial" w:hAnsi="Arial"/>
                <w:sz w:val="12"/>
                <w:szCs w:val="12"/>
                <w:color w:val="auto"/>
                <w:w w:val="93"/>
              </w:rPr>
              <w:t>One year or less</w:t>
            </w:r>
          </w:p>
        </w:tc>
        <w:tc>
          <w:tcPr>
            <w:tcW w:w="3380" w:type="dxa"/>
            <w:vAlign w:val="bottom"/>
            <w:shd w:val="clear" w:color="auto" w:fill="CCEEFF"/>
          </w:tcPr>
          <w:p>
            <w:pPr>
              <w:spacing w:after="0"/>
              <w:rPr>
                <w:sz w:val="16"/>
                <w:szCs w:val="16"/>
                <w:color w:val="auto"/>
              </w:rPr>
            </w:pPr>
          </w:p>
        </w:tc>
        <w:tc>
          <w:tcPr>
            <w:tcW w:w="3100" w:type="dxa"/>
            <w:vAlign w:val="bottom"/>
            <w:shd w:val="clear" w:color="auto" w:fill="CCEEFF"/>
          </w:tcPr>
          <w:p>
            <w:pPr>
              <w:jc w:val="right"/>
              <w:ind w:right="725"/>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297.0</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3"/>
              </w:rPr>
              <w:t>%</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300.5</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color w:val="auto"/>
                <w:w w:val="93"/>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71"/>
        </w:trPr>
        <w:tc>
          <w:tcPr>
            <w:tcW w:w="4220" w:type="dxa"/>
            <w:vAlign w:val="bottom"/>
            <w:gridSpan w:val="4"/>
          </w:tcPr>
          <w:p>
            <w:pPr>
              <w:spacing w:after="0"/>
              <w:rPr>
                <w:sz w:val="20"/>
                <w:szCs w:val="20"/>
                <w:color w:val="auto"/>
              </w:rPr>
            </w:pPr>
            <w:r>
              <w:rPr>
                <w:rFonts w:ascii="Arial" w:cs="Arial" w:eastAsia="Arial" w:hAnsi="Arial"/>
                <w:sz w:val="12"/>
                <w:szCs w:val="12"/>
                <w:color w:val="auto"/>
              </w:rPr>
              <w:t>After one year through five years</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w w:val="99"/>
              </w:rPr>
              <w:t>1,398.1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41.4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1,473.0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42.2</w:t>
            </w:r>
          </w:p>
        </w:tc>
        <w:tc>
          <w:tcPr>
            <w:tcW w:w="0" w:type="dxa"/>
            <w:vAlign w:val="bottom"/>
          </w:tcPr>
          <w:p>
            <w:pPr>
              <w:spacing w:after="0"/>
              <w:rPr>
                <w:sz w:val="1"/>
                <w:szCs w:val="1"/>
                <w:color w:val="auto"/>
              </w:rPr>
            </w:pPr>
          </w:p>
        </w:tc>
      </w:tr>
      <w:tr>
        <w:trPr>
          <w:trHeight w:val="189"/>
        </w:trPr>
        <w:tc>
          <w:tcPr>
            <w:tcW w:w="840" w:type="dxa"/>
            <w:vAlign w:val="bottom"/>
            <w:gridSpan w:val="3"/>
          </w:tcPr>
          <w:p>
            <w:pPr>
              <w:spacing w:after="0"/>
              <w:rPr>
                <w:sz w:val="20"/>
                <w:szCs w:val="20"/>
                <w:color w:val="auto"/>
              </w:rPr>
            </w:pPr>
            <w:r>
              <w:rPr>
                <w:rFonts w:ascii="Arial" w:cs="Arial" w:eastAsia="Arial" w:hAnsi="Arial"/>
                <w:sz w:val="12"/>
                <w:szCs w:val="12"/>
                <w:color w:val="auto"/>
              </w:rPr>
              <w:t>After five years</w:t>
            </w: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through ten years</w:t>
            </w:r>
          </w:p>
        </w:tc>
        <w:tc>
          <w:tcPr>
            <w:tcW w:w="3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1,350.5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1,375.7</w:t>
            </w:r>
          </w:p>
        </w:tc>
        <w:tc>
          <w:tcPr>
            <w:tcW w:w="10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171"/>
        </w:trPr>
        <w:tc>
          <w:tcPr>
            <w:tcW w:w="4220" w:type="dxa"/>
            <w:vAlign w:val="bottom"/>
            <w:gridSpan w:val="4"/>
          </w:tcPr>
          <w:p>
            <w:pPr>
              <w:spacing w:after="0"/>
              <w:rPr>
                <w:sz w:val="20"/>
                <w:szCs w:val="20"/>
                <w:color w:val="auto"/>
              </w:rPr>
            </w:pPr>
            <w:r>
              <w:rPr>
                <w:rFonts w:ascii="Arial" w:cs="Arial" w:eastAsia="Arial" w:hAnsi="Arial"/>
                <w:sz w:val="12"/>
                <w:szCs w:val="12"/>
                <w:color w:val="auto"/>
              </w:rPr>
              <w:t>After ten years</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154.8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161.1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80"/>
        </w:trPr>
        <w:tc>
          <w:tcPr>
            <w:tcW w:w="4220" w:type="dxa"/>
            <w:vAlign w:val="bottom"/>
            <w:gridSpan w:val="4"/>
          </w:tcPr>
          <w:p>
            <w:pPr>
              <w:spacing w:after="0"/>
              <w:rPr>
                <w:sz w:val="20"/>
                <w:szCs w:val="20"/>
                <w:color w:val="auto"/>
              </w:rPr>
            </w:pPr>
            <w:r>
              <w:rPr>
                <w:rFonts w:ascii="Arial" w:cs="Arial" w:eastAsia="Arial" w:hAnsi="Arial"/>
                <w:sz w:val="12"/>
                <w:szCs w:val="12"/>
                <w:color w:val="auto"/>
              </w:rPr>
              <w:t>Mortgage-backed/asset-backed securities</w:t>
            </w:r>
          </w:p>
        </w:tc>
        <w:tc>
          <w:tcPr>
            <w:tcW w:w="3100" w:type="dxa"/>
            <w:vAlign w:val="bottom"/>
          </w:tcPr>
          <w:p>
            <w:pPr>
              <w:spacing w:after="0"/>
              <w:rPr>
                <w:sz w:val="15"/>
                <w:szCs w:val="15"/>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5.2</w:t>
            </w: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176.8</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184.0</w:t>
            </w:r>
          </w:p>
        </w:tc>
        <w:tc>
          <w:tcPr>
            <w:tcW w:w="100" w:type="dxa"/>
            <w:vAlign w:val="bottom"/>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jc w:val="right"/>
              <w:ind w:right="725"/>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9"/>
              </w:rPr>
              <w:t>3,377.2</w:t>
            </w:r>
          </w:p>
        </w:tc>
        <w:tc>
          <w:tcPr>
            <w:tcW w:w="2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2"/>
                <w:szCs w:val="12"/>
                <w:color w:val="auto"/>
                <w:w w:val="93"/>
              </w:rPr>
              <w:t>%</w:t>
            </w: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100.0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3,494.3</w:t>
            </w:r>
          </w:p>
        </w:tc>
        <w:tc>
          <w:tcPr>
            <w:tcW w:w="46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2"/>
                <w:szCs w:val="12"/>
                <w:color w:val="auto"/>
                <w:w w:val="93"/>
              </w:rPr>
              <w:t>%</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3100" w:type="dxa"/>
            <w:vAlign w:val="bottom"/>
            <w:vMerge w:val="restart"/>
            <w:shd w:val="clear" w:color="auto" w:fill="CCEEFF"/>
          </w:tcPr>
          <w:p>
            <w:pPr>
              <w:jc w:val="right"/>
              <w:ind w:right="725"/>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gridSpan w:val="3"/>
          </w:tcPr>
          <w:p>
            <w:pPr>
              <w:spacing w:after="0"/>
              <w:rPr>
                <w:sz w:val="20"/>
                <w:szCs w:val="20"/>
                <w:color w:val="auto"/>
              </w:rPr>
            </w:pPr>
            <w:r>
              <w:rPr>
                <w:rFonts w:ascii="Arial" w:cs="Arial" w:eastAsia="Arial" w:hAnsi="Arial"/>
                <w:sz w:val="12"/>
                <w:szCs w:val="12"/>
                <w:color w:val="auto"/>
              </w:rPr>
              <w:t>Subject to call</w:t>
            </w:r>
          </w:p>
        </w:tc>
        <w:tc>
          <w:tcPr>
            <w:tcW w:w="3380" w:type="dxa"/>
            <w:vAlign w:val="bottom"/>
            <w:shd w:val="clear" w:color="auto" w:fill="CCEEFF"/>
          </w:tcPr>
          <w:p>
            <w:pPr>
              <w:spacing w:after="0"/>
              <w:rPr>
                <w:sz w:val="14"/>
                <w:szCs w:val="14"/>
                <w:color w:val="auto"/>
              </w:rPr>
            </w:pPr>
          </w:p>
        </w:tc>
        <w:tc>
          <w:tcPr>
            <w:tcW w:w="3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634.4</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3"/>
              </w:rPr>
              <w:t>%</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654.6</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color w:val="auto"/>
                <w:w w:val="93"/>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-382270</wp:posOffset>
            </wp:positionV>
            <wp:extent cx="607949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9490" cy="114300"/>
                    </a:xfrm>
                    <a:prstGeom prst="rect">
                      <a:avLst/>
                    </a:prstGeom>
                    <a:noFill/>
                  </pic:spPr>
                </pic:pic>
              </a:graphicData>
            </a:graphic>
          </wp:anchor>
        </w:drawing>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Fixed maturity securities valued at approximately $185.4 million and $185.9 million were on deposit with various governmental authorities at December 31, 2010 and 2009, respectively, as required by law.</w:t>
      </w:r>
    </w:p>
    <w:p>
      <w:pPr>
        <w:spacing w:after="0" w:line="16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Expected maturities may differ from contractual maturities because certain borrowers have the right to call or prepay obligations with or without call or prepayment penalties.</w:t>
      </w:r>
    </w:p>
    <w:p>
      <w:pPr>
        <w:spacing w:after="0" w:line="150" w:lineRule="exact"/>
        <w:rPr>
          <w:sz w:val="20"/>
          <w:szCs w:val="20"/>
          <w:color w:val="auto"/>
        </w:rPr>
      </w:pPr>
    </w:p>
    <w:p>
      <w:pPr>
        <w:jc w:val="both"/>
        <w:ind w:left="860" w:firstLine="216"/>
        <w:spacing w:after="0" w:line="281" w:lineRule="auto"/>
        <w:rPr>
          <w:sz w:val="20"/>
          <w:szCs w:val="20"/>
          <w:color w:val="auto"/>
        </w:rPr>
      </w:pPr>
      <w:r>
        <w:rPr>
          <w:rFonts w:ascii="Arial" w:cs="Arial" w:eastAsia="Arial" w:hAnsi="Arial"/>
          <w:sz w:val="11"/>
          <w:szCs w:val="11"/>
          <w:color w:val="auto"/>
        </w:rPr>
        <w:t>Equity securities at December 31, 2010 and 2009 consisted of investments at a cost basis of $51.1 million and $64.6 million, respectively, and fair value of $75.2 million and $92.5 million, respectively. The carrying value of our investment in equity securities is fair value. The balance of equity securities is primarily composed of an investment in FIS stock, which we purchased on October 1, 2009 for $50.0 million, pursuant to an investment agreement between us and FIS dated March 31, 2009 in connection with a merger between FIS and Metavante Technologies, Inc. During the third quarter of 2010, we sold 1,611,574 shares as part of a tender offer by FIS at $29.00 per share for a realized gain of $21.7 million. The fair value of this investment is $43.9 million and $75.4 million as of December 31, 2010 and 2009, respectively. As of December 31, 2010, gross unrealized gains and gross unrealized losses on equity securities were $24.4 million and $0.3 million, respectively. As of December 31, 2009, gross unrealized gains and gross unrealized losses on equity securities were $28.4 million and $0.5 million, respectively. The change in unrealized gains (losses) on equity securities for the years ended December 31, 2010, 2009 and 2008 was a net (decrease) increase of $(3.8) million, $36.2 million, and $(5.5) million, respectively. There were no significant investments in banks, trust and insurance companies at December 31, 2010 or 2009.</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Interest and investment income consists of the following:</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143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-64135</wp:posOffset>
            </wp:positionV>
            <wp:extent cx="1143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30" cy="5715"/>
                    </a:xfrm>
                    <a:prstGeom prst="rect">
                      <a:avLst/>
                    </a:prstGeom>
                    <a:noFill/>
                  </pic:spPr>
                </pic:pic>
              </a:graphicData>
            </a:graphic>
          </wp:anchor>
        </w:drawing>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8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r>
        <w:trPr>
          <w:trHeight w:val="169"/>
        </w:trPr>
        <w:tc>
          <w:tcPr>
            <w:tcW w:w="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2010</w:t>
            </w:r>
          </w:p>
        </w:tc>
        <w:tc>
          <w:tcPr>
            <w:tcW w:w="440" w:type="dxa"/>
            <w:vAlign w:val="bottom"/>
          </w:tcPr>
          <w:p>
            <w:pPr>
              <w:spacing w:after="0"/>
              <w:rPr>
                <w:sz w:val="14"/>
                <w:szCs w:val="14"/>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0"/>
                <w:szCs w:val="10"/>
                <w:b w:val="1"/>
                <w:bCs w:val="1"/>
                <w:color w:val="auto"/>
              </w:rPr>
              <w:t>2008</w:t>
            </w:r>
          </w:p>
        </w:tc>
        <w:tc>
          <w:tcPr>
            <w:tcW w:w="580" w:type="dxa"/>
            <w:vAlign w:val="bottom"/>
          </w:tcPr>
          <w:p>
            <w:pPr>
              <w:spacing w:after="0"/>
              <w:rPr>
                <w:sz w:val="14"/>
                <w:szCs w:val="14"/>
                <w:color w:val="auto"/>
              </w:rPr>
            </w:pPr>
          </w:p>
        </w:tc>
      </w:tr>
      <w:tr>
        <w:trPr>
          <w:trHeight w:val="124"/>
        </w:trPr>
        <w:tc>
          <w:tcPr>
            <w:tcW w:w="8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0"/>
                <w:szCs w:val="10"/>
                <w:b w:val="1"/>
                <w:bCs w:val="1"/>
                <w:color w:val="auto"/>
                <w:w w:val="92"/>
              </w:rPr>
              <w:t>(Dollars in millions)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r>
      <w:tr>
        <w:trPr>
          <w:trHeight w:val="184"/>
        </w:trPr>
        <w:tc>
          <w:tcPr>
            <w:tcW w:w="840" w:type="dxa"/>
            <w:vAlign w:val="bottom"/>
          </w:tcPr>
          <w:p>
            <w:pPr>
              <w:spacing w:after="0"/>
              <w:rPr>
                <w:sz w:val="20"/>
                <w:szCs w:val="20"/>
                <w:color w:val="auto"/>
              </w:rPr>
            </w:pPr>
            <w:r>
              <w:rPr>
                <w:rFonts w:ascii="Arial" w:cs="Arial" w:eastAsia="Arial" w:hAnsi="Arial"/>
                <w:sz w:val="12"/>
                <w:szCs w:val="12"/>
                <w:color w:val="auto"/>
              </w:rPr>
              <w:t>Cash and cash</w:t>
            </w: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equivalents</w:t>
            </w:r>
          </w:p>
        </w:tc>
        <w:tc>
          <w:tcPr>
            <w:tcW w:w="340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0.4</w:t>
            </w:r>
          </w:p>
        </w:tc>
        <w:tc>
          <w:tcPr>
            <w:tcW w:w="1580" w:type="dxa"/>
            <w:vAlign w:val="bottom"/>
            <w:gridSpan w:val="4"/>
            <w:shd w:val="clear" w:color="auto" w:fill="CCEEFF"/>
          </w:tcPr>
          <w:p>
            <w:pPr>
              <w:jc w:val="right"/>
              <w:ind w:right="580"/>
              <w:spacing w:after="0"/>
              <w:rPr>
                <w:sz w:val="20"/>
                <w:szCs w:val="20"/>
                <w:color w:val="auto"/>
              </w:rPr>
            </w:pPr>
            <w:r>
              <w:rPr>
                <w:rFonts w:ascii="Arial" w:cs="Arial" w:eastAsia="Arial" w:hAnsi="Arial"/>
                <w:sz w:val="12"/>
                <w:szCs w:val="12"/>
                <w:color w:val="auto"/>
              </w:rPr>
              <w:t>1.2</w:t>
            </w:r>
          </w:p>
        </w:tc>
      </w:tr>
      <w:tr>
        <w:trPr>
          <w:trHeight w:val="171"/>
        </w:trPr>
        <w:tc>
          <w:tcPr>
            <w:tcW w:w="4220" w:type="dxa"/>
            <w:vAlign w:val="bottom"/>
            <w:gridSpan w:val="2"/>
          </w:tcPr>
          <w:p>
            <w:pPr>
              <w:spacing w:after="0"/>
              <w:rPr>
                <w:sz w:val="20"/>
                <w:szCs w:val="20"/>
                <w:color w:val="auto"/>
              </w:rPr>
            </w:pPr>
            <w:r>
              <w:rPr>
                <w:rFonts w:ascii="Arial" w:cs="Arial" w:eastAsia="Arial" w:hAnsi="Arial"/>
                <w:sz w:val="12"/>
                <w:szCs w:val="12"/>
                <w:color w:val="auto"/>
              </w:rPr>
              <w:t>Fixed maturity securities</w:t>
            </w: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143.8</w:t>
            </w:r>
          </w:p>
        </w:tc>
        <w:tc>
          <w:tcPr>
            <w:tcW w:w="1580" w:type="dxa"/>
            <w:vAlign w:val="bottom"/>
            <w:gridSpan w:val="4"/>
          </w:tcPr>
          <w:p>
            <w:pPr>
              <w:jc w:val="right"/>
              <w:ind w:right="580"/>
              <w:spacing w:after="0"/>
              <w:rPr>
                <w:sz w:val="20"/>
                <w:szCs w:val="20"/>
                <w:color w:val="auto"/>
              </w:rPr>
            </w:pPr>
            <w:r>
              <w:rPr>
                <w:rFonts w:ascii="Arial" w:cs="Arial" w:eastAsia="Arial" w:hAnsi="Arial"/>
                <w:sz w:val="12"/>
                <w:szCs w:val="12"/>
                <w:color w:val="auto"/>
              </w:rPr>
              <w:t>106.2</w:t>
            </w:r>
          </w:p>
        </w:tc>
      </w:tr>
      <w:tr>
        <w:trPr>
          <w:trHeight w:val="126"/>
        </w:trPr>
        <w:tc>
          <w:tcPr>
            <w:tcW w:w="840" w:type="dxa"/>
            <w:vAlign w:val="bottom"/>
          </w:tcPr>
          <w:p>
            <w:pPr>
              <w:spacing w:after="0"/>
              <w:rPr>
                <w:sz w:val="10"/>
                <w:szCs w:val="10"/>
                <w:color w:val="auto"/>
              </w:rPr>
            </w:pPr>
          </w:p>
        </w:tc>
        <w:tc>
          <w:tcPr>
            <w:tcW w:w="3380" w:type="dxa"/>
            <w:vAlign w:val="bottom"/>
            <w:shd w:val="clear" w:color="auto" w:fill="CCEEFF"/>
          </w:tcPr>
          <w:p>
            <w:pPr>
              <w:spacing w:after="0"/>
              <w:rPr>
                <w:sz w:val="10"/>
                <w:szCs w:val="10"/>
                <w:color w:val="auto"/>
              </w:rPr>
            </w:pPr>
          </w:p>
        </w:tc>
        <w:tc>
          <w:tcPr>
            <w:tcW w:w="34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gridSpan w:val="3"/>
            <w:shd w:val="clear" w:color="auto" w:fill="CCEEFF"/>
          </w:tcPr>
          <w:p>
            <w:pPr>
              <w:ind w:left="40"/>
              <w:spacing w:after="0" w:line="126" w:lineRule="exact"/>
              <w:rPr>
                <w:sz w:val="20"/>
                <w:szCs w:val="20"/>
                <w:color w:val="auto"/>
              </w:rPr>
            </w:pPr>
            <w:r>
              <w:rPr>
                <w:rFonts w:ascii="Arial" w:cs="Arial" w:eastAsia="Arial" w:hAnsi="Arial"/>
                <w:sz w:val="12"/>
                <w:szCs w:val="12"/>
                <w:color w:val="auto"/>
              </w:rPr>
              <w:t>&lt; div style="text-</w:t>
            </w:r>
          </w:p>
        </w:tc>
      </w:tr>
      <w:tr>
        <w:trPr>
          <w:trHeight w:val="171"/>
        </w:trPr>
        <w:tc>
          <w:tcPr>
            <w:tcW w:w="840" w:type="dxa"/>
            <w:vAlign w:val="bottom"/>
          </w:tcPr>
          <w:p>
            <w:pPr>
              <w:spacing w:after="0"/>
              <w:rPr>
                <w:sz w:val="20"/>
                <w:szCs w:val="20"/>
                <w:color w:val="auto"/>
              </w:rPr>
            </w:pPr>
            <w:r>
              <w:rPr>
                <w:rFonts w:ascii="Arial" w:cs="Arial" w:eastAsia="Arial" w:hAnsi="Arial"/>
                <w:sz w:val="12"/>
                <w:szCs w:val="12"/>
                <w:color w:val="auto"/>
                <w:w w:val="93"/>
              </w:rPr>
              <w:t>Equity securities</w:t>
            </w:r>
          </w:p>
        </w:tc>
        <w:tc>
          <w:tcPr>
            <w:tcW w:w="338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w w:val="94"/>
              </w:rPr>
              <w:t>2.8align:left;"&gt;</w:t>
            </w:r>
          </w:p>
        </w:tc>
      </w:tr>
      <w:tr>
        <w:trPr>
          <w:trHeight w:val="171"/>
        </w:trPr>
        <w:tc>
          <w:tcPr>
            <w:tcW w:w="4220" w:type="dxa"/>
            <w:vAlign w:val="bottom"/>
            <w:gridSpan w:val="2"/>
          </w:tcPr>
          <w:p>
            <w:pPr>
              <w:spacing w:after="0"/>
              <w:rPr>
                <w:sz w:val="20"/>
                <w:szCs w:val="20"/>
                <w:color w:val="auto"/>
              </w:rPr>
            </w:pPr>
            <w:r>
              <w:rPr>
                <w:rFonts w:ascii="Arial" w:cs="Arial" w:eastAsia="Arial" w:hAnsi="Arial"/>
                <w:sz w:val="12"/>
                <w:szCs w:val="12"/>
                <w:color w:val="auto"/>
              </w:rPr>
              <w:t>Short-term investments</w:t>
            </w: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3.3</w:t>
            </w:r>
          </w:p>
        </w:tc>
        <w:tc>
          <w:tcPr>
            <w:tcW w:w="1580" w:type="dxa"/>
            <w:vAlign w:val="bottom"/>
            <w:gridSpan w:val="4"/>
          </w:tcPr>
          <w:p>
            <w:pPr>
              <w:jc w:val="right"/>
              <w:ind w:right="580"/>
              <w:spacing w:after="0"/>
              <w:rPr>
                <w:sz w:val="20"/>
                <w:szCs w:val="20"/>
                <w:color w:val="auto"/>
              </w:rPr>
            </w:pPr>
            <w:r>
              <w:rPr>
                <w:rFonts w:ascii="Arial" w:cs="Arial" w:eastAsia="Arial" w:hAnsi="Arial"/>
                <w:sz w:val="12"/>
                <w:szCs w:val="12"/>
                <w:color w:val="auto"/>
              </w:rPr>
              <w:t>11.5</w:t>
            </w:r>
          </w:p>
        </w:tc>
      </w:tr>
      <w:tr>
        <w:trPr>
          <w:trHeight w:val="180"/>
        </w:trPr>
        <w:tc>
          <w:tcPr>
            <w:tcW w:w="840" w:type="dxa"/>
            <w:vAlign w:val="bottom"/>
          </w:tcPr>
          <w:p>
            <w:pPr>
              <w:spacing w:after="0"/>
              <w:rPr>
                <w:sz w:val="20"/>
                <w:szCs w:val="20"/>
                <w:color w:val="auto"/>
              </w:rPr>
            </w:pPr>
            <w:r>
              <w:rPr>
                <w:rFonts w:ascii="Arial" w:cs="Arial" w:eastAsia="Arial" w:hAnsi="Arial"/>
                <w:sz w:val="12"/>
                <w:szCs w:val="12"/>
                <w:color w:val="auto"/>
              </w:rPr>
              <w:t>Other</w:t>
            </w:r>
          </w:p>
        </w:tc>
        <w:tc>
          <w:tcPr>
            <w:tcW w:w="338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6.4</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tcBorders>
              <w:bottom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12.3</w:t>
            </w:r>
          </w:p>
        </w:tc>
      </w:tr>
      <w:tr>
        <w:trPr>
          <w:trHeight w:val="174"/>
        </w:trPr>
        <w:tc>
          <w:tcPr>
            <w:tcW w:w="4220" w:type="dxa"/>
            <w:vAlign w:val="bottom"/>
            <w:gridSpan w:val="2"/>
          </w:tcPr>
          <w:p>
            <w:pPr>
              <w:spacing w:after="0"/>
              <w:rPr>
                <w:sz w:val="20"/>
                <w:szCs w:val="20"/>
                <w:color w:val="auto"/>
              </w:rPr>
            </w:pPr>
            <w:r>
              <w:rPr>
                <w:rFonts w:ascii="Arial" w:cs="Arial" w:eastAsia="Arial" w:hAnsi="Arial"/>
                <w:sz w:val="12"/>
                <w:szCs w:val="12"/>
                <w:color w:val="auto"/>
              </w:rPr>
              <w:t>Total</w:t>
            </w:r>
          </w:p>
        </w:tc>
        <w:tc>
          <w:tcPr>
            <w:tcW w:w="340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144.5</w:t>
            </w:r>
          </w:p>
        </w:tc>
        <w:tc>
          <w:tcPr>
            <w:tcW w:w="580" w:type="dxa"/>
            <w:vAlign w:val="bottom"/>
            <w:gridSpan w:val="3"/>
          </w:tcPr>
          <w:p>
            <w:pPr>
              <w:jc w:val="right"/>
              <w:ind w:right="260"/>
              <w:spacing w:after="0"/>
              <w:rPr>
                <w:sz w:val="20"/>
                <w:szCs w:val="20"/>
                <w:color w:val="auto"/>
              </w:rPr>
            </w:pPr>
            <w:r>
              <w:rPr>
                <w:rFonts w:ascii="Arial" w:cs="Arial" w:eastAsia="Arial" w:hAnsi="Arial"/>
                <w:sz w:val="12"/>
                <w:szCs w:val="12"/>
                <w:color w:val="auto"/>
                <w:w w:val="81"/>
              </w:rPr>
              <w:t>154.5$</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jc w:val="right"/>
              <w:ind w:right="660"/>
              <w:spacing w:after="0"/>
              <w:rPr>
                <w:sz w:val="20"/>
                <w:szCs w:val="20"/>
                <w:color w:val="auto"/>
              </w:rPr>
            </w:pPr>
            <w:r>
              <w:rPr>
                <w:rFonts w:ascii="Arial" w:cs="Arial" w:eastAsia="Arial" w:hAnsi="Arial"/>
                <w:sz w:val="12"/>
                <w:szCs w:val="12"/>
                <w:color w:val="auto"/>
                <w:w w:val="86"/>
              </w:rPr>
              <w:t>134.0</w:t>
            </w:r>
          </w:p>
        </w:tc>
        <w:tc>
          <w:tcPr>
            <w:tcW w:w="580" w:type="dxa"/>
            <w:vAlign w:val="bottom"/>
          </w:tcPr>
          <w:p>
            <w:pPr>
              <w:spacing w:after="0"/>
              <w:rPr>
                <w:sz w:val="15"/>
                <w:szCs w:val="15"/>
                <w:color w:val="auto"/>
              </w:rPr>
            </w:pPr>
          </w:p>
        </w:tc>
      </w:tr>
      <w:tr>
        <w:trPr>
          <w:trHeight w:val="32"/>
        </w:trPr>
        <w:tc>
          <w:tcPr>
            <w:tcW w:w="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r>
    </w:tbl>
    <w:p>
      <w:pPr>
        <w:spacing w:after="0" w:line="135" w:lineRule="exact"/>
        <w:rPr>
          <w:sz w:val="20"/>
          <w:szCs w:val="20"/>
          <w:color w:val="auto"/>
        </w:rPr>
      </w:pPr>
    </w:p>
    <w:p>
      <w:pPr>
        <w:jc w:val="both"/>
        <w:ind w:left="860" w:firstLine="216"/>
        <w:spacing w:after="0" w:line="254" w:lineRule="auto"/>
        <w:rPr>
          <w:sz w:val="20"/>
          <w:szCs w:val="20"/>
          <w:color w:val="auto"/>
        </w:rPr>
      </w:pPr>
      <w:r>
        <w:rPr>
          <w:rFonts w:ascii="Arial" w:cs="Arial" w:eastAsia="Arial" w:hAnsi="Arial"/>
          <w:sz w:val="12"/>
          <w:szCs w:val="12"/>
          <w:color w:val="auto"/>
        </w:rPr>
        <w:t>We lend fixed maturity and equity securities to financial institutions in short-term security lending transactions. Our security lending policy requires that the cash received as collateral be 102% or more of the fair value of the loaned securities. At December 31, 2010 and 2009, we had security loans outstanding with fair values of $9.1 million and $25.6 million, respectively. Securities loaned under such transactions may be sold or re-pledged by the transferee. We were liable for cash collat eral under our control of $9.4 million and $26.5 million at December 31, 2010 and 2009, respectively, which has been included in cash and cash equivalents and in accounts payable and accrued liabilities.</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127" w:right="199" w:bottom="1440" w:gutter="0" w:footer="0" w:header="0"/>
        </w:sectPr>
      </w:pPr>
    </w:p>
    <w:bookmarkStart w:id="67" w:name="page68"/>
    <w:bookmarkEnd w:id="67"/>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98"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Net realized gains (losses) related to investments were $127.8 million, $22.8 million, and $(49.4) million for the years ended December 31, 2010, 2009 and 2008, respectively. Net realized gains related to other assets were $108.9 million, $4.6 million, and $26.9 million for the years ended December 31, 2010, 2009, and 2008, respectively, including a $98.4 million gain on the sale of our investment in Sedgwick during 2010.</w:t>
      </w:r>
    </w:p>
    <w:p>
      <w:pPr>
        <w:spacing w:after="0" w:line="9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the years ended December 31, 2010, 2009 and 2008, gross realized gains on sales of fixed maturity securities considered av ailable for sale were $91.6 million, $38.1 million, and $13.1 million, respectively; gross realized losses were $2.0 million, $2.8 million, and $9.8 million, respectively. Gross proceeds from the sale and maturity of fixed maturity securities considered available for sale amounted to $1,348.8 million, $1,130.1 million, and $845.3 million during the years ended December 31, 2010, 2009 and 2008, respectively.</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the years ended December 31, 2010, 2009 and 2008, gross realized gains on sales of equity securities considered available for sale were $26.3 million, $5.3 million, and $5.9 million, respectively; gross realized losses were $21.5 million, and $4.9 million, in 2009 and 2008, respectively. There were no realized losses during the y ear ending December 31, 2010. Gross proceeds from the sale of equity securities amounted to $59.9 million, $60.0 million, and $79.4 million during the years ended December 31, 2010, 2009 and 2008, respectively.</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Included in our other long-term investments are fixed-maturity structured notes purchased in the third quarter of 2009. The structured notes are carried at fair value (see note C) and changes in the fair value of these structured notes are recorded as realized gains and losses in the Statement of Operatio ns. The carrying value of the structured notes was $90.1 million and $78.7 million as of December 31, 2010 and 2009, respectively, and we recorded a net gain of $11.4 million and $3.7 million related to the structured notes in the years ended December 31, 2010 and 2009, respectively.</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Net unrealized losses on investment securities and the fair value of the related securities, aggregated by investment category and length of time that individual securities have been in a continuous unrealized loss position at December 31, 2010 and 2009 were as follows (in millions):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2010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6"/>
          </w:tcPr>
          <w:p>
            <w:pPr>
              <w:jc w:val="right"/>
              <w:ind w:right="86"/>
              <w:spacing w:after="0"/>
              <w:rPr>
                <w:sz w:val="20"/>
                <w:szCs w:val="20"/>
                <w:color w:val="auto"/>
              </w:rPr>
            </w:pPr>
            <w:r>
              <w:rPr>
                <w:rFonts w:ascii="Arial" w:cs="Arial" w:eastAsia="Arial" w:hAnsi="Arial"/>
                <w:sz w:val="10"/>
                <w:szCs w:val="10"/>
                <w:b w:val="1"/>
                <w:bCs w:val="1"/>
                <w:color w:val="auto"/>
              </w:rPr>
              <w:t>Less than 12 Months</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4"/>
              </w:rPr>
              <w:t>12 Months or Longer</w:t>
            </w: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Total</w:t>
            </w: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jc w:val="right"/>
              <w:ind w:right="263"/>
              <w:spacing w:after="0" w:line="96" w:lineRule="exact"/>
              <w:rPr>
                <w:sz w:val="20"/>
                <w:szCs w:val="20"/>
                <w:color w:val="auto"/>
              </w:rPr>
            </w:pPr>
            <w:r>
              <w:rPr>
                <w:rFonts w:ascii="Arial" w:cs="Arial" w:eastAsia="Arial" w:hAnsi="Arial"/>
                <w:sz w:val="10"/>
                <w:szCs w:val="10"/>
                <w:b w:val="1"/>
                <w:bCs w:val="1"/>
                <w:color w:val="auto"/>
              </w:rPr>
              <w:t>Fair</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ind w:left="60"/>
              <w:spacing w:after="0" w:line="96" w:lineRule="exact"/>
              <w:rPr>
                <w:sz w:val="20"/>
                <w:szCs w:val="20"/>
                <w:color w:val="auto"/>
              </w:rPr>
            </w:pPr>
            <w:r>
              <w:rPr>
                <w:rFonts w:ascii="Arial" w:cs="Arial" w:eastAsia="Arial" w:hAnsi="Arial"/>
                <w:sz w:val="10"/>
                <w:szCs w:val="10"/>
                <w:b w:val="1"/>
                <w:bCs w:val="1"/>
                <w:color w:val="auto"/>
              </w:rPr>
              <w:t>Unrealized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jc w:val="right"/>
              <w:ind w:right="123"/>
              <w:spacing w:after="0" w:line="96" w:lineRule="exact"/>
              <w:rPr>
                <w:sz w:val="20"/>
                <w:szCs w:val="20"/>
                <w:color w:val="auto"/>
              </w:rPr>
            </w:pPr>
            <w:r>
              <w:rPr>
                <w:rFonts w:ascii="Arial" w:cs="Arial" w:eastAsia="Arial" w:hAnsi="Arial"/>
                <w:sz w:val="10"/>
                <w:szCs w:val="10"/>
                <w:b w:val="1"/>
                <w:bCs w:val="1"/>
                <w:color w:val="auto"/>
              </w:rPr>
              <w:t>Fair</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0"/>
              </w:rPr>
              <w:t>Unrealized</w:t>
            </w: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gridSpan w:val="2"/>
          </w:tcPr>
          <w:p>
            <w:pPr>
              <w:ind w:left="40"/>
              <w:spacing w:after="0" w:line="96" w:lineRule="exact"/>
              <w:rPr>
                <w:sz w:val="20"/>
                <w:szCs w:val="20"/>
                <w:color w:val="auto"/>
              </w:rPr>
            </w:pPr>
            <w:r>
              <w:rPr>
                <w:rFonts w:ascii="Arial" w:cs="Arial" w:eastAsia="Arial" w:hAnsi="Arial"/>
                <w:sz w:val="10"/>
                <w:szCs w:val="10"/>
                <w:b w:val="1"/>
                <w:bCs w:val="1"/>
                <w:color w:val="auto"/>
              </w:rPr>
              <w:t>Fair</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90"/>
              </w:rPr>
              <w:t>Unrealized</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Value</w:t>
            </w: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03"/>
              <w:spacing w:after="0"/>
              <w:rPr>
                <w:sz w:val="20"/>
                <w:szCs w:val="20"/>
                <w:color w:val="auto"/>
              </w:rPr>
            </w:pPr>
            <w:r>
              <w:rPr>
                <w:rFonts w:ascii="Arial" w:cs="Arial" w:eastAsia="Arial" w:hAnsi="Arial"/>
                <w:sz w:val="8"/>
                <w:szCs w:val="8"/>
                <w:b w:val="1"/>
                <w:bCs w:val="1"/>
                <w:color w:val="auto"/>
                <w:w w:val="86"/>
              </w:rPr>
              <w:t>Losses</w:t>
            </w:r>
          </w:p>
        </w:tc>
        <w:tc>
          <w:tcPr>
            <w:tcW w:w="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82"/>
              </w:rPr>
              <w:t>Value</w:t>
            </w:r>
          </w:p>
        </w:tc>
        <w:tc>
          <w:tcPr>
            <w:tcW w:w="2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75"/>
              </w:rPr>
              <w:t>Losses</w:t>
            </w:r>
          </w:p>
        </w:tc>
        <w:tc>
          <w:tcPr>
            <w:tcW w:w="1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Value</w:t>
            </w:r>
          </w:p>
        </w:tc>
        <w:tc>
          <w:tcPr>
            <w:tcW w:w="3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75"/>
              </w:rPr>
              <w:t>Losses</w:t>
            </w: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320" w:type="dxa"/>
            <w:vAlign w:val="bottom"/>
            <w:gridSpan w:val="2"/>
          </w:tcPr>
          <w:p>
            <w:pPr>
              <w:ind w:left="240"/>
              <w:spacing w:after="0"/>
              <w:rPr>
                <w:sz w:val="20"/>
                <w:szCs w:val="20"/>
                <w:color w:val="auto"/>
              </w:rPr>
            </w:pPr>
            <w:r>
              <w:rPr>
                <w:rFonts w:ascii="Arial" w:cs="Arial" w:eastAsia="Arial" w:hAnsi="Arial"/>
                <w:sz w:val="12"/>
                <w:szCs w:val="12"/>
                <w:color w:val="auto"/>
              </w:rPr>
              <w:t>U.S. government and agencies</w:t>
            </w:r>
          </w:p>
        </w:tc>
        <w:tc>
          <w:tcPr>
            <w:tcW w:w="3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43"/>
              <w:spacing w:after="0"/>
              <w:rPr>
                <w:sz w:val="20"/>
                <w:szCs w:val="20"/>
                <w:color w:val="auto"/>
              </w:rPr>
            </w:pPr>
            <w:r>
              <w:rPr>
                <w:rFonts w:ascii="Arial" w:cs="Arial" w:eastAsia="Arial" w:hAnsi="Arial"/>
                <w:sz w:val="12"/>
                <w:szCs w:val="12"/>
                <w:color w:val="auto"/>
              </w:rPr>
              <w:t>54.3</w:t>
            </w:r>
          </w:p>
        </w:tc>
        <w:tc>
          <w:tcPr>
            <w:tcW w:w="880" w:type="dxa"/>
            <w:vAlign w:val="bottom"/>
            <w:gridSpan w:val="5"/>
          </w:tcPr>
          <w:p>
            <w:pPr>
              <w:ind w:left="56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43"/>
              <w:spacing w:after="0"/>
              <w:rPr>
                <w:sz w:val="20"/>
                <w:szCs w:val="20"/>
                <w:color w:val="auto"/>
              </w:rPr>
            </w:pPr>
            <w:r>
              <w:rPr>
                <w:rFonts w:ascii="Arial" w:cs="Arial" w:eastAsia="Arial" w:hAnsi="Arial"/>
                <w:sz w:val="12"/>
                <w:szCs w:val="12"/>
                <w:color w:val="auto"/>
              </w:rPr>
              <w:t>(2.0</w:t>
            </w:r>
          </w:p>
        </w:tc>
        <w:tc>
          <w:tcPr>
            <w:tcW w:w="8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0.4</w:t>
            </w:r>
          </w:p>
        </w:tc>
        <w:tc>
          <w:tcPr>
            <w:tcW w:w="98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3"/>
          </w:tcPr>
          <w:p>
            <w:pPr>
              <w:ind w:left="50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54.7</w:t>
            </w:r>
          </w:p>
        </w:tc>
        <w:tc>
          <w:tcPr>
            <w:tcW w:w="240" w:type="dxa"/>
            <w:vAlign w:val="bottom"/>
          </w:tcPr>
          <w:p>
            <w:pPr>
              <w:spacing w:after="0"/>
              <w:rPr>
                <w:sz w:val="14"/>
                <w:szCs w:val="14"/>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83"/>
              <w:spacing w:after="0"/>
              <w:rPr>
                <w:sz w:val="20"/>
                <w:szCs w:val="20"/>
                <w:color w:val="auto"/>
              </w:rPr>
            </w:pPr>
            <w:r>
              <w:rPr>
                <w:rFonts w:ascii="Arial" w:cs="Arial" w:eastAsia="Arial" w:hAnsi="Arial"/>
                <w:sz w:val="12"/>
                <w:szCs w:val="12"/>
                <w:color w:val="auto"/>
              </w:rPr>
              <w:t>(2.1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States and political subdivisions</w:t>
            </w: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255.2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160" w:type="dxa"/>
            <w:vAlign w:val="bottom"/>
            <w:tcBorders>
              <w:right w:val="single" w:sz="8" w:color="CCEEFF"/>
            </w:tcBorders>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255.2</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(7.2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color w:val="auto"/>
              </w:rPr>
              <w:t>&lt; div</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w w:val="97"/>
              </w:rPr>
              <w:t>style="text-</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align:right;font-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gridSpan w:val="2"/>
          </w:tcPr>
          <w:p>
            <w:pPr>
              <w:ind w:left="240"/>
              <w:spacing w:after="0"/>
              <w:rPr>
                <w:sz w:val="20"/>
                <w:szCs w:val="20"/>
                <w:color w:val="auto"/>
              </w:rPr>
            </w:pPr>
            <w:r>
              <w:rPr>
                <w:rFonts w:ascii="Arial" w:cs="Arial" w:eastAsia="Arial" w:hAnsi="Arial"/>
                <w:sz w:val="12"/>
                <w:szCs w:val="12"/>
                <w:color w:val="auto"/>
              </w:rPr>
              <w:t>Corporate debt securities</w:t>
            </w:r>
          </w:p>
        </w:tc>
        <w:tc>
          <w:tcPr>
            <w:tcW w:w="340" w:type="dxa"/>
            <w:vAlign w:val="bottom"/>
          </w:tcPr>
          <w:p>
            <w:pPr>
              <w:spacing w:after="0"/>
              <w:rPr>
                <w:sz w:val="14"/>
                <w:szCs w:val="14"/>
                <w:color w:val="auto"/>
              </w:rPr>
            </w:pPr>
          </w:p>
        </w:tc>
        <w:tc>
          <w:tcPr>
            <w:tcW w:w="600" w:type="dxa"/>
            <w:vAlign w:val="bottom"/>
          </w:tcPr>
          <w:p>
            <w:pPr>
              <w:jc w:val="right"/>
              <w:ind w:right="143"/>
              <w:spacing w:after="0"/>
              <w:rPr>
                <w:sz w:val="20"/>
                <w:szCs w:val="20"/>
                <w:color w:val="auto"/>
              </w:rPr>
            </w:pPr>
            <w:r>
              <w:rPr>
                <w:rFonts w:ascii="Arial" w:cs="Arial" w:eastAsia="Arial" w:hAnsi="Arial"/>
                <w:sz w:val="12"/>
                <w:szCs w:val="12"/>
                <w:color w:val="auto"/>
              </w:rPr>
              <w:t>251.4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right"/>
              <w:ind w:right="143"/>
              <w:spacing w:after="0"/>
              <w:rPr>
                <w:sz w:val="20"/>
                <w:szCs w:val="20"/>
                <w:color w:val="auto"/>
              </w:rPr>
            </w:pPr>
            <w:r>
              <w:rPr>
                <w:rFonts w:ascii="Arial" w:cs="Arial" w:eastAsia="Arial" w:hAnsi="Arial"/>
                <w:sz w:val="12"/>
                <w:szCs w:val="12"/>
                <w:color w:val="auto"/>
              </w:rPr>
              <w:t>(6.3</w:t>
            </w:r>
          </w:p>
        </w:tc>
        <w:tc>
          <w:tcPr>
            <w:tcW w:w="8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color w:val="auto"/>
              </w:rPr>
              <w:t>size:10pt;"&gt;—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251.4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83"/>
              <w:spacing w:after="0"/>
              <w:rPr>
                <w:sz w:val="20"/>
                <w:szCs w:val="20"/>
                <w:color w:val="auto"/>
              </w:rPr>
            </w:pPr>
            <w:r>
              <w:rPr>
                <w:rFonts w:ascii="Arial" w:cs="Arial" w:eastAsia="Arial" w:hAnsi="Arial"/>
                <w:sz w:val="12"/>
                <w:szCs w:val="12"/>
                <w:color w:val="auto"/>
              </w:rPr>
              <w:t>(6.3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23"/>
              <w:spacing w:after="0"/>
              <w:rPr>
                <w:sz w:val="20"/>
                <w:szCs w:val="20"/>
                <w:color w:val="auto"/>
              </w:rPr>
            </w:pPr>
            <w:r>
              <w:rPr>
                <w:rFonts w:ascii="Arial" w:cs="Arial" w:eastAsia="Arial" w:hAnsi="Arial"/>
                <w:sz w:val="12"/>
                <w:szCs w:val="12"/>
                <w:color w:val="auto"/>
              </w:rPr>
              <w:t>&lt;</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Foreign government bonds</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10.8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(0.4/font&gt;</w:t>
            </w:r>
          </w:p>
        </w:tc>
        <w:tc>
          <w:tcPr>
            <w:tcW w:w="0" w:type="dxa"/>
            <w:vAlign w:val="bottom"/>
          </w:tcPr>
          <w:p>
            <w:pPr>
              <w:spacing w:after="0"/>
              <w:rPr>
                <w:sz w:val="1"/>
                <w:szCs w:val="1"/>
                <w:color w:val="auto"/>
              </w:rPr>
            </w:pPr>
          </w:p>
        </w:tc>
      </w:tr>
      <w:tr>
        <w:trPr>
          <w:trHeight w:val="171"/>
        </w:trPr>
        <w:tc>
          <w:tcPr>
            <w:tcW w:w="2160" w:type="dxa"/>
            <w:vAlign w:val="bottom"/>
          </w:tcPr>
          <w:p>
            <w:pPr>
              <w:ind w:left="240"/>
              <w:spacing w:after="0"/>
              <w:rPr>
                <w:sz w:val="20"/>
                <w:szCs w:val="20"/>
                <w:color w:val="auto"/>
              </w:rPr>
            </w:pPr>
            <w:r>
              <w:rPr>
                <w:rFonts w:ascii="Arial" w:cs="Arial" w:eastAsia="Arial" w:hAnsi="Arial"/>
                <w:sz w:val="12"/>
                <w:szCs w:val="12"/>
                <w:color w:val="auto"/>
              </w:rPr>
              <w:t>Equity securities</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160" w:type="dxa"/>
            <w:vAlign w:val="bottom"/>
          </w:tcPr>
          <w:p>
            <w:pPr>
              <w:ind w:left="400"/>
              <w:spacing w:after="0"/>
              <w:rPr>
                <w:sz w:val="20"/>
                <w:szCs w:val="20"/>
                <w:color w:val="auto"/>
              </w:rPr>
            </w:pPr>
            <w:r>
              <w:rPr>
                <w:rFonts w:ascii="Arial" w:cs="Arial" w:eastAsia="Arial" w:hAnsi="Arial"/>
                <w:sz w:val="12"/>
                <w:szCs w:val="12"/>
                <w:color w:val="auto"/>
              </w:rPr>
              <w:t>Total temporarily impaired</w:t>
            </w:r>
          </w:p>
        </w:tc>
        <w:tc>
          <w:tcPr>
            <w:tcW w:w="16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ind w:right="143"/>
              <w:spacing w:after="0"/>
              <w:rPr>
                <w:sz w:val="20"/>
                <w:szCs w:val="20"/>
                <w:color w:val="auto"/>
              </w:rPr>
            </w:pPr>
            <w:r>
              <w:rPr>
                <w:rFonts w:ascii="Arial" w:cs="Arial" w:eastAsia="Arial" w:hAnsi="Arial"/>
                <w:sz w:val="12"/>
                <w:szCs w:val="12"/>
                <w:color w:val="auto"/>
              </w:rPr>
              <w:t>571.7</w:t>
            </w:r>
          </w:p>
        </w:tc>
        <w:tc>
          <w:tcPr>
            <w:tcW w:w="880" w:type="dxa"/>
            <w:vAlign w:val="bottom"/>
            <w:gridSpan w:val="5"/>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ind w:right="143"/>
              <w:spacing w:after="0"/>
              <w:rPr>
                <w:sz w:val="20"/>
                <w:szCs w:val="20"/>
                <w:color w:val="auto"/>
              </w:rPr>
            </w:pPr>
            <w:r>
              <w:rPr>
                <w:rFonts w:ascii="Arial" w:cs="Arial" w:eastAsia="Arial" w:hAnsi="Arial"/>
                <w:sz w:val="12"/>
                <w:szCs w:val="12"/>
                <w:color w:val="auto"/>
              </w:rPr>
              <w:t>(15.9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980" w:type="dxa"/>
            <w:vAlign w:val="bottom"/>
            <w:gridSpan w:val="3"/>
            <w:vMerge w:val="restart"/>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(0.4</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3"/>
            <w:vMerge w:val="restart"/>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573.9</w:t>
            </w:r>
          </w:p>
        </w:tc>
        <w:tc>
          <w:tcPr>
            <w:tcW w:w="240" w:type="dxa"/>
            <w:vAlign w:val="bottom"/>
            <w:shd w:val="clear" w:color="auto" w:fill="CCEEFF"/>
          </w:tcPr>
          <w:p>
            <w:pPr>
              <w:spacing w:after="0"/>
              <w:rPr>
                <w:sz w:val="12"/>
                <w:szCs w:val="12"/>
                <w:color w:val="auto"/>
              </w:rPr>
            </w:pPr>
          </w:p>
        </w:tc>
        <w:tc>
          <w:tcPr>
            <w:tcW w:w="68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ind w:right="83"/>
              <w:spacing w:after="0"/>
              <w:rPr>
                <w:sz w:val="20"/>
                <w:szCs w:val="20"/>
                <w:color w:val="auto"/>
              </w:rPr>
            </w:pPr>
            <w:r>
              <w:rPr>
                <w:rFonts w:ascii="Arial" w:cs="Arial" w:eastAsia="Arial" w:hAnsi="Arial"/>
                <w:sz w:val="12"/>
                <w:szCs w:val="12"/>
                <w:color w:val="auto"/>
              </w:rPr>
              <w:t>(16.3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2160" w:type="dxa"/>
            <w:vAlign w:val="bottom"/>
          </w:tcPr>
          <w:p>
            <w:pPr>
              <w:ind w:left="180"/>
              <w:spacing w:after="0"/>
              <w:rPr>
                <w:sz w:val="20"/>
                <w:szCs w:val="20"/>
                <w:color w:val="auto"/>
              </w:rPr>
            </w:pPr>
            <w:r>
              <w:rPr>
                <w:rFonts w:ascii="Arial" w:cs="Arial" w:eastAsia="Arial" w:hAnsi="Arial"/>
                <w:sz w:val="12"/>
                <w:szCs w:val="12"/>
                <w:color w:val="auto"/>
              </w:rPr>
              <w:t>securities</w:t>
            </w:r>
          </w:p>
        </w:tc>
        <w:tc>
          <w:tcPr>
            <w:tcW w:w="1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60" w:type="dxa"/>
            <w:vAlign w:val="bottom"/>
            <w:tcBorders>
              <w:right w:val="single" w:sz="8" w:color="CCEEFF"/>
            </w:tcBorders>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4"/>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2160" w:type="dxa"/>
            <w:vAlign w:val="bottom"/>
          </w:tcPr>
          <w:p>
            <w:pPr>
              <w:ind w:left="240"/>
              <w:spacing w:after="0"/>
              <w:rPr>
                <w:sz w:val="20"/>
                <w:szCs w:val="20"/>
                <w:color w:val="auto"/>
              </w:rPr>
            </w:pPr>
            <w:r>
              <w:rPr>
                <w:rFonts w:ascii="Arial" w:cs="Arial" w:eastAsia="Arial" w:hAnsi="Arial"/>
                <w:sz w:val="12"/>
                <w:szCs w:val="12"/>
                <w:b w:val="1"/>
                <w:bCs w:val="1"/>
                <w:i w:val="1"/>
                <w:iCs w:val="1"/>
                <w:color w:val="auto"/>
              </w:rPr>
              <w:t>2009</w:t>
            </w: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86"/>
              </w:rPr>
              <w:t>Less than 12 Months</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88"/>
              </w:rPr>
              <w:t>12 Months or Longer</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jc w:val="right"/>
              <w:ind w:right="123"/>
              <w:spacing w:after="0" w:line="96" w:lineRule="exact"/>
              <w:rPr>
                <w:sz w:val="20"/>
                <w:szCs w:val="20"/>
                <w:color w:val="auto"/>
              </w:rPr>
            </w:pPr>
            <w:r>
              <w:rPr>
                <w:rFonts w:ascii="Arial" w:cs="Arial" w:eastAsia="Arial" w:hAnsi="Arial"/>
                <w:sz w:val="10"/>
                <w:szCs w:val="10"/>
                <w:b w:val="1"/>
                <w:bCs w:val="1"/>
                <w:color w:val="auto"/>
              </w:rPr>
              <w:t>Fair</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jc w:val="right"/>
              <w:spacing w:after="0" w:line="96" w:lineRule="exact"/>
              <w:rPr>
                <w:sz w:val="20"/>
                <w:szCs w:val="20"/>
                <w:color w:val="auto"/>
              </w:rPr>
            </w:pPr>
            <w:r>
              <w:rPr>
                <w:rFonts w:ascii="Arial" w:cs="Arial" w:eastAsia="Arial" w:hAnsi="Arial"/>
                <w:sz w:val="10"/>
                <w:szCs w:val="10"/>
                <w:b w:val="1"/>
                <w:bCs w:val="1"/>
                <w:color w:val="auto"/>
                <w:w w:val="98"/>
              </w:rPr>
              <w:t>Unrealized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jc w:val="right"/>
              <w:ind w:right="43"/>
              <w:spacing w:after="0" w:line="96" w:lineRule="exact"/>
              <w:rPr>
                <w:sz w:val="20"/>
                <w:szCs w:val="20"/>
                <w:color w:val="auto"/>
              </w:rPr>
            </w:pPr>
            <w:r>
              <w:rPr>
                <w:rFonts w:ascii="Arial" w:cs="Arial" w:eastAsia="Arial" w:hAnsi="Arial"/>
                <w:sz w:val="10"/>
                <w:szCs w:val="10"/>
                <w:b w:val="1"/>
                <w:bCs w:val="1"/>
                <w:color w:val="auto"/>
              </w:rPr>
              <w:t>Fair</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gridSpan w:val="2"/>
          </w:tcPr>
          <w:p>
            <w:pPr>
              <w:jc w:val="center"/>
              <w:ind w:right="60"/>
              <w:spacing w:after="0" w:line="96" w:lineRule="exact"/>
              <w:rPr>
                <w:sz w:val="20"/>
                <w:szCs w:val="20"/>
                <w:color w:val="auto"/>
              </w:rPr>
            </w:pPr>
            <w:r>
              <w:rPr>
                <w:rFonts w:ascii="Arial" w:cs="Arial" w:eastAsia="Arial" w:hAnsi="Arial"/>
                <w:sz w:val="10"/>
                <w:szCs w:val="10"/>
                <w:b w:val="1"/>
                <w:bCs w:val="1"/>
                <w:color w:val="auto"/>
                <w:w w:val="86"/>
              </w:rPr>
              <w:t>Unrealized</w:t>
            </w: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gridSpan w:val="2"/>
          </w:tcPr>
          <w:p>
            <w:pPr>
              <w:ind w:left="60"/>
              <w:spacing w:after="0" w:line="96" w:lineRule="exact"/>
              <w:rPr>
                <w:sz w:val="20"/>
                <w:szCs w:val="20"/>
                <w:color w:val="auto"/>
              </w:rPr>
            </w:pPr>
            <w:r>
              <w:rPr>
                <w:rFonts w:ascii="Arial" w:cs="Arial" w:eastAsia="Arial" w:hAnsi="Arial"/>
                <w:sz w:val="10"/>
                <w:szCs w:val="10"/>
                <w:b w:val="1"/>
                <w:bCs w:val="1"/>
                <w:color w:val="auto"/>
              </w:rPr>
              <w:t>Fair</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6"/>
              </w:rPr>
              <w:t>Unrealized</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160" w:type="dxa"/>
            <w:vAlign w:val="bottom"/>
          </w:tcPr>
          <w:p>
            <w:pPr>
              <w:ind w:left="12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Value</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Losses</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Value</w:t>
            </w:r>
          </w:p>
        </w:tc>
        <w:tc>
          <w:tcPr>
            <w:tcW w:w="2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0"/>
                <w:szCs w:val="10"/>
                <w:b w:val="1"/>
                <w:bCs w:val="1"/>
                <w:color w:val="auto"/>
                <w:w w:val="75"/>
              </w:rPr>
              <w:t>Losses</w:t>
            </w:r>
          </w:p>
        </w:tc>
        <w:tc>
          <w:tcPr>
            <w:tcW w:w="1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Value</w:t>
            </w: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Losses</w:t>
            </w: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320" w:type="dxa"/>
            <w:vAlign w:val="bottom"/>
            <w:gridSpan w:val="2"/>
          </w:tcPr>
          <w:p>
            <w:pPr>
              <w:ind w:left="240"/>
              <w:spacing w:after="0"/>
              <w:rPr>
                <w:sz w:val="20"/>
                <w:szCs w:val="20"/>
                <w:color w:val="auto"/>
              </w:rPr>
            </w:pPr>
            <w:r>
              <w:rPr>
                <w:rFonts w:ascii="Arial" w:cs="Arial" w:eastAsia="Arial" w:hAnsi="Arial"/>
                <w:sz w:val="12"/>
                <w:szCs w:val="12"/>
                <w:color w:val="auto"/>
              </w:rPr>
              <w:t>U.S. government and agencies</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58.5</w:t>
            </w:r>
          </w:p>
        </w:tc>
        <w:tc>
          <w:tcPr>
            <w:tcW w:w="880" w:type="dxa"/>
            <w:vAlign w:val="bottom"/>
            <w:gridSpan w:val="5"/>
          </w:tcPr>
          <w:p>
            <w:pPr>
              <w:jc w:val="right"/>
              <w:ind w:right="46"/>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3"/>
              <w:spacing w:after="0"/>
              <w:rPr>
                <w:sz w:val="20"/>
                <w:szCs w:val="20"/>
                <w:color w:val="auto"/>
              </w:rPr>
            </w:pPr>
            <w:r>
              <w:rPr>
                <w:rFonts w:ascii="Arial" w:cs="Arial" w:eastAsia="Arial" w:hAnsi="Arial"/>
                <w:sz w:val="12"/>
                <w:szCs w:val="12"/>
                <w:color w:val="auto"/>
              </w:rPr>
              <w:t>(0.7</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33.9</w:t>
            </w:r>
          </w:p>
        </w:tc>
        <w:tc>
          <w:tcPr>
            <w:tcW w:w="98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3"/>
          </w:tcPr>
          <w:p>
            <w:pPr>
              <w:ind w:left="5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92.4</w:t>
            </w:r>
          </w:p>
        </w:tc>
        <w:tc>
          <w:tcPr>
            <w:tcW w:w="680" w:type="dxa"/>
            <w:vAlign w:val="bottom"/>
            <w:gridSpan w:val="4"/>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(2.7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States and political subdivisions</w:t>
            </w: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108.0</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2320" w:type="dxa"/>
            <w:vAlign w:val="bottom"/>
            <w:gridSpan w:val="2"/>
          </w:tcPr>
          <w:p>
            <w:pPr>
              <w:ind w:left="240"/>
              <w:spacing w:after="0"/>
              <w:rPr>
                <w:sz w:val="20"/>
                <w:szCs w:val="20"/>
                <w:color w:val="auto"/>
              </w:rPr>
            </w:pPr>
            <w:r>
              <w:rPr>
                <w:rFonts w:ascii="Arial" w:cs="Arial" w:eastAsia="Arial" w:hAnsi="Arial"/>
                <w:sz w:val="12"/>
                <w:szCs w:val="12"/>
                <w:color w:val="auto"/>
              </w:rPr>
              <w:t>Corporate debt securities</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147.7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Arial" w:cs="Arial" w:eastAsia="Arial" w:hAnsi="Arial"/>
                <w:sz w:val="12"/>
                <w:szCs w:val="12"/>
                <w:color w:val="auto"/>
              </w:rPr>
              <w:t>(3.3</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42.8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3"/>
          </w:tcPr>
          <w:p>
            <w:pPr>
              <w:ind w:left="520"/>
              <w:spacing w:after="0"/>
              <w:rPr>
                <w:sz w:val="20"/>
                <w:szCs w:val="20"/>
                <w:color w:val="auto"/>
              </w:rPr>
            </w:pPr>
            <w:r>
              <w:rPr>
                <w:rFonts w:ascii="Arial" w:cs="Arial" w:eastAsia="Arial" w:hAnsi="Arial"/>
                <w:sz w:val="12"/>
                <w:szCs w:val="12"/>
                <w:color w:val="auto"/>
                <w:w w:val="93"/>
              </w:rPr>
              <w:t>190.5</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(5.3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Foreign government bonds</w:t>
            </w: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2320" w:type="dxa"/>
            <w:vAlign w:val="bottom"/>
            <w:gridSpan w:val="2"/>
          </w:tcPr>
          <w:p>
            <w:pPr>
              <w:ind w:left="240"/>
              <w:spacing w:after="0"/>
              <w:rPr>
                <w:sz w:val="20"/>
                <w:szCs w:val="20"/>
                <w:color w:val="auto"/>
              </w:rPr>
            </w:pPr>
            <w:r>
              <w:rPr>
                <w:rFonts w:ascii="Arial" w:cs="Arial" w:eastAsia="Arial" w:hAnsi="Arial"/>
                <w:sz w:val="12"/>
                <w:szCs w:val="12"/>
                <w:color w:val="auto"/>
                <w:w w:val="92"/>
              </w:rPr>
              <w:t>Mortgage-backed/asset-backed securities</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Arial" w:cs="Arial" w:eastAsia="Arial" w:hAnsi="Arial"/>
                <w:sz w:val="12"/>
                <w:szCs w:val="12"/>
                <w:color w:val="auto"/>
              </w:rPr>
              <w:t>(0.3</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w:t>
            </w:r>
          </w:p>
        </w:tc>
        <w:tc>
          <w:tcPr>
            <w:tcW w:w="980" w:type="dxa"/>
            <w:vAlign w:val="bottom"/>
            <w:gridSpan w:val="3"/>
          </w:tcPr>
          <w:p>
            <w:pPr>
              <w:ind w:left="780"/>
              <w:spacing w:after="0"/>
              <w:rPr>
                <w:sz w:val="20"/>
                <w:szCs w:val="20"/>
                <w:color w:val="auto"/>
              </w:rPr>
            </w:pPr>
            <w:r>
              <w:rPr>
                <w:rFonts w:ascii="Arial" w:cs="Arial" w:eastAsia="Arial" w:hAnsi="Arial"/>
                <w:sz w:val="12"/>
                <w:szCs w:val="12"/>
                <w:color w:val="auto"/>
                <w:w w:val="86"/>
              </w:rPr>
              <w:t>(0.1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33.9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43"/>
              <w:spacing w:after="0"/>
              <w:rPr>
                <w:sz w:val="20"/>
                <w:szCs w:val="20"/>
                <w:color w:val="auto"/>
              </w:rPr>
            </w:pPr>
            <w:r>
              <w:rPr>
                <w:rFonts w:ascii="Arial" w:cs="Arial" w:eastAsia="Arial" w:hAnsi="Arial"/>
                <w:sz w:val="12"/>
                <w:szCs w:val="12"/>
                <w:color w:val="auto"/>
              </w:rPr>
              <w:t>(0.4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Equity securities</w:t>
            </w: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6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w:t>
            </w:r>
          </w:p>
        </w:tc>
        <w:tc>
          <w:tcPr>
            <w:tcW w:w="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320" w:type="dxa"/>
            <w:vAlign w:val="bottom"/>
            <w:gridSpan w:val="2"/>
          </w:tcPr>
          <w:p>
            <w:pPr>
              <w:ind w:left="400"/>
              <w:spacing w:after="0"/>
              <w:rPr>
                <w:sz w:val="20"/>
                <w:szCs w:val="20"/>
                <w:color w:val="auto"/>
              </w:rPr>
            </w:pPr>
            <w:r>
              <w:rPr>
                <w:rFonts w:ascii="Arial" w:cs="Arial" w:eastAsia="Arial" w:hAnsi="Arial"/>
                <w:sz w:val="12"/>
                <w:szCs w:val="12"/>
                <w:color w:val="auto"/>
                <w:w w:val="98"/>
              </w:rPr>
              <w:t>Total temporarily impaired securities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340.9</w:t>
            </w:r>
          </w:p>
        </w:tc>
        <w:tc>
          <w:tcPr>
            <w:tcW w:w="200" w:type="dxa"/>
            <w:vAlign w:val="bottom"/>
            <w:tcBorders>
              <w:bottom w:val="single" w:sz="8" w:color="auto"/>
            </w:tcBorders>
            <w:gridSpan w:val="2"/>
          </w:tcPr>
          <w:p>
            <w:pPr>
              <w:spacing w:after="0"/>
              <w:rPr>
                <w:sz w:val="16"/>
                <w:szCs w:val="16"/>
                <w:color w:val="auto"/>
              </w:rPr>
            </w:pPr>
          </w:p>
        </w:tc>
        <w:tc>
          <w:tcPr>
            <w:tcW w:w="300" w:type="dxa"/>
            <w:vAlign w:val="bottom"/>
            <w:gridSpan w:val="2"/>
          </w:tcPr>
          <w:p>
            <w:pPr>
              <w:spacing w:after="0"/>
              <w:rPr>
                <w:sz w:val="16"/>
                <w:szCs w:val="16"/>
                <w:color w:val="auto"/>
              </w:rPr>
            </w:pPr>
          </w:p>
        </w:tc>
        <w:tc>
          <w:tcPr>
            <w:tcW w:w="38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(5.5</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91.4</w:t>
            </w:r>
          </w:p>
        </w:tc>
        <w:tc>
          <w:tcPr>
            <w:tcW w:w="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(4.9</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tcPr>
          <w:p>
            <w:pPr>
              <w:spacing w:after="0"/>
              <w:rPr>
                <w:sz w:val="16"/>
                <w:szCs w:val="16"/>
                <w:color w:val="auto"/>
              </w:rPr>
            </w:pP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432.3</w:t>
            </w: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gridSpan w:val="2"/>
          </w:tcPr>
          <w:p>
            <w:pPr>
              <w:spacing w:after="0"/>
              <w:rPr>
                <w:sz w:val="16"/>
                <w:szCs w:val="16"/>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576"/>
        </w:trPr>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67</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1080" w:top="127" w:right="199" w:bottom="1440" w:gutter="0" w:footer="0" w:header="0"/>
        </w:sectPr>
      </w:pPr>
    </w:p>
    <w:bookmarkStart w:id="68" w:name="page69"/>
    <w:bookmarkEnd w:id="68"/>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41"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A substantial portion of our unrealized losses relate to debt securities. These unrealized losses were primarily caused by widening credit spreads that we consider to be temporary rather than changes in credit quality. We expect to recover the entire amortized cost basis of our temporarily impaired fixed maturity securities as we do not intend to sell these securities and we do not believe that we will be required to sell the fixed maturity securities before recovery of the cost basis. The unrealized losses relating to equity securities were caused by market changes t hat we consider to be temporary and are not concentrated in a particular sector or an individual security. For these reasons, we do not consider these securities other-than-temporarily impaired at December 31, 2010.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11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During 2009 and 2008, we incurred impairment charges relating to investments that were determined to be other-than-temporarily impaired, which resulted in charges of $6.9 million and $59.0 million, respectively. Impairment charges in 2009 related to equity securities that were deemed other-than-temporarily impaired. The impairment charges in 2008 included $25.4 million related to fixed maturity securities, $30.1 million related to equity securities, and $3.5 million related to other investments that were deemed other-than-temporarily impaired. The impairment charges relating to the fixed maturity securities primarily related to our conclusion that the credit risk relating to the holdings was high and thus the assets are likely other-than-temporarily impaired. The impairment charges relating to the equity securities were based on the duration and severity of the unrealized loss and our inability to reasonably predict the time to recover if the investment continued to be held.</w:t>
      </w:r>
    </w:p>
    <w:p>
      <w:pPr>
        <w:spacing w:after="0" w:line="12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In April 2009, the FASB updated their guidance on recognition of other-than-temporary impairments on investments, specifically on debt and equity securities for which changes in fair value are not regularly recognized in earnings. In accordance with the updated guidance, we determined that a total of $1.3 million in other-than-temporary impairments on fixed maturity securities had previously been recognized in relation to investments held at April 1, 2009, all of which were related to credit losses. We further concluded that no cumulative effect adjustment was necessary as a result of implementing the updated guidance as all of the securities for which an other-than- temporary impairment had previously been recognized were sold within three months of the updated guidance. As of December 31, 2010 and 2009, we held no investments for which an other-than-temporary impairment had been previously recognized.</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Investments in unconsolidated affiliates are recorded using the equity met hod of accounting and, as of December 31, 2010 and 2009, consisted of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Ownership at December</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8"/>
        </w:trPr>
        <w:tc>
          <w:tcPr>
            <w:tcW w:w="594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31, 2010</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2010</w:t>
            </w:r>
          </w:p>
        </w:tc>
        <w:tc>
          <w:tcPr>
            <w:tcW w:w="2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2009</w:t>
            </w:r>
          </w:p>
        </w:tc>
      </w:tr>
      <w:tr>
        <w:trPr>
          <w:trHeight w:val="173"/>
        </w:trPr>
        <w:tc>
          <w:tcPr>
            <w:tcW w:w="5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Ceridian</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367.2</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386.8</w:t>
            </w:r>
          </w:p>
        </w:tc>
      </w:tr>
      <w:tr>
        <w:trPr>
          <w:trHeight w:val="171"/>
        </w:trPr>
        <w:tc>
          <w:tcPr>
            <w:tcW w:w="5940" w:type="dxa"/>
            <w:vAlign w:val="bottom"/>
          </w:tcPr>
          <w:p>
            <w:pPr>
              <w:ind w:left="240"/>
              <w:spacing w:after="0"/>
              <w:rPr>
                <w:sz w:val="20"/>
                <w:szCs w:val="20"/>
                <w:color w:val="auto"/>
              </w:rPr>
            </w:pPr>
            <w:r>
              <w:rPr>
                <w:rFonts w:ascii="Arial" w:cs="Arial" w:eastAsia="Arial" w:hAnsi="Arial"/>
                <w:sz w:val="12"/>
                <w:szCs w:val="12"/>
                <w:color w:val="auto"/>
              </w:rPr>
              <w:t>Sedgwick</w:t>
            </w: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4"/>
                <w:szCs w:val="14"/>
                <w:color w:val="auto"/>
              </w:rPr>
            </w:pPr>
          </w:p>
        </w:tc>
        <w:tc>
          <w:tcPr>
            <w:tcW w:w="760" w:type="dxa"/>
            <w:vAlign w:val="bottom"/>
          </w:tcPr>
          <w:p>
            <w:pPr>
              <w:jc w:val="right"/>
              <w:ind w:right="182"/>
              <w:spacing w:after="0"/>
              <w:rPr>
                <w:sz w:val="20"/>
                <w:szCs w:val="20"/>
                <w:color w:val="auto"/>
              </w:rPr>
            </w:pPr>
            <w:r>
              <w:rPr>
                <w:rFonts w:ascii="Arial" w:cs="Arial" w:eastAsia="Arial" w:hAnsi="Arial"/>
                <w:sz w:val="12"/>
                <w:szCs w:val="12"/>
                <w:color w:val="auto"/>
              </w:rPr>
              <w:t>121.0</w:t>
            </w:r>
          </w:p>
        </w:tc>
      </w:tr>
      <w:tr>
        <w:trPr>
          <w:trHeight w:val="297"/>
        </w:trPr>
        <w:tc>
          <w:tcPr>
            <w:tcW w:w="5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Remy</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108.7;</w:t>
            </w: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69.1</w:t>
            </w:r>
          </w:p>
        </w:tc>
      </w:tr>
      <w:tr>
        <w:trPr>
          <w:trHeight w:val="171"/>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various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51.8</w:t>
            </w:r>
          </w:p>
        </w:tc>
        <w:tc>
          <w:tcPr>
            <w:tcW w:w="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40.2</w:t>
            </w:r>
          </w:p>
        </w:tc>
      </w:tr>
      <w:tr>
        <w:trPr>
          <w:trHeight w:val="185"/>
        </w:trPr>
        <w:tc>
          <w:tcPr>
            <w:tcW w:w="5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Total</w:t>
            </w: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527.7</w:t>
            </w:r>
          </w:p>
        </w:tc>
        <w:tc>
          <w:tcPr>
            <w:tcW w:w="2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rPr>
              <w:t>617.1</w:t>
            </w:r>
          </w:p>
        </w:tc>
      </w:tr>
    </w:tbl>
    <w:p>
      <w:pPr>
        <w:spacing w:after="0" w:line="207"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On May 28, 2010, we completed the sale of our 32% interest in Sedgwick, our minority-owned affiliate that provides claims management services to large corporate and public sector entities, to a group of private equity funds. We received approximately $225.6 million in proceeds, of which $32.0 million was held in an indemnity escrow for our ownership interest, resulting in a pre-tax gain of approximately $98.4 million.</w:t>
      </w:r>
    </w:p>
    <w:p>
      <w:pPr>
        <w:spacing w:after="0" w:line="92"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In addi tion to our equity method investment in Remy, included in our fixed maturity securities available for sale are $54.8 million and $4.1 million of Remy’s bonds as of December 31, 2010 and 2009, respectively. On December 17, 2010, as part of a credit refinancing, Remy called these bonds at 109 percent of par, payable January 14, 2011. We received the procee ds and will recognize a gain of $8.5 million in the first quarter of 2011. During 2010, we also purchased $29.7 million of Remy's term loan, which is included in our fixed maturity securities available for sale. On January 21, 2011, as part of a Common Stock Rights Offering ("the Offering") to all Remy common shareholders, we purchased an additional 9.9 million shares of Remy common stock in exchange for tendering our 42,359 shares of Remy preferred stock held and cash of $26.0 million. Following the Offering and preferred stock conversion, we own 14.8 million shares of Remy common stock, representing a 47% ownership interest.</w:t>
      </w:r>
    </w:p>
    <w:p>
      <w:pPr>
        <w:spacing w:after="0" w:line="111"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During the years ended December 31, 2010, 2009, and 2008, we recorded an aggregate of $1.2 million, $11.7 million, and $13.4 million, respectively, in equity in losses of unconsolidated affiliates. We account for our equity in Ceridian and Remy on a</w:t>
      </w:r>
    </w:p>
    <w:p>
      <w:pPr>
        <w:spacing w:after="0" w:line="115"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620"/>
          </w:cols>
          <w:pgMar w:left="1080" w:top="127" w:right="199" w:bottom="1440" w:gutter="0" w:footer="0" w:header="0"/>
        </w:sectPr>
      </w:pPr>
    </w:p>
    <w:bookmarkStart w:id="69" w:name="page70"/>
    <w:bookmarkEnd w:id="69"/>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three-month and one-month lag, respectively. Accordingly, our net earnings for the year ended December 31, 2010, includes our equity in Ceridian’s earnings for the period from September 30, 2009 through September 30, 2010 and our net earnings for the year ended Dec ember 31, 2009, includes our equity in Ceridian’s earnings for the period from September 30, 2008 through September 30, 2009. Our net earnings for the year ended December 31, 2010, includes our equity in Remy's earnings for the period from November 30, 2009 through November 30, 2010 and our net earnings for the year ended December 31, 2009, includes our equity in Remy's earnings for the period from November 30, 2008 through November 30, 2009. In addition, we record our share of the other comprehe nsive income (loss) of unconsolidated affiliates. As of December 31, 2010, included within the statement of equity, we had recorded accumulated other comprehensive losses of $53.8 million and $14.8 million related to our investments in Ceridian and Remy, respectively, and $0.1 million related to our other investments in unconsolidated affiliates.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Summarized financial information for the periods included in our financials for Ceridian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6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center"/>
              <w:ind w:right="202"/>
              <w:spacing w:after="0"/>
              <w:rPr>
                <w:sz w:val="20"/>
                <w:szCs w:val="20"/>
                <w:color w:val="auto"/>
              </w:rPr>
            </w:pPr>
            <w:r>
              <w:rPr>
                <w:rFonts w:ascii="Arial" w:cs="Arial" w:eastAsia="Arial" w:hAnsi="Arial"/>
                <w:sz w:val="10"/>
                <w:szCs w:val="10"/>
                <w:b w:val="1"/>
                <w:bCs w:val="1"/>
                <w:color w:val="auto"/>
                <w:w w:val="85"/>
              </w:rPr>
              <w:t>September 30, 2010</w:t>
            </w:r>
          </w:p>
        </w:tc>
        <w:tc>
          <w:tcPr>
            <w:tcW w:w="2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September 30, 2009</w:t>
            </w:r>
          </w:p>
        </w:tc>
      </w:tr>
      <w:tr>
        <w:trPr>
          <w:trHeight w:val="160"/>
        </w:trPr>
        <w:tc>
          <w:tcPr>
            <w:tcW w:w="6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2"/>
              </w:rPr>
              <w:t>(In millions)</w:t>
            </w:r>
          </w:p>
        </w:tc>
        <w:tc>
          <w:tcPr>
            <w:tcW w:w="480" w:type="dxa"/>
            <w:vAlign w:val="bottom"/>
          </w:tcPr>
          <w:p>
            <w:pPr>
              <w:spacing w:after="0"/>
              <w:rPr>
                <w:sz w:val="13"/>
                <w:szCs w:val="13"/>
                <w:color w:val="auto"/>
              </w:rPr>
            </w:pPr>
          </w:p>
        </w:tc>
        <w:tc>
          <w:tcPr>
            <w:tcW w:w="1380" w:type="dxa"/>
            <w:vAlign w:val="bottom"/>
          </w:tcPr>
          <w:p>
            <w:pPr>
              <w:jc w:val="right"/>
              <w:ind w:right="522"/>
              <w:spacing w:after="0"/>
              <w:rPr>
                <w:sz w:val="20"/>
                <w:szCs w:val="20"/>
                <w:color w:val="auto"/>
              </w:rPr>
            </w:pPr>
            <w:r>
              <w:rPr>
                <w:rFonts w:ascii="Arial" w:cs="Arial" w:eastAsia="Arial" w:hAnsi="Arial"/>
                <w:sz w:val="10"/>
                <w:szCs w:val="10"/>
                <w:color w:val="auto"/>
              </w:rPr>
              <w:t>(In millions)</w:t>
            </w:r>
          </w:p>
        </w:tc>
      </w:tr>
      <w:tr>
        <w:trPr>
          <w:trHeight w:val="184"/>
        </w:trPr>
        <w:tc>
          <w:tcPr>
            <w:tcW w:w="6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1,080.3</w:t>
            </w: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978.5</w:t>
            </w:r>
          </w:p>
        </w:tc>
      </w:tr>
      <w:tr>
        <w:trPr>
          <w:trHeight w:val="171"/>
        </w:trPr>
        <w:tc>
          <w:tcPr>
            <w:tcW w:w="6620" w:type="dxa"/>
            <w:vAlign w:val="bottom"/>
          </w:tcPr>
          <w:p>
            <w:pPr>
              <w:ind w:left="240"/>
              <w:spacing w:after="0"/>
              <w:rPr>
                <w:sz w:val="20"/>
                <w:szCs w:val="20"/>
                <w:color w:val="auto"/>
              </w:rPr>
            </w:pPr>
            <w:r>
              <w:rPr>
                <w:rFonts w:ascii="Arial" w:cs="Arial" w:eastAsia="Arial" w:hAnsi="Arial"/>
                <w:sz w:val="12"/>
                <w:szCs w:val="12"/>
                <w:color w:val="auto"/>
              </w:rPr>
              <w:t>Goodwill and other intangible assets, net</w:t>
            </w:r>
          </w:p>
        </w:tc>
        <w:tc>
          <w:tcPr>
            <w:tcW w:w="480" w:type="dxa"/>
            <w:vAlign w:val="bottom"/>
          </w:tcPr>
          <w:p>
            <w:pPr>
              <w:spacing w:after="0"/>
              <w:rPr>
                <w:sz w:val="14"/>
                <w:szCs w:val="14"/>
                <w:color w:val="auto"/>
              </w:rPr>
            </w:pPr>
          </w:p>
        </w:tc>
        <w:tc>
          <w:tcPr>
            <w:tcW w:w="1380" w:type="dxa"/>
            <w:vAlign w:val="bottom"/>
          </w:tcPr>
          <w:p>
            <w:pPr>
              <w:jc w:val="right"/>
              <w:ind w:right="202"/>
              <w:spacing w:after="0"/>
              <w:rPr>
                <w:sz w:val="20"/>
                <w:szCs w:val="20"/>
                <w:color w:val="auto"/>
              </w:rPr>
            </w:pPr>
            <w:r>
              <w:rPr>
                <w:rFonts w:ascii="Arial" w:cs="Arial" w:eastAsia="Arial" w:hAnsi="Arial"/>
                <w:sz w:val="12"/>
                <w:szCs w:val="12"/>
                <w:color w:val="auto"/>
              </w:rPr>
              <w:t>4,700.6</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202"/>
              <w:spacing w:after="0"/>
              <w:rPr>
                <w:sz w:val="20"/>
                <w:szCs w:val="20"/>
                <w:color w:val="auto"/>
              </w:rPr>
            </w:pPr>
            <w:r>
              <w:rPr>
                <w:rFonts w:ascii="Arial" w:cs="Arial" w:eastAsia="Arial" w:hAnsi="Arial"/>
                <w:sz w:val="12"/>
                <w:szCs w:val="12"/>
                <w:color w:val="auto"/>
              </w:rPr>
              <w:t>4,683.4</w:t>
            </w:r>
          </w:p>
        </w:tc>
      </w:tr>
      <w:tr>
        <w:trPr>
          <w:trHeight w:val="180"/>
        </w:trPr>
        <w:tc>
          <w:tcPr>
            <w:tcW w:w="6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w:t>
            </w:r>
          </w:p>
        </w:tc>
        <w:tc>
          <w:tcPr>
            <w:tcW w:w="4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4,859.2</w:t>
            </w:r>
          </w:p>
        </w:tc>
        <w:tc>
          <w:tcPr>
            <w:tcW w:w="2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3,461.9</w:t>
            </w:r>
          </w:p>
        </w:tc>
      </w:tr>
      <w:tr>
        <w:trPr>
          <w:trHeight w:val="185"/>
        </w:trPr>
        <w:tc>
          <w:tcPr>
            <w:tcW w:w="662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assets</w:t>
            </w: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10,640.1</w:t>
            </w:r>
          </w:p>
        </w:tc>
        <w:tc>
          <w:tcPr>
            <w:tcW w:w="2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9,123.8</w:t>
            </w:r>
          </w:p>
        </w:tc>
      </w:tr>
      <w:tr>
        <w:trPr>
          <w:trHeight w:val="180"/>
        </w:trPr>
        <w:tc>
          <w:tcPr>
            <w:tcW w:w="6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liabilities</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799.5</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695.0</w:t>
            </w:r>
          </w:p>
        </w:tc>
      </w:tr>
      <w:tr>
        <w:trPr>
          <w:trHeight w:val="171"/>
        </w:trPr>
        <w:tc>
          <w:tcPr>
            <w:tcW w:w="6620" w:type="dxa"/>
            <w:vAlign w:val="bottom"/>
          </w:tcPr>
          <w:p>
            <w:pPr>
              <w:ind w:left="240"/>
              <w:spacing w:after="0"/>
              <w:rPr>
                <w:sz w:val="20"/>
                <w:szCs w:val="20"/>
                <w:color w:val="auto"/>
              </w:rPr>
            </w:pPr>
            <w:r>
              <w:rPr>
                <w:rFonts w:ascii="Arial" w:cs="Arial" w:eastAsia="Arial" w:hAnsi="Arial"/>
                <w:sz w:val="12"/>
                <w:szCs w:val="12"/>
                <w:color w:val="auto"/>
              </w:rPr>
              <w:t>Long-term obligations, less current portion</w:t>
            </w:r>
          </w:p>
        </w:tc>
        <w:tc>
          <w:tcPr>
            <w:tcW w:w="480" w:type="dxa"/>
            <w:vAlign w:val="bottom"/>
          </w:tcPr>
          <w:p>
            <w:pPr>
              <w:spacing w:after="0"/>
              <w:rPr>
                <w:sz w:val="14"/>
                <w:szCs w:val="14"/>
                <w:color w:val="auto"/>
              </w:rPr>
            </w:pPr>
          </w:p>
        </w:tc>
        <w:tc>
          <w:tcPr>
            <w:tcW w:w="1380" w:type="dxa"/>
            <w:vAlign w:val="bottom"/>
          </w:tcPr>
          <w:p>
            <w:pPr>
              <w:jc w:val="right"/>
              <w:ind w:right="202"/>
              <w:spacing w:after="0"/>
              <w:rPr>
                <w:sz w:val="20"/>
                <w:szCs w:val="20"/>
                <w:color w:val="auto"/>
              </w:rPr>
            </w:pPr>
            <w:r>
              <w:rPr>
                <w:rFonts w:ascii="Arial" w:cs="Arial" w:eastAsia="Arial" w:hAnsi="Arial"/>
                <w:sz w:val="12"/>
                <w:szCs w:val="12"/>
                <w:color w:val="auto"/>
              </w:rPr>
              <w:t>3,492.5</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202"/>
              <w:spacing w:after="0"/>
              <w:rPr>
                <w:sz w:val="20"/>
                <w:szCs w:val="20"/>
                <w:color w:val="auto"/>
              </w:rPr>
            </w:pPr>
            <w:r>
              <w:rPr>
                <w:rFonts w:ascii="Arial" w:cs="Arial" w:eastAsia="Arial" w:hAnsi="Arial"/>
                <w:sz w:val="12"/>
                <w:szCs w:val="12"/>
                <w:color w:val="auto"/>
              </w:rPr>
              <w:t>3,485.2</w:t>
            </w:r>
          </w:p>
        </w:tc>
      </w:tr>
      <w:tr>
        <w:trPr>
          <w:trHeight w:val="189"/>
        </w:trPr>
        <w:tc>
          <w:tcPr>
            <w:tcW w:w="6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long-term liabilities</w:t>
            </w:r>
          </w:p>
        </w:tc>
        <w:tc>
          <w:tcPr>
            <w:tcW w:w="4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5,222.2</w:t>
            </w:r>
          </w:p>
        </w:tc>
        <w:tc>
          <w:tcPr>
            <w:tcW w:w="2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3,755.0</w:t>
            </w:r>
          </w:p>
        </w:tc>
      </w:tr>
      <w:tr>
        <w:trPr>
          <w:trHeight w:val="160"/>
        </w:trPr>
        <w:tc>
          <w:tcPr>
            <w:tcW w:w="6620" w:type="dxa"/>
            <w:vAlign w:val="bottom"/>
          </w:tcPr>
          <w:p>
            <w:pPr>
              <w:ind w:left="400"/>
              <w:spacing w:after="0"/>
              <w:rPr>
                <w:sz w:val="20"/>
                <w:szCs w:val="20"/>
                <w:color w:val="auto"/>
              </w:rPr>
            </w:pPr>
            <w:r>
              <w:rPr>
                <w:rFonts w:ascii="Arial" w:cs="Arial" w:eastAsia="Arial" w:hAnsi="Arial"/>
                <w:sz w:val="12"/>
                <w:szCs w:val="12"/>
                <w:color w:val="auto"/>
              </w:rPr>
              <w:t>Total liabilities</w:t>
            </w:r>
          </w:p>
        </w:tc>
        <w:tc>
          <w:tcPr>
            <w:tcW w:w="480" w:type="dxa"/>
            <w:vAlign w:val="bottom"/>
          </w:tcPr>
          <w:p>
            <w:pPr>
              <w:spacing w:after="0"/>
              <w:rPr>
                <w:sz w:val="13"/>
                <w:szCs w:val="13"/>
                <w:color w:val="auto"/>
              </w:rPr>
            </w:pPr>
          </w:p>
        </w:tc>
        <w:tc>
          <w:tcPr>
            <w:tcW w:w="1380" w:type="dxa"/>
            <w:vAlign w:val="bottom"/>
          </w:tcPr>
          <w:p>
            <w:pPr>
              <w:jc w:val="right"/>
              <w:ind w:right="202"/>
              <w:spacing w:after="0"/>
              <w:rPr>
                <w:sz w:val="20"/>
                <w:szCs w:val="20"/>
                <w:color w:val="auto"/>
              </w:rPr>
            </w:pPr>
            <w:r>
              <w:rPr>
                <w:rFonts w:ascii="Arial" w:cs="Arial" w:eastAsia="Arial" w:hAnsi="Arial"/>
                <w:sz w:val="12"/>
                <w:szCs w:val="12"/>
                <w:color w:val="auto"/>
              </w:rPr>
              <w:t>9,514.2</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jc w:val="right"/>
              <w:ind w:right="202"/>
              <w:spacing w:after="0"/>
              <w:rPr>
                <w:sz w:val="20"/>
                <w:szCs w:val="20"/>
                <w:color w:val="auto"/>
              </w:rPr>
            </w:pPr>
            <w:r>
              <w:rPr>
                <w:rFonts w:ascii="Arial" w:cs="Arial" w:eastAsia="Arial" w:hAnsi="Arial"/>
                <w:sz w:val="12"/>
                <w:szCs w:val="12"/>
                <w:color w:val="auto"/>
              </w:rPr>
              <w:t>7,935.2</w:t>
            </w:r>
          </w:p>
        </w:tc>
      </w:tr>
      <w:tr>
        <w:trPr>
          <w:trHeight w:val="180"/>
        </w:trPr>
        <w:tc>
          <w:tcPr>
            <w:tcW w:w="6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Equity</w:t>
            </w:r>
          </w:p>
        </w:tc>
        <w:tc>
          <w:tcPr>
            <w:tcW w:w="4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1,125.9</w:t>
            </w:r>
          </w:p>
        </w:tc>
        <w:tc>
          <w:tcPr>
            <w:tcW w:w="2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rPr>
              <w:t>1,188.6</w:t>
            </w:r>
          </w:p>
        </w:tc>
      </w:tr>
      <w:tr>
        <w:trPr>
          <w:trHeight w:val="185"/>
        </w:trPr>
        <w:tc>
          <w:tcPr>
            <w:tcW w:w="6620" w:type="dxa"/>
            <w:vAlign w:val="bottom"/>
          </w:tcPr>
          <w:p>
            <w:pPr>
              <w:ind w:left="540"/>
              <w:spacing w:after="0"/>
              <w:rPr>
                <w:sz w:val="20"/>
                <w:szCs w:val="20"/>
                <w:color w:val="auto"/>
              </w:rPr>
            </w:pPr>
            <w:r>
              <w:rPr>
                <w:rFonts w:ascii="Arial" w:cs="Arial" w:eastAsia="Arial" w:hAnsi="Arial"/>
                <w:sz w:val="12"/>
                <w:szCs w:val="12"/>
                <w:color w:val="auto"/>
              </w:rPr>
              <w:t>Total liabilities and equity</w:t>
            </w: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10,640.1</w:t>
            </w:r>
          </w:p>
        </w:tc>
        <w:tc>
          <w:tcPr>
            <w:tcW w:w="280" w:type="dxa"/>
            <w:vAlign w:val="bottom"/>
          </w:tcPr>
          <w:p>
            <w:pPr>
              <w:spacing w:after="0"/>
              <w:rPr>
                <w:sz w:val="16"/>
                <w:szCs w:val="16"/>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9,123.8</w:t>
            </w:r>
          </w:p>
        </w:tc>
      </w:tr>
    </w:tbl>
    <w:p>
      <w:pPr>
        <w:spacing w:after="0" w:line="200" w:lineRule="exact"/>
        <w:rPr>
          <w:sz w:val="20"/>
          <w:szCs w:val="20"/>
          <w:color w:val="auto"/>
        </w:rPr>
      </w:pPr>
    </w:p>
    <w:p>
      <w:pPr>
        <w:sectPr>
          <w:pgSz w:w="11900" w:h="16838" w:orient="portrait"/>
          <w:cols w:equalWidth="0" w:num="1">
            <w:col w:w="10620"/>
          </w:cols>
          <w:pgMar w:left="1080" w:top="127" w:right="199" w:bottom="1440" w:gutter="0" w:footer="0" w:header="0"/>
        </w:sectPr>
      </w:pPr>
    </w:p>
    <w:p>
      <w:pPr>
        <w:spacing w:after="0" w:line="140" w:lineRule="exact"/>
        <w:rPr>
          <w:sz w:val="20"/>
          <w:szCs w:val="20"/>
          <w:color w:val="auto"/>
        </w:rPr>
      </w:pPr>
    </w:p>
    <w:p>
      <w:pPr>
        <w:jc w:val="center"/>
        <w:ind w:left="6600"/>
        <w:spacing w:after="0"/>
        <w:rPr>
          <w:sz w:val="20"/>
          <w:szCs w:val="20"/>
          <w:color w:val="auto"/>
        </w:rPr>
      </w:pPr>
      <w:r>
        <w:rPr>
          <w:rFonts w:ascii="Arial" w:cs="Arial" w:eastAsia="Arial" w:hAnsi="Arial"/>
          <w:sz w:val="10"/>
          <w:szCs w:val="10"/>
          <w:b w:val="1"/>
          <w:bCs w:val="1"/>
          <w:color w:val="auto"/>
        </w:rPr>
        <w:t>Period from</w:t>
      </w:r>
    </w:p>
    <w:p>
      <w:pPr>
        <w:jc w:val="center"/>
        <w:ind w:left="6600"/>
        <w:spacing w:after="0"/>
        <w:rPr>
          <w:sz w:val="20"/>
          <w:szCs w:val="20"/>
          <w:color w:val="auto"/>
        </w:rPr>
      </w:pPr>
      <w:r>
        <w:rPr>
          <w:rFonts w:ascii="Arial" w:cs="Arial" w:eastAsia="Arial" w:hAnsi="Arial"/>
          <w:sz w:val="8"/>
          <w:szCs w:val="8"/>
          <w:b w:val="1"/>
          <w:bCs w:val="1"/>
          <w:color w:val="auto"/>
        </w:rPr>
        <w:t>September 30, 2009,</w:t>
      </w:r>
    </w:p>
    <w:p>
      <w:pPr>
        <w:jc w:val="center"/>
        <w:ind w:left="6600"/>
        <w:spacing w:after="0" w:line="221" w:lineRule="auto"/>
        <w:rPr>
          <w:sz w:val="20"/>
          <w:szCs w:val="20"/>
          <w:color w:val="auto"/>
        </w:rPr>
      </w:pPr>
      <w:r>
        <w:rPr>
          <w:rFonts w:ascii="Arial" w:cs="Arial" w:eastAsia="Arial" w:hAnsi="Arial"/>
          <w:sz w:val="10"/>
          <w:szCs w:val="10"/>
          <w:b w:val="1"/>
          <w:bCs w:val="1"/>
          <w:color w:val="auto"/>
        </w:rPr>
        <w:t>through</w:t>
      </w:r>
    </w:p>
    <w:p>
      <w:pPr>
        <w:jc w:val="center"/>
        <w:ind w:left="6600"/>
        <w:spacing w:after="0"/>
        <w:rPr>
          <w:sz w:val="20"/>
          <w:szCs w:val="20"/>
          <w:color w:val="auto"/>
        </w:rPr>
      </w:pPr>
      <w:r>
        <w:rPr>
          <w:rFonts w:ascii="Arial" w:cs="Arial" w:eastAsia="Arial" w:hAnsi="Arial"/>
          <w:sz w:val="8"/>
          <w:szCs w:val="8"/>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19050</wp:posOffset>
            </wp:positionV>
            <wp:extent cx="118935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9355" cy="5715"/>
                    </a:xfrm>
                    <a:prstGeom prst="rect">
                      <a:avLst/>
                    </a:prstGeom>
                    <a:noFill/>
                  </pic:spPr>
                </pic:pic>
              </a:graphicData>
            </a:graphic>
          </wp:anchor>
        </w:drawing>
      </w:r>
    </w:p>
    <w:p>
      <w:pPr>
        <w:spacing w:after="0" w:line="58" w:lineRule="exact"/>
        <w:rPr>
          <w:sz w:val="20"/>
          <w:szCs w:val="20"/>
          <w:color w:val="auto"/>
        </w:rPr>
      </w:pPr>
    </w:p>
    <w:p>
      <w:pPr>
        <w:ind w:left="7380"/>
        <w:spacing w:after="0"/>
        <w:rPr>
          <w:sz w:val="20"/>
          <w:szCs w:val="20"/>
          <w:color w:val="auto"/>
        </w:rPr>
      </w:pPr>
      <w:r>
        <w:rPr>
          <w:rFonts w:ascii="Arial" w:cs="Arial" w:eastAsia="Arial" w:hAnsi="Arial"/>
          <w:sz w:val="10"/>
          <w:szCs w:val="10"/>
          <w:b w:val="1"/>
          <w:bCs w:val="1"/>
          <w:color w:val="auto"/>
        </w:rPr>
        <w:t>(In millions)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0"/>
          <w:szCs w:val="10"/>
          <w:b w:val="1"/>
          <w:bCs w:val="1"/>
          <w:color w:val="auto"/>
        </w:rPr>
        <w:t>Period from</w:t>
      </w:r>
    </w:p>
    <w:p>
      <w:pPr>
        <w:jc w:val="center"/>
        <w:ind w:right="420"/>
        <w:spacing w:after="0"/>
        <w:rPr>
          <w:sz w:val="20"/>
          <w:szCs w:val="20"/>
          <w:color w:val="auto"/>
        </w:rPr>
      </w:pPr>
      <w:r>
        <w:rPr>
          <w:rFonts w:ascii="Arial" w:cs="Arial" w:eastAsia="Arial" w:hAnsi="Arial"/>
          <w:sz w:val="8"/>
          <w:szCs w:val="8"/>
          <w:b w:val="1"/>
          <w:bCs w:val="1"/>
          <w:color w:val="auto"/>
        </w:rPr>
        <w:t>September 30, 2008,</w:t>
      </w:r>
    </w:p>
    <w:p>
      <w:pPr>
        <w:jc w:val="center"/>
        <w:ind w:right="420"/>
        <w:spacing w:after="0" w:line="221" w:lineRule="auto"/>
        <w:rPr>
          <w:sz w:val="20"/>
          <w:szCs w:val="20"/>
          <w:color w:val="auto"/>
        </w:rPr>
      </w:pPr>
      <w:r>
        <w:rPr>
          <w:rFonts w:ascii="Arial" w:cs="Arial" w:eastAsia="Arial" w:hAnsi="Arial"/>
          <w:sz w:val="10"/>
          <w:szCs w:val="10"/>
          <w:b w:val="1"/>
          <w:bCs w:val="1"/>
          <w:color w:val="auto"/>
        </w:rPr>
        <w:t>through</w:t>
      </w:r>
    </w:p>
    <w:p>
      <w:pPr>
        <w:jc w:val="center"/>
        <w:ind w:right="420"/>
        <w:spacing w:after="0"/>
        <w:rPr>
          <w:sz w:val="20"/>
          <w:szCs w:val="20"/>
          <w:color w:val="auto"/>
        </w:rPr>
      </w:pPr>
      <w:r>
        <w:rPr>
          <w:rFonts w:ascii="Arial" w:cs="Arial" w:eastAsia="Arial" w:hAnsi="Arial"/>
          <w:sz w:val="8"/>
          <w:szCs w:val="8"/>
          <w:b w:val="1"/>
          <w:bCs w:val="1"/>
          <w:color w:val="auto"/>
        </w:rPr>
        <w:t>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19050</wp:posOffset>
            </wp:positionV>
            <wp:extent cx="118935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9355" cy="5715"/>
                    </a:xfrm>
                    <a:prstGeom prst="rect">
                      <a:avLst/>
                    </a:prstGeom>
                    <a:noFill/>
                  </pic:spPr>
                </pic:pic>
              </a:graphicData>
            </a:graphic>
          </wp:anchor>
        </w:drawing>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0"/>
          <w:szCs w:val="10"/>
          <w:b w:val="1"/>
          <w:bCs w:val="1"/>
          <w:color w:val="auto"/>
        </w:rPr>
        <w:t>(In millions)</w:t>
      </w:r>
    </w:p>
    <w:p>
      <w:pPr>
        <w:spacing w:after="0" w:line="29" w:lineRule="exact"/>
        <w:rPr>
          <w:sz w:val="20"/>
          <w:szCs w:val="20"/>
          <w:color w:val="auto"/>
        </w:rPr>
      </w:pPr>
    </w:p>
    <w:p>
      <w:pPr>
        <w:sectPr>
          <w:pgSz w:w="11900" w:h="16838" w:orient="portrait"/>
          <w:cols w:equalWidth="0" w:num="2">
            <w:col w:w="8660" w:space="720"/>
            <w:col w:w="1240"/>
          </w:cols>
          <w:pgMar w:left="1080" w:top="127" w:right="19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6580" w:type="dxa"/>
            <w:vAlign w:val="bottom"/>
          </w:tcPr>
          <w:p>
            <w:pPr>
              <w:ind w:left="240"/>
              <w:spacing w:after="0"/>
              <w:rPr>
                <w:sz w:val="20"/>
                <w:szCs w:val="20"/>
                <w:color w:val="auto"/>
              </w:rPr>
            </w:pPr>
            <w:r>
              <w:rPr>
                <w:rFonts w:ascii="Arial" w:cs="Arial" w:eastAsia="Arial" w:hAnsi="Arial"/>
                <w:sz w:val="12"/>
                <w:szCs w:val="12"/>
                <w:color w:val="auto"/>
              </w:rPr>
              <w:t>Total revenues</w:t>
            </w:r>
          </w:p>
        </w:tc>
        <w:tc>
          <w:tcPr>
            <w:tcW w:w="98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1,472.4</w:t>
            </w:r>
          </w:p>
        </w:tc>
        <w:tc>
          <w:tcPr>
            <w:tcW w:w="4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1,474.5</w:t>
            </w:r>
          </w:p>
        </w:tc>
        <w:tc>
          <w:tcPr>
            <w:tcW w:w="180" w:type="dxa"/>
            <w:vAlign w:val="bottom"/>
            <w:shd w:val="clear" w:color="auto" w:fill="CCEEFF"/>
          </w:tcPr>
          <w:p>
            <w:pPr>
              <w:spacing w:after="0"/>
              <w:rPr>
                <w:sz w:val="14"/>
                <w:szCs w:val="14"/>
                <w:color w:val="auto"/>
              </w:rPr>
            </w:pPr>
          </w:p>
        </w:tc>
      </w:tr>
      <w:tr>
        <w:trPr>
          <w:trHeight w:val="171"/>
        </w:trPr>
        <w:tc>
          <w:tcPr>
            <w:tcW w:w="6580" w:type="dxa"/>
            <w:vAlign w:val="bottom"/>
          </w:tcPr>
          <w:p>
            <w:pPr>
              <w:ind w:left="240"/>
              <w:spacing w:after="0"/>
              <w:rPr>
                <w:sz w:val="20"/>
                <w:szCs w:val="20"/>
                <w:color w:val="auto"/>
              </w:rPr>
            </w:pPr>
            <w:r>
              <w:rPr>
                <w:rFonts w:ascii="Arial" w:cs="Arial" w:eastAsia="Arial" w:hAnsi="Arial"/>
                <w:sz w:val="12"/>
                <w:szCs w:val="12"/>
                <w:color w:val="auto"/>
              </w:rPr>
              <w:t>Loss before income taxes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(129.4</w:t>
            </w:r>
          </w:p>
        </w:tc>
        <w:tc>
          <w:tcPr>
            <w:tcW w:w="44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(159.7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6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loss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w:t>
            </w:r>
          </w:p>
        </w:tc>
        <w:tc>
          <w:tcPr>
            <w:tcW w:w="4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(106.2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88"/>
        </w:trPr>
        <w:tc>
          <w:tcPr>
            <w:tcW w:w="6580" w:type="dxa"/>
            <w:vAlign w:val="bottom"/>
          </w:tcPr>
          <w:p>
            <w:pPr>
              <w:spacing w:after="0"/>
              <w:rPr>
                <w:sz w:val="20"/>
                <w:szCs w:val="20"/>
                <w:color w:val="auto"/>
              </w:rPr>
            </w:pPr>
            <w:r>
              <w:rPr>
                <w:rFonts w:ascii="Arial" w:cs="Arial" w:eastAsia="Arial" w:hAnsi="Arial"/>
                <w:sz w:val="12"/>
                <w:szCs w:val="12"/>
                <w:b w:val="1"/>
                <w:bCs w:val="1"/>
                <w:color w:val="auto"/>
              </w:rPr>
              <w:t>Note E.  Property and Equipment</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6"/>
        </w:trPr>
        <w:tc>
          <w:tcPr>
            <w:tcW w:w="6580" w:type="dxa"/>
            <w:vAlign w:val="bottom"/>
          </w:tcPr>
          <w:p>
            <w:pPr>
              <w:ind w:left="420"/>
              <w:spacing w:after="0"/>
              <w:rPr>
                <w:sz w:val="20"/>
                <w:szCs w:val="20"/>
                <w:color w:val="auto"/>
              </w:rPr>
            </w:pPr>
            <w:r>
              <w:rPr>
                <w:rFonts w:ascii="Arial" w:cs="Arial" w:eastAsia="Arial" w:hAnsi="Arial"/>
                <w:sz w:val="12"/>
                <w:szCs w:val="12"/>
                <w:color w:val="auto"/>
              </w:rPr>
              <w:t>Property and equipment consists of the following:</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9"/>
        </w:trPr>
        <w:tc>
          <w:tcPr>
            <w:tcW w:w="6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86"/>
              </w:rPr>
              <w:t>Year Ended December 31,</w:t>
            </w: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r>
      <w:tr>
        <w:trPr>
          <w:trHeight w:val="169"/>
        </w:trPr>
        <w:tc>
          <w:tcPr>
            <w:tcW w:w="6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8"/>
              </w:rPr>
              <w:t>2010</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2009</w:t>
            </w:r>
          </w:p>
        </w:tc>
        <w:tc>
          <w:tcPr>
            <w:tcW w:w="180" w:type="dxa"/>
            <w:vAlign w:val="bottom"/>
            <w:tcBorders>
              <w:bottom w:val="single" w:sz="8" w:color="auto"/>
            </w:tcBorders>
          </w:tcPr>
          <w:p>
            <w:pPr>
              <w:spacing w:after="0"/>
              <w:rPr>
                <w:sz w:val="14"/>
                <w:szCs w:val="14"/>
                <w:color w:val="auto"/>
              </w:rPr>
            </w:pPr>
          </w:p>
        </w:tc>
      </w:tr>
      <w:tr>
        <w:trPr>
          <w:trHeight w:val="120"/>
        </w:trPr>
        <w:tc>
          <w:tcPr>
            <w:tcW w:w="6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w w:val="99"/>
              </w:rPr>
              <w:t>(Dollars in millions)</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9"/>
        </w:trPr>
        <w:tc>
          <w:tcPr>
            <w:tcW w:w="6580" w:type="dxa"/>
            <w:vAlign w:val="bottom"/>
          </w:tcPr>
          <w:p>
            <w:pPr>
              <w:ind w:left="240"/>
              <w:spacing w:after="0"/>
              <w:rPr>
                <w:sz w:val="20"/>
                <w:szCs w:val="20"/>
                <w:color w:val="auto"/>
              </w:rPr>
            </w:pPr>
            <w:r>
              <w:rPr>
                <w:rFonts w:ascii="Arial" w:cs="Arial" w:eastAsia="Arial" w:hAnsi="Arial"/>
                <w:sz w:val="12"/>
                <w:szCs w:val="12"/>
                <w:color w:val="auto"/>
              </w:rPr>
              <w:t>Land</w:t>
            </w:r>
          </w:p>
        </w:tc>
        <w:tc>
          <w:tcPr>
            <w:tcW w:w="980" w:type="dxa"/>
            <w:vAlign w:val="bottom"/>
          </w:tcPr>
          <w:p>
            <w:pPr>
              <w:spacing w:after="0"/>
              <w:rPr>
                <w:sz w:val="15"/>
                <w:szCs w:val="15"/>
                <w:color w:val="auto"/>
              </w:rPr>
            </w:pPr>
          </w:p>
        </w:tc>
        <w:tc>
          <w:tcPr>
            <w:tcW w:w="66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78.0</w:t>
            </w:r>
          </w:p>
        </w:tc>
        <w:tc>
          <w:tcPr>
            <w:tcW w:w="118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88.8</w:t>
            </w:r>
          </w:p>
        </w:tc>
        <w:tc>
          <w:tcPr>
            <w:tcW w:w="180" w:type="dxa"/>
            <w:vAlign w:val="bottom"/>
          </w:tcPr>
          <w:p>
            <w:pPr>
              <w:spacing w:after="0"/>
              <w:rPr>
                <w:sz w:val="15"/>
                <w:szCs w:val="15"/>
                <w:color w:val="auto"/>
              </w:rPr>
            </w:pPr>
          </w:p>
        </w:tc>
      </w:tr>
      <w:tr>
        <w:trPr>
          <w:trHeight w:val="189"/>
        </w:trPr>
        <w:tc>
          <w:tcPr>
            <w:tcW w:w="6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Buildings</w:t>
            </w:r>
          </w:p>
        </w:tc>
        <w:tc>
          <w:tcPr>
            <w:tcW w:w="980" w:type="dxa"/>
            <w:vAlign w:val="bottom"/>
            <w:shd w:val="clear" w:color="auto" w:fill="CCEEFF"/>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38.5</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35.8</w:t>
            </w:r>
          </w:p>
        </w:tc>
        <w:tc>
          <w:tcPr>
            <w:tcW w:w="180" w:type="dxa"/>
            <w:vAlign w:val="bottom"/>
            <w:shd w:val="clear" w:color="auto" w:fill="CCEEFF"/>
          </w:tcPr>
          <w:p>
            <w:pPr>
              <w:spacing w:after="0"/>
              <w:rPr>
                <w:sz w:val="16"/>
                <w:szCs w:val="16"/>
                <w:color w:val="auto"/>
              </w:rPr>
            </w:pPr>
          </w:p>
        </w:tc>
      </w:tr>
      <w:tr>
        <w:trPr>
          <w:trHeight w:val="171"/>
        </w:trPr>
        <w:tc>
          <w:tcPr>
            <w:tcW w:w="6580" w:type="dxa"/>
            <w:vAlign w:val="bottom"/>
          </w:tcPr>
          <w:p>
            <w:pPr>
              <w:ind w:left="240"/>
              <w:spacing w:after="0"/>
              <w:rPr>
                <w:sz w:val="20"/>
                <w:szCs w:val="20"/>
                <w:color w:val="auto"/>
              </w:rPr>
            </w:pPr>
            <w:r>
              <w:rPr>
                <w:rFonts w:ascii="Arial" w:cs="Arial" w:eastAsia="Arial" w:hAnsi="Arial"/>
                <w:sz w:val="12"/>
                <w:szCs w:val="12"/>
                <w:color w:val="auto"/>
              </w:rPr>
              <w:t>Leasehold improvements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82.4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79.7</w:t>
            </w:r>
          </w:p>
        </w:tc>
        <w:tc>
          <w:tcPr>
            <w:tcW w:w="180" w:type="dxa"/>
            <w:vAlign w:val="bottom"/>
          </w:tcPr>
          <w:p>
            <w:pPr>
              <w:spacing w:after="0"/>
              <w:rPr>
                <w:sz w:val="14"/>
                <w:szCs w:val="14"/>
                <w:color w:val="auto"/>
              </w:rPr>
            </w:pPr>
          </w:p>
        </w:tc>
      </w:tr>
      <w:tr>
        <w:trPr>
          <w:trHeight w:val="180"/>
        </w:trPr>
        <w:tc>
          <w:tcPr>
            <w:tcW w:w="6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Furniture, fixtures and equipment</w:t>
            </w:r>
          </w:p>
        </w:tc>
        <w:tc>
          <w:tcPr>
            <w:tcW w:w="9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463.0</w:t>
            </w:r>
          </w:p>
        </w:tc>
        <w:tc>
          <w:tcPr>
            <w:tcW w:w="28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460.2</w:t>
            </w:r>
          </w:p>
        </w:tc>
        <w:tc>
          <w:tcPr>
            <w:tcW w:w="180" w:type="dxa"/>
            <w:vAlign w:val="bottom"/>
            <w:tcBorders>
              <w:bottom w:val="single" w:sz="8" w:color="auto"/>
            </w:tcBorders>
            <w:shd w:val="clear" w:color="auto" w:fill="CCEEFF"/>
          </w:tcPr>
          <w:p>
            <w:pPr>
              <w:spacing w:after="0"/>
              <w:rPr>
                <w:sz w:val="15"/>
                <w:szCs w:val="15"/>
                <w:color w:val="auto"/>
              </w:rPr>
            </w:pPr>
          </w:p>
        </w:tc>
      </w:tr>
      <w:tr>
        <w:trPr>
          <w:trHeight w:val="169"/>
        </w:trPr>
        <w:tc>
          <w:tcPr>
            <w:tcW w:w="6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661.9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664.5</w:t>
            </w:r>
          </w:p>
        </w:tc>
        <w:tc>
          <w:tcPr>
            <w:tcW w:w="180" w:type="dxa"/>
            <w:vAlign w:val="bottom"/>
          </w:tcPr>
          <w:p>
            <w:pPr>
              <w:spacing w:after="0"/>
              <w:rPr>
                <w:sz w:val="14"/>
                <w:szCs w:val="14"/>
                <w:color w:val="auto"/>
              </w:rPr>
            </w:pPr>
          </w:p>
        </w:tc>
      </w:tr>
      <w:tr>
        <w:trPr>
          <w:trHeight w:val="162"/>
        </w:trPr>
        <w:tc>
          <w:tcPr>
            <w:tcW w:w="6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depreciation and amortization</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&lt; /td&gt;</w:t>
            </w:r>
          </w:p>
        </w:tc>
        <w:tc>
          <w:tcPr>
            <w:tcW w:w="9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(482.0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(474.7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6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179.9</w:t>
            </w:r>
          </w:p>
        </w:tc>
        <w:tc>
          <w:tcPr>
            <w:tcW w:w="560" w:type="dxa"/>
            <w:vAlign w:val="bottom"/>
            <w:gridSpan w:val="2"/>
          </w:tcPr>
          <w:p>
            <w:pPr>
              <w:spacing w:after="0"/>
              <w:rPr>
                <w:sz w:val="16"/>
                <w:szCs w:val="16"/>
                <w:color w:val="auto"/>
              </w:rPr>
            </w:pPr>
          </w:p>
        </w:tc>
        <w:tc>
          <w:tcPr>
            <w:tcW w:w="6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189.8</w:t>
            </w:r>
          </w:p>
        </w:tc>
        <w:tc>
          <w:tcPr>
            <w:tcW w:w="180" w:type="dxa"/>
            <w:vAlign w:val="bottom"/>
            <w:tcBorders>
              <w:bottom w:val="single" w:sz="8" w:color="auto"/>
            </w:tcBorders>
          </w:tcPr>
          <w:p>
            <w:pPr>
              <w:spacing w:after="0"/>
              <w:rPr>
                <w:sz w:val="16"/>
                <w:szCs w:val="16"/>
                <w:color w:val="auto"/>
              </w:rPr>
            </w:pPr>
          </w:p>
        </w:tc>
      </w:tr>
    </w:tbl>
    <w:p>
      <w:pPr>
        <w:spacing w:after="0" w:line="135" w:lineRule="exact"/>
        <w:rPr>
          <w:sz w:val="20"/>
          <w:szCs w:val="20"/>
          <w:color w:val="auto"/>
        </w:rPr>
      </w:pPr>
    </w:p>
    <w:p>
      <w:pPr>
        <w:ind w:left="220" w:right="4580"/>
        <w:spacing w:after="0" w:line="527" w:lineRule="auto"/>
        <w:rPr>
          <w:sz w:val="20"/>
          <w:szCs w:val="20"/>
          <w:color w:val="auto"/>
        </w:rPr>
      </w:pPr>
      <w:r>
        <w:rPr>
          <w:rFonts w:ascii="Arial" w:cs="Arial" w:eastAsia="Arial" w:hAnsi="Arial"/>
          <w:sz w:val="12"/>
          <w:szCs w:val="12"/>
          <w:color w:val="auto"/>
        </w:rPr>
        <w:t>Depreciation expense on property and equipment was $40.6 million, $53.0 million, and $65.6 million for the years ended 69</w:t>
      </w:r>
    </w:p>
    <w:p>
      <w:pPr>
        <w:sectPr>
          <w:pgSz w:w="11900" w:h="16838" w:orient="portrait"/>
          <w:cols w:equalWidth="0" w:num="1">
            <w:col w:w="10620"/>
          </w:cols>
          <w:pgMar w:left="1080" w:top="127" w:right="199" w:bottom="1440" w:gutter="0" w:footer="0" w:header="0"/>
          <w:type w:val="continuous"/>
        </w:sectPr>
      </w:pPr>
    </w:p>
    <w:bookmarkStart w:id="70" w:name="page71"/>
    <w:bookmarkEnd w:id="70"/>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December 31, 2010, 2009, and 2008, respectively.</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Note F.</w:t>
      </w:r>
      <w:r>
        <w:rPr>
          <w:sz w:val="20"/>
          <w:szCs w:val="20"/>
          <w:color w:val="auto"/>
        </w:rPr>
        <w:tab/>
      </w:r>
      <w:r>
        <w:rPr>
          <w:rFonts w:ascii="Arial" w:cs="Arial" w:eastAsia="Arial" w:hAnsi="Arial"/>
          <w:sz w:val="11"/>
          <w:szCs w:val="11"/>
          <w:b w:val="1"/>
          <w:bCs w:val="1"/>
          <w:color w:val="auto"/>
        </w:rPr>
        <w:t>Goodwill</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Goodwill consists of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jc w:val="right"/>
              <w:ind w:right="122"/>
              <w:spacing w:after="0"/>
              <w:rPr>
                <w:sz w:val="20"/>
                <w:szCs w:val="20"/>
                <w:color w:val="auto"/>
              </w:rPr>
            </w:pPr>
            <w:r>
              <w:rPr>
                <w:rFonts w:ascii="Arial" w:cs="Arial" w:eastAsia="Arial" w:hAnsi="Arial"/>
                <w:sz w:val="10"/>
                <w:szCs w:val="10"/>
                <w:b w:val="1"/>
                <w:bCs w:val="1"/>
                <w:color w:val="auto"/>
              </w:rPr>
              <w:t>Fidelity National</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right"/>
              <w:ind w:right="62"/>
              <w:spacing w:after="0"/>
              <w:rPr>
                <w:sz w:val="20"/>
                <w:szCs w:val="20"/>
                <w:color w:val="auto"/>
              </w:rPr>
            </w:pPr>
            <w:r>
              <w:rPr>
                <w:rFonts w:ascii="Arial" w:cs="Arial" w:eastAsia="Arial" w:hAnsi="Arial"/>
                <w:sz w:val="10"/>
                <w:szCs w:val="10"/>
                <w:color w:val="auto"/>
              </w:rPr>
              <w:t>Speciality</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Corporate</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8"/>
        </w:trPr>
        <w:tc>
          <w:tcPr>
            <w:tcW w:w="36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Title Group</w:t>
            </w: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Insurance</w:t>
            </w: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and Other</w:t>
            </w: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auto"/>
            </w:tcBorders>
          </w:tcPr>
          <w:p>
            <w:pPr>
              <w:spacing w:after="0"/>
              <w:rPr>
                <w:sz w:val="11"/>
                <w:szCs w:val="11"/>
                <w:color w:val="auto"/>
              </w:rPr>
            </w:pPr>
          </w:p>
        </w:tc>
      </w:tr>
      <w:tr>
        <w:trPr>
          <w:trHeight w:val="124"/>
        </w:trPr>
        <w:tc>
          <w:tcPr>
            <w:tcW w:w="3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(Dollars in millions)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4"/>
        </w:trPr>
        <w:tc>
          <w:tcPr>
            <w:tcW w:w="3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Balance, December 31, 2008</w:t>
            </w:r>
          </w:p>
        </w:tc>
        <w:tc>
          <w:tcPr>
            <w:tcW w:w="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1,484.3</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68.7</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1,581.7</w:t>
            </w:r>
          </w:p>
        </w:tc>
        <w:tc>
          <w:tcPr>
            <w:tcW w:w="180" w:type="dxa"/>
            <w:vAlign w:val="bottom"/>
            <w:shd w:val="clear" w:color="auto" w:fill="CCEEFF"/>
          </w:tcPr>
          <w:p>
            <w:pPr>
              <w:spacing w:after="0"/>
              <w:rPr>
                <w:sz w:val="16"/>
                <w:szCs w:val="16"/>
                <w:color w:val="auto"/>
              </w:rPr>
            </w:pPr>
          </w:p>
        </w:tc>
      </w:tr>
      <w:tr>
        <w:trPr>
          <w:trHeight w:val="171"/>
        </w:trPr>
        <w:tc>
          <w:tcPr>
            <w:tcW w:w="3680" w:type="dxa"/>
            <w:vAlign w:val="bottom"/>
          </w:tcPr>
          <w:p>
            <w:pPr>
              <w:ind w:left="240"/>
              <w:spacing w:after="0"/>
              <w:rPr>
                <w:sz w:val="20"/>
                <w:szCs w:val="20"/>
                <w:color w:val="auto"/>
              </w:rPr>
            </w:pPr>
            <w:r>
              <w:rPr>
                <w:rFonts w:ascii="Arial" w:cs="Arial" w:eastAsia="Arial" w:hAnsi="Arial"/>
                <w:sz w:val="12"/>
                <w:szCs w:val="12"/>
                <w:color w:val="auto"/>
              </w:rPr>
              <w:t>Goodwill acquired during the year</w:t>
            </w:r>
          </w:p>
        </w:tc>
        <w:tc>
          <w:tcPr>
            <w:tcW w:w="420" w:type="dxa"/>
            <w:vAlign w:val="bottom"/>
          </w:tcPr>
          <w:p>
            <w:pPr>
              <w:spacing w:after="0"/>
              <w:rPr>
                <w:sz w:val="14"/>
                <w:szCs w:val="14"/>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31.1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31.1</w:t>
            </w:r>
          </w:p>
        </w:tc>
        <w:tc>
          <w:tcPr>
            <w:tcW w:w="180" w:type="dxa"/>
            <w:vAlign w:val="bottom"/>
          </w:tcPr>
          <w:p>
            <w:pPr>
              <w:spacing w:after="0"/>
              <w:rPr>
                <w:sz w:val="14"/>
                <w:szCs w:val="14"/>
                <w:color w:val="auto"/>
              </w:rPr>
            </w:pPr>
          </w:p>
        </w:tc>
      </w:tr>
      <w:tr>
        <w:trPr>
          <w:trHeight w:val="189"/>
        </w:trPr>
        <w:tc>
          <w:tcPr>
            <w:tcW w:w="3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Adjustments to prior year acquisitions (1)</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(114.2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3680" w:type="dxa"/>
            <w:vAlign w:val="bottom"/>
          </w:tcPr>
          <w:p>
            <w:pPr>
              <w:ind w:left="240"/>
              <w:spacing w:after="0"/>
              <w:rPr>
                <w:sz w:val="20"/>
                <w:szCs w:val="20"/>
                <w:color w:val="auto"/>
              </w:rPr>
            </w:pPr>
            <w:r>
              <w:rPr>
                <w:rFonts w:ascii="Arial" w:cs="Arial" w:eastAsia="Arial" w:hAnsi="Arial"/>
                <w:sz w:val="12"/>
                <w:szCs w:val="12"/>
                <w:color w:val="auto"/>
              </w:rPr>
              <w:t>Sale of assets related to discontinued operations</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(43. 2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(43.2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8"/>
        </w:trPr>
        <w:tc>
          <w:tcPr>
            <w:tcW w:w="3680" w:type="dxa"/>
            <w:vAlign w:val="bottom"/>
          </w:tcPr>
          <w:p>
            <w:pPr>
              <w:ind w:left="240"/>
              <w:spacing w:after="0"/>
              <w:rPr>
                <w:sz w:val="20"/>
                <w:szCs w:val="20"/>
                <w:color w:val="auto"/>
              </w:rPr>
            </w:pPr>
            <w:r>
              <w:rPr>
                <w:rFonts w:ascii="Arial" w:cs="Arial" w:eastAsia="Arial" w:hAnsi="Arial"/>
                <w:sz w:val="12"/>
                <w:szCs w:val="12"/>
                <w:color w:val="auto"/>
              </w:rPr>
              <w:t>Balance, December 31, 2009</w:t>
            </w:r>
          </w:p>
        </w:tc>
        <w:tc>
          <w:tcPr>
            <w:tcW w:w="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1,401.2</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25.3</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1,455.2</w:t>
            </w:r>
          </w:p>
        </w:tc>
        <w:tc>
          <w:tcPr>
            <w:tcW w:w="180" w:type="dxa"/>
            <w:vAlign w:val="bottom"/>
            <w:shd w:val="clear" w:color="auto" w:fill="CCEEFF"/>
          </w:tcPr>
          <w:p>
            <w:pPr>
              <w:spacing w:after="0"/>
              <w:rPr>
                <w:sz w:val="15"/>
                <w:szCs w:val="15"/>
                <w:color w:val="auto"/>
              </w:rPr>
            </w:pPr>
          </w:p>
        </w:tc>
      </w:tr>
      <w:tr>
        <w:trPr>
          <w:trHeight w:val="171"/>
        </w:trPr>
        <w:tc>
          <w:tcPr>
            <w:tcW w:w="3680" w:type="dxa"/>
            <w:vAlign w:val="bottom"/>
          </w:tcPr>
          <w:p>
            <w:pPr>
              <w:ind w:left="240"/>
              <w:spacing w:after="0"/>
              <w:rPr>
                <w:sz w:val="20"/>
                <w:szCs w:val="20"/>
                <w:color w:val="auto"/>
              </w:rPr>
            </w:pPr>
            <w:r>
              <w:rPr>
                <w:rFonts w:ascii="Arial" w:cs="Arial" w:eastAsia="Arial" w:hAnsi="Arial"/>
                <w:sz w:val="12"/>
                <w:szCs w:val="12"/>
                <w:color w:val="auto"/>
              </w:rPr>
              <w:t>Goodwill acquired during the year</w:t>
            </w:r>
          </w:p>
        </w:tc>
        <w:tc>
          <w:tcPr>
            <w:tcW w:w="420" w:type="dxa"/>
            <w:vAlign w:val="bottom"/>
          </w:tcPr>
          <w:p>
            <w:pPr>
              <w:spacing w:after="0"/>
              <w:rPr>
                <w:sz w:val="14"/>
                <w:szCs w:val="14"/>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19.7</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19.7</w:t>
            </w:r>
          </w:p>
        </w:tc>
        <w:tc>
          <w:tcPr>
            <w:tcW w:w="180" w:type="dxa"/>
            <w:vAlign w:val="bottom"/>
          </w:tcPr>
          <w:p>
            <w:pPr>
              <w:spacing w:after="0"/>
              <w:rPr>
                <w:sz w:val="14"/>
                <w:szCs w:val="14"/>
                <w:color w:val="auto"/>
              </w:rPr>
            </w:pPr>
          </w:p>
        </w:tc>
      </w:tr>
      <w:tr>
        <w:trPr>
          <w:trHeight w:val="270"/>
        </w:trPr>
        <w:tc>
          <w:tcPr>
            <w:tcW w:w="36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67"/>
              <w:spacing w:after="0"/>
              <w:rPr>
                <w:sz w:val="20"/>
                <w:szCs w:val="20"/>
                <w:color w:val="auto"/>
              </w:rPr>
            </w:pPr>
            <w:r>
              <w:rPr>
                <w:rFonts w:ascii="Arial" w:cs="Arial" w:eastAsia="Arial" w:hAnsi="Arial"/>
                <w:sz w:val="9"/>
                <w:szCs w:val="9"/>
                <w:color w:val="auto"/>
                <w:w w:val="75"/>
              </w:rPr>
              <w:t>&lt;</w:t>
            </w: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171"/>
        </w:trPr>
        <w:tc>
          <w:tcPr>
            <w:tcW w:w="3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Adjustments to prior year acquisitions</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left="422"/>
              <w:spacing w:after="0"/>
              <w:rPr>
                <w:sz w:val="20"/>
                <w:szCs w:val="20"/>
                <w:color w:val="auto"/>
              </w:rPr>
            </w:pPr>
            <w:r>
              <w:rPr>
                <w:rFonts w:ascii="Arial" w:cs="Arial" w:eastAsia="Arial" w:hAnsi="Arial"/>
                <w:sz w:val="12"/>
                <w:szCs w:val="12"/>
                <w:color w:val="auto"/>
                <w:w w:val="98"/>
              </w:rPr>
              <w:t>—/td&gt;</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6"/>
        </w:trPr>
        <w:tc>
          <w:tcPr>
            <w:tcW w:w="3680" w:type="dxa"/>
            <w:vAlign w:val="bottom"/>
          </w:tcPr>
          <w:p>
            <w:pPr>
              <w:ind w:left="240"/>
              <w:spacing w:after="0"/>
              <w:rPr>
                <w:sz w:val="20"/>
                <w:szCs w:val="20"/>
                <w:color w:val="auto"/>
              </w:rPr>
            </w:pPr>
            <w:r>
              <w:rPr>
                <w:rFonts w:ascii="Arial" w:cs="Arial" w:eastAsia="Arial" w:hAnsi="Arial"/>
                <w:sz w:val="12"/>
                <w:szCs w:val="12"/>
                <w:color w:val="auto"/>
              </w:rPr>
              <w:t>Balance, December 31, 2010</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1,419.9</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28.7</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22.1</w:t>
            </w:r>
          </w:p>
        </w:tc>
        <w:tc>
          <w:tcPr>
            <w:tcW w:w="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1,470.7</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4"/>
        </w:trPr>
        <w:tc>
          <w:tcPr>
            <w:tcW w:w="3680" w:type="dxa"/>
            <w:vAlign w:val="bottom"/>
          </w:tcPr>
          <w:p>
            <w:pPr>
              <w:ind w:left="220"/>
              <w:spacing w:after="0"/>
              <w:rPr>
                <w:sz w:val="20"/>
                <w:szCs w:val="20"/>
                <w:color w:val="auto"/>
              </w:rPr>
            </w:pPr>
            <w:r>
              <w:rPr>
                <w:rFonts w:ascii="Arial" w:cs="Arial" w:eastAsia="Arial" w:hAnsi="Arial"/>
                <w:sz w:val="12"/>
                <w:szCs w:val="12"/>
                <w:color w:val="auto"/>
              </w:rPr>
              <w:t>_________________________________________</w:t>
            </w:r>
          </w:p>
        </w:tc>
        <w:tc>
          <w:tcPr>
            <w:tcW w:w="4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ind w:firstLine="213"/>
        <w:spacing w:after="0" w:line="261" w:lineRule="auto"/>
        <w:tabs>
          <w:tab w:leader="none" w:pos="397"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adjustments recorded of $109.8 million relating to purchase accounting adjustments to the fair values of assets and liabilities assumed as of December 22, 2008 as part of the acquisition of the LFG Underwriters.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0" w:type="dxa"/>
            <w:vAlign w:val="bottom"/>
          </w:tcPr>
          <w:p>
            <w:pPr>
              <w:spacing w:after="0"/>
              <w:rPr>
                <w:sz w:val="20"/>
                <w:szCs w:val="20"/>
                <w:color w:val="auto"/>
              </w:rPr>
            </w:pPr>
            <w:r>
              <w:rPr>
                <w:rFonts w:ascii="Arial" w:cs="Arial" w:eastAsia="Arial" w:hAnsi="Arial"/>
                <w:sz w:val="12"/>
                <w:szCs w:val="12"/>
                <w:b w:val="1"/>
                <w:bCs w:val="1"/>
                <w:color w:val="auto"/>
              </w:rPr>
              <w:t>Note G.</w:t>
            </w:r>
          </w:p>
        </w:tc>
        <w:tc>
          <w:tcPr>
            <w:tcW w:w="6640" w:type="dxa"/>
            <w:vAlign w:val="bottom"/>
          </w:tcPr>
          <w:p>
            <w:pPr>
              <w:ind w:left="40"/>
              <w:spacing w:after="0"/>
              <w:rPr>
                <w:sz w:val="20"/>
                <w:szCs w:val="20"/>
                <w:color w:val="auto"/>
              </w:rPr>
            </w:pPr>
            <w:r>
              <w:rPr>
                <w:rFonts w:ascii="Arial" w:cs="Arial" w:eastAsia="Arial" w:hAnsi="Arial"/>
                <w:sz w:val="12"/>
                <w:szCs w:val="12"/>
                <w:b w:val="1"/>
                <w:bCs w:val="1"/>
                <w:color w:val="auto"/>
              </w:rPr>
              <w:t>Other Intangible Assets</w:t>
            </w: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88"/>
        </w:trPr>
        <w:tc>
          <w:tcPr>
            <w:tcW w:w="7180" w:type="dxa"/>
            <w:vAlign w:val="bottom"/>
            <w:gridSpan w:val="2"/>
          </w:tcPr>
          <w:p>
            <w:pPr>
              <w:ind w:left="180"/>
              <w:spacing w:after="0"/>
              <w:rPr>
                <w:sz w:val="20"/>
                <w:szCs w:val="20"/>
                <w:color w:val="auto"/>
              </w:rPr>
            </w:pPr>
            <w:r>
              <w:rPr>
                <w:rFonts w:ascii="Arial" w:cs="Arial" w:eastAsia="Arial" w:hAnsi="Arial"/>
                <w:sz w:val="12"/>
                <w:szCs w:val="12"/>
                <w:color w:val="auto"/>
              </w:rPr>
              <w:t>Other intangible assets consist of the following:</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1"/>
        </w:trPr>
        <w:tc>
          <w:tcPr>
            <w:tcW w:w="54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169"/>
        </w:trPr>
        <w:tc>
          <w:tcPr>
            <w:tcW w:w="5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2010</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124"/>
        </w:trPr>
        <w:tc>
          <w:tcPr>
            <w:tcW w:w="5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w w:val="92"/>
              </w:rPr>
              <w:t>(Dollars in millions)</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4"/>
        </w:trPr>
        <w:tc>
          <w:tcPr>
            <w:tcW w:w="7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Customer relationships and contracts</w:t>
            </w:r>
          </w:p>
        </w:tc>
        <w:tc>
          <w:tcPr>
            <w:tcW w:w="5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234.5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271.0</w:t>
            </w:r>
          </w:p>
        </w:tc>
        <w:tc>
          <w:tcPr>
            <w:tcW w:w="180" w:type="dxa"/>
            <w:vAlign w:val="bottom"/>
            <w:shd w:val="clear" w:color="auto" w:fill="CCEEFF"/>
          </w:tcPr>
          <w:p>
            <w:pPr>
              <w:spacing w:after="0"/>
              <w:rPr>
                <w:sz w:val="16"/>
                <w:szCs w:val="16"/>
                <w:color w:val="auto"/>
              </w:rPr>
            </w:pPr>
          </w:p>
        </w:tc>
      </w:tr>
      <w:tr>
        <w:trPr>
          <w:trHeight w:val="171"/>
        </w:trPr>
        <w:tc>
          <w:tcPr>
            <w:tcW w:w="5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w w:val="93"/>
              </w:rPr>
              <w:t>Other</w:t>
            </w:r>
          </w:p>
        </w:tc>
        <w:tc>
          <w:tcPr>
            <w:tcW w:w="66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46.8</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48.9</w:t>
            </w:r>
          </w:p>
        </w:tc>
        <w:tc>
          <w:tcPr>
            <w:tcW w:w="180" w:type="dxa"/>
            <w:vAlign w:val="bottom"/>
            <w:tcBorders>
              <w:bottom w:val="single" w:sz="8" w:color="auto"/>
            </w:tcBorders>
          </w:tcPr>
          <w:p>
            <w:pPr>
              <w:spacing w:after="0"/>
              <w:rPr>
                <w:sz w:val="14"/>
                <w:szCs w:val="14"/>
                <w:color w:val="auto"/>
              </w:rPr>
            </w:pPr>
          </w:p>
        </w:tc>
      </w:tr>
      <w:tr>
        <w:trPr>
          <w:trHeight w:val="178"/>
        </w:trPr>
        <w:tc>
          <w:tcPr>
            <w:tcW w:w="540" w:type="dxa"/>
            <w:vAlign w:val="bottom"/>
            <w:shd w:val="clear" w:color="auto" w:fill="CCEEFF"/>
          </w:tcPr>
          <w:p>
            <w:pPr>
              <w:spacing w:after="0"/>
              <w:rPr>
                <w:sz w:val="15"/>
                <w:szCs w:val="15"/>
                <w:color w:val="auto"/>
              </w:rPr>
            </w:pPr>
          </w:p>
        </w:tc>
        <w:tc>
          <w:tcPr>
            <w:tcW w:w="6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281.3</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319.9</w:t>
            </w:r>
          </w:p>
        </w:tc>
        <w:tc>
          <w:tcPr>
            <w:tcW w:w="180" w:type="dxa"/>
            <w:vAlign w:val="bottom"/>
            <w:shd w:val="clear" w:color="auto" w:fill="CCEEFF"/>
          </w:tcPr>
          <w:p>
            <w:pPr>
              <w:spacing w:after="0"/>
              <w:rPr>
                <w:sz w:val="15"/>
                <w:szCs w:val="15"/>
                <w:color w:val="auto"/>
              </w:rPr>
            </w:pPr>
          </w:p>
        </w:tc>
      </w:tr>
      <w:tr>
        <w:trPr>
          <w:trHeight w:val="171"/>
        </w:trPr>
        <w:tc>
          <w:tcPr>
            <w:tcW w:w="7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Accumulated amortization</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(153.0</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540" w:type="dxa"/>
            <w:vAlign w:val="bottom"/>
            <w:tcBorders>
              <w:bottom w:val="single" w:sz="8" w:color="CCEEFF"/>
            </w:tcBorders>
            <w:shd w:val="clear" w:color="auto" w:fill="CCEEFF"/>
          </w:tcPr>
          <w:p>
            <w:pPr>
              <w:spacing w:after="0"/>
              <w:rPr>
                <w:sz w:val="16"/>
                <w:szCs w:val="16"/>
                <w:color w:val="auto"/>
              </w:rPr>
            </w:pPr>
          </w:p>
        </w:tc>
        <w:tc>
          <w:tcPr>
            <w:tcW w:w="66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155.2</w:t>
            </w:r>
          </w:p>
        </w:tc>
        <w:tc>
          <w:tcPr>
            <w:tcW w:w="2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166.9</w:t>
            </w:r>
          </w:p>
        </w:tc>
        <w:tc>
          <w:tcPr>
            <w:tcW w:w="180" w:type="dxa"/>
            <w:vAlign w:val="bottom"/>
            <w:tcBorders>
              <w:bottom w:val="single" w:sz="8" w:color="auto"/>
            </w:tcBorders>
            <w:shd w:val="clear" w:color="auto" w:fill="CCEEFF"/>
          </w:tcPr>
          <w:p>
            <w:pPr>
              <w:spacing w:after="0"/>
              <w:rPr>
                <w:sz w:val="16"/>
                <w:szCs w:val="16"/>
                <w:color w:val="auto"/>
              </w:rPr>
            </w:pPr>
          </w:p>
        </w:tc>
      </w:tr>
    </w:tbl>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Amortization expense for amortizable intangible assets, which consist primarily of customer relationships, was $21.7 million, $25.3 million, and $22.0 million for the years ended December 31, 2010, 2009, and 2008, respectively. Other intangible assets primarily represents non-amortizable intangible ass ets such as trademarks and licenses. Estimated amortization expense for the next five years for assets owned at December 31, 2010, is $21.2 million in 2011, $18.6 million in 2012, $14.3 million in 2013, $11. 3 million in 2014 and $10.1 million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620"/>
          </w:cols>
          <w:pgMar w:left="1080" w:top="127" w:right="199" w:bottom="1440" w:gutter="0" w:footer="0" w:header="0"/>
        </w:sectPr>
      </w:pPr>
    </w:p>
    <w:bookmarkStart w:id="71" w:name="page72"/>
    <w:bookmarkEnd w:id="71"/>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80" w:type="dxa"/>
            <w:vAlign w:val="bottom"/>
          </w:tcPr>
          <w:p>
            <w:pPr>
              <w:spacing w:after="0"/>
              <w:rPr>
                <w:sz w:val="20"/>
                <w:szCs w:val="20"/>
                <w:color w:val="auto"/>
              </w:rPr>
            </w:pPr>
            <w:r>
              <w:rPr>
                <w:rFonts w:ascii="Arial" w:cs="Arial" w:eastAsia="Arial" w:hAnsi="Arial"/>
                <w:sz w:val="12"/>
                <w:szCs w:val="12"/>
                <w:b w:val="1"/>
                <w:bCs w:val="1"/>
                <w:color w:val="auto"/>
              </w:rPr>
              <w:t>Note H.  Accounts Payable and Accrued Liabilities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88"/>
        </w:trPr>
        <w:tc>
          <w:tcPr>
            <w:tcW w:w="7080" w:type="dxa"/>
            <w:vAlign w:val="bottom"/>
          </w:tcPr>
          <w:p>
            <w:pPr>
              <w:ind w:left="220"/>
              <w:spacing w:after="0"/>
              <w:rPr>
                <w:sz w:val="20"/>
                <w:szCs w:val="20"/>
                <w:color w:val="auto"/>
              </w:rPr>
            </w:pPr>
            <w:r>
              <w:rPr>
                <w:rFonts w:ascii="Arial" w:cs="Arial" w:eastAsia="Arial" w:hAnsi="Arial"/>
                <w:sz w:val="12"/>
                <w:szCs w:val="12"/>
                <w:color w:val="auto"/>
              </w:rPr>
              <w:t>Accounts payable and accrued liabilities consist of the following:</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1"/>
        </w:trPr>
        <w:tc>
          <w:tcPr>
            <w:tcW w:w="70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left="206"/>
              <w:spacing w:after="0"/>
              <w:rPr>
                <w:sz w:val="20"/>
                <w:szCs w:val="20"/>
                <w:color w:val="auto"/>
              </w:rPr>
            </w:pPr>
            <w:r>
              <w:rPr>
                <w:rFonts w:ascii="Arial" w:cs="Arial" w:eastAsia="Arial" w:hAnsi="Arial"/>
                <w:sz w:val="10"/>
                <w:szCs w:val="10"/>
                <w:b w:val="1"/>
                <w:bCs w:val="1"/>
                <w:color w:val="auto"/>
                <w:w w:val="86"/>
              </w:rPr>
              <w:t>December 31,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69"/>
        </w:trPr>
        <w:tc>
          <w:tcPr>
            <w:tcW w:w="70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2010</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2009</w:t>
            </w:r>
          </w:p>
        </w:tc>
      </w:tr>
      <w:tr>
        <w:trPr>
          <w:trHeight w:val="124"/>
        </w:trPr>
        <w:tc>
          <w:tcPr>
            <w:tcW w:w="7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gridSpan w:val="3"/>
          </w:tcPr>
          <w:p>
            <w:pPr>
              <w:jc w:val="center"/>
              <w:ind w:left="226"/>
              <w:spacing w:after="0"/>
              <w:rPr>
                <w:sz w:val="20"/>
                <w:szCs w:val="20"/>
                <w:color w:val="auto"/>
              </w:rPr>
            </w:pPr>
            <w:r>
              <w:rPr>
                <w:rFonts w:ascii="Arial" w:cs="Arial" w:eastAsia="Arial" w:hAnsi="Arial"/>
                <w:sz w:val="10"/>
                <w:szCs w:val="10"/>
                <w:b w:val="1"/>
                <w:bCs w:val="1"/>
                <w:color w:val="auto"/>
                <w:w w:val="88"/>
              </w:rPr>
              <w:t>(Dollars in millions)</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84"/>
        </w:trPr>
        <w:tc>
          <w:tcPr>
            <w:tcW w:w="7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benefits</w:t>
            </w:r>
          </w:p>
        </w:tc>
        <w:tc>
          <w:tcPr>
            <w:tcW w:w="6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566"/>
              <w:spacing w:after="0"/>
              <w:rPr>
                <w:sz w:val="20"/>
                <w:szCs w:val="20"/>
                <w:color w:val="auto"/>
              </w:rPr>
            </w:pPr>
            <w:r>
              <w:rPr>
                <w:rFonts w:ascii="Arial" w:cs="Arial" w:eastAsia="Arial" w:hAnsi="Arial"/>
                <w:sz w:val="12"/>
                <w:szCs w:val="12"/>
                <w:color w:val="auto"/>
              </w:rPr>
              <w:t>193.1</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213.1</w:t>
            </w:r>
          </w:p>
        </w:tc>
      </w:tr>
      <w:tr>
        <w:trPr>
          <w:trHeight w:val="171"/>
        </w:trPr>
        <w:tc>
          <w:tcPr>
            <w:tcW w:w="7080" w:type="dxa"/>
            <w:vAlign w:val="bottom"/>
          </w:tcPr>
          <w:p>
            <w:pPr>
              <w:ind w:left="240"/>
              <w:spacing w:after="0"/>
              <w:rPr>
                <w:sz w:val="20"/>
                <w:szCs w:val="20"/>
                <w:color w:val="auto"/>
              </w:rPr>
            </w:pPr>
            <w:r>
              <w:rPr>
                <w:rFonts w:ascii="Arial" w:cs="Arial" w:eastAsia="Arial" w:hAnsi="Arial"/>
                <w:sz w:val="12"/>
                <w:szCs w:val="12"/>
                <w:color w:val="auto"/>
              </w:rPr>
              <w:t>Salaries and incentives</w:t>
            </w:r>
          </w:p>
        </w:tc>
        <w:tc>
          <w:tcPr>
            <w:tcW w:w="600" w:type="dxa"/>
            <w:vAlign w:val="bottom"/>
          </w:tcPr>
          <w:p>
            <w:pPr>
              <w:spacing w:after="0"/>
              <w:rPr>
                <w:sz w:val="14"/>
                <w:szCs w:val="14"/>
                <w:color w:val="auto"/>
              </w:rPr>
            </w:pPr>
          </w:p>
        </w:tc>
        <w:tc>
          <w:tcPr>
            <w:tcW w:w="1200" w:type="dxa"/>
            <w:vAlign w:val="bottom"/>
            <w:gridSpan w:val="2"/>
          </w:tcPr>
          <w:p>
            <w:pPr>
              <w:jc w:val="right"/>
              <w:ind w:right="566"/>
              <w:spacing w:after="0"/>
              <w:rPr>
                <w:sz w:val="20"/>
                <w:szCs w:val="20"/>
                <w:color w:val="auto"/>
              </w:rPr>
            </w:pPr>
            <w:r>
              <w:rPr>
                <w:rFonts w:ascii="Arial" w:cs="Arial" w:eastAsia="Arial" w:hAnsi="Arial"/>
                <w:sz w:val="12"/>
                <w:szCs w:val="12"/>
                <w:color w:val="auto"/>
              </w:rPr>
              <w:t>153.9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01"/>
              <w:spacing w:after="0"/>
              <w:rPr>
                <w:sz w:val="20"/>
                <w:szCs w:val="20"/>
                <w:color w:val="auto"/>
              </w:rPr>
            </w:pPr>
            <w:r>
              <w:rPr>
                <w:rFonts w:ascii="Arial" w:cs="Arial" w:eastAsia="Arial" w:hAnsi="Arial"/>
                <w:sz w:val="12"/>
                <w:szCs w:val="12"/>
                <w:color w:val="auto"/>
              </w:rPr>
              <w:t>125.9</w:t>
            </w:r>
          </w:p>
        </w:tc>
      </w:tr>
      <w:tr>
        <w:trPr>
          <w:trHeight w:val="189"/>
        </w:trPr>
        <w:tc>
          <w:tcPr>
            <w:tcW w:w="7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rent</w:t>
            </w:r>
          </w:p>
        </w:tc>
        <w:tc>
          <w:tcPr>
            <w:tcW w:w="6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66"/>
              <w:spacing w:after="0"/>
              <w:rPr>
                <w:sz w:val="20"/>
                <w:szCs w:val="20"/>
                <w:color w:val="auto"/>
              </w:rPr>
            </w:pPr>
            <w:r>
              <w:rPr>
                <w:rFonts w:ascii="Arial" w:cs="Arial" w:eastAsia="Arial" w:hAnsi="Arial"/>
                <w:sz w:val="12"/>
                <w:szCs w:val="12"/>
                <w:color w:val="auto"/>
              </w:rPr>
              <w:t>40.3</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60.0</w:t>
            </w:r>
          </w:p>
        </w:tc>
      </w:tr>
      <w:tr>
        <w:trPr>
          <w:trHeight w:val="135"/>
        </w:trPr>
        <w:tc>
          <w:tcPr>
            <w:tcW w:w="7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220"/>
              <w:spacing w:after="0" w:line="136" w:lineRule="exact"/>
              <w:rPr>
                <w:sz w:val="20"/>
                <w:szCs w:val="20"/>
                <w:color w:val="auto"/>
              </w:rPr>
            </w:pPr>
            <w:r>
              <w:rPr>
                <w:rFonts w:ascii="Arial" w:cs="Arial" w:eastAsia="Arial" w:hAnsi="Arial"/>
                <w:sz w:val="12"/>
                <w:szCs w:val="12"/>
                <w:color w:val="auto"/>
              </w:rPr>
              <w:t>&lt; div</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26"/>
        </w:trPr>
        <w:tc>
          <w:tcPr>
            <w:tcW w:w="7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gridSpan w:val="3"/>
          </w:tcPr>
          <w:p>
            <w:pPr>
              <w:spacing w:after="0" w:line="126" w:lineRule="exact"/>
              <w:rPr>
                <w:sz w:val="20"/>
                <w:szCs w:val="20"/>
                <w:color w:val="auto"/>
              </w:rPr>
            </w:pPr>
            <w:r>
              <w:rPr>
                <w:rFonts w:ascii="Arial" w:cs="Arial" w:eastAsia="Arial" w:hAnsi="Arial"/>
                <w:sz w:val="12"/>
                <w:szCs w:val="12"/>
                <w:color w:val="auto"/>
              </w:rPr>
              <w:t>style="text-</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71"/>
        </w:trPr>
        <w:tc>
          <w:tcPr>
            <w:tcW w:w="7080" w:type="dxa"/>
            <w:vAlign w:val="bottom"/>
          </w:tcPr>
          <w:p>
            <w:pPr>
              <w:ind w:left="240"/>
              <w:spacing w:after="0"/>
              <w:rPr>
                <w:sz w:val="20"/>
                <w:szCs w:val="20"/>
                <w:color w:val="auto"/>
              </w:rPr>
            </w:pPr>
            <w:r>
              <w:rPr>
                <w:rFonts w:ascii="Arial" w:cs="Arial" w:eastAsia="Arial" w:hAnsi="Arial"/>
                <w:sz w:val="12"/>
                <w:szCs w:val="12"/>
                <w:color w:val="auto"/>
              </w:rPr>
              <w:t>Trade accounts payable</w:t>
            </w:r>
          </w:p>
        </w:tc>
        <w:tc>
          <w:tcPr>
            <w:tcW w:w="600" w:type="dxa"/>
            <w:vAlign w:val="bottom"/>
          </w:tcPr>
          <w:p>
            <w:pPr>
              <w:spacing w:after="0"/>
              <w:rPr>
                <w:sz w:val="14"/>
                <w:szCs w:val="14"/>
                <w:color w:val="auto"/>
              </w:rPr>
            </w:pPr>
          </w:p>
        </w:tc>
        <w:tc>
          <w:tcPr>
            <w:tcW w:w="1720" w:type="dxa"/>
            <w:vAlign w:val="bottom"/>
            <w:gridSpan w:val="4"/>
          </w:tcPr>
          <w:p>
            <w:pPr>
              <w:ind w:left="380"/>
              <w:spacing w:after="0"/>
              <w:rPr>
                <w:sz w:val="20"/>
                <w:szCs w:val="20"/>
                <w:color w:val="auto"/>
              </w:rPr>
            </w:pPr>
            <w:r>
              <w:rPr>
                <w:rFonts w:ascii="Arial" w:cs="Arial" w:eastAsia="Arial" w:hAnsi="Arial"/>
                <w:sz w:val="12"/>
                <w:szCs w:val="12"/>
                <w:color w:val="auto"/>
              </w:rPr>
              <w:t>57.3align:left;"&gt;</w:t>
            </w:r>
          </w:p>
        </w:tc>
        <w:tc>
          <w:tcPr>
            <w:tcW w:w="180" w:type="dxa"/>
            <w:vAlign w:val="bottom"/>
          </w:tcPr>
          <w:p>
            <w:pPr>
              <w:spacing w:after="0"/>
              <w:rPr>
                <w:sz w:val="14"/>
                <w:szCs w:val="14"/>
                <w:color w:val="auto"/>
              </w:rPr>
            </w:pPr>
          </w:p>
        </w:tc>
        <w:tc>
          <w:tcPr>
            <w:tcW w:w="1040" w:type="dxa"/>
            <w:vAlign w:val="bottom"/>
          </w:tcPr>
          <w:p>
            <w:pPr>
              <w:jc w:val="right"/>
              <w:ind w:right="201"/>
              <w:spacing w:after="0"/>
              <w:rPr>
                <w:sz w:val="20"/>
                <w:szCs w:val="20"/>
                <w:color w:val="auto"/>
              </w:rPr>
            </w:pPr>
            <w:r>
              <w:rPr>
                <w:rFonts w:ascii="Arial" w:cs="Arial" w:eastAsia="Arial" w:hAnsi="Arial"/>
                <w:sz w:val="12"/>
                <w:szCs w:val="12"/>
                <w:color w:val="auto"/>
              </w:rPr>
              <w:t>54.8</w:t>
            </w:r>
          </w:p>
        </w:tc>
      </w:tr>
      <w:tr>
        <w:trPr>
          <w:trHeight w:val="180"/>
        </w:trPr>
        <w:tc>
          <w:tcPr>
            <w:tcW w:w="7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recording fees and transfer taxes</w:t>
            </w:r>
          </w:p>
        </w:tc>
        <w:tc>
          <w:tcPr>
            <w:tcW w:w="6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48.9</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30.5</w:t>
            </w:r>
          </w:p>
        </w:tc>
      </w:tr>
      <w:tr>
        <w:trPr>
          <w:trHeight w:val="171"/>
        </w:trPr>
        <w:tc>
          <w:tcPr>
            <w:tcW w:w="7080" w:type="dxa"/>
            <w:vAlign w:val="bottom"/>
          </w:tcPr>
          <w:p>
            <w:pPr>
              <w:ind w:left="240"/>
              <w:spacing w:after="0"/>
              <w:rPr>
                <w:sz w:val="20"/>
                <w:szCs w:val="20"/>
                <w:color w:val="auto"/>
              </w:rPr>
            </w:pPr>
            <w:r>
              <w:rPr>
                <w:rFonts w:ascii="Arial" w:cs="Arial" w:eastAsia="Arial" w:hAnsi="Arial"/>
                <w:sz w:val="12"/>
                <w:szCs w:val="12"/>
                <w:color w:val="auto"/>
              </w:rPr>
              <w:t>Accrued premium taxes</w:t>
            </w:r>
          </w:p>
        </w:tc>
        <w:tc>
          <w:tcPr>
            <w:tcW w:w="600" w:type="dxa"/>
            <w:vAlign w:val="bottom"/>
          </w:tcPr>
          <w:p>
            <w:pPr>
              <w:spacing w:after="0"/>
              <w:rPr>
                <w:sz w:val="14"/>
                <w:szCs w:val="14"/>
                <w:color w:val="auto"/>
              </w:rPr>
            </w:pPr>
          </w:p>
        </w:tc>
        <w:tc>
          <w:tcPr>
            <w:tcW w:w="1200" w:type="dxa"/>
            <w:vAlign w:val="bottom"/>
            <w:gridSpan w:val="2"/>
          </w:tcPr>
          <w:p>
            <w:pPr>
              <w:jc w:val="right"/>
              <w:ind w:right="566"/>
              <w:spacing w:after="0"/>
              <w:rPr>
                <w:sz w:val="20"/>
                <w:szCs w:val="20"/>
                <w:color w:val="auto"/>
              </w:rPr>
            </w:pPr>
            <w:r>
              <w:rPr>
                <w:rFonts w:ascii="Arial" w:cs="Arial" w:eastAsia="Arial" w:hAnsi="Arial"/>
                <w:sz w:val="12"/>
                <w:szCs w:val="12"/>
                <w:color w:val="auto"/>
              </w:rPr>
              <w:t>33.6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01"/>
              <w:spacing w:after="0"/>
              <w:rPr>
                <w:sz w:val="20"/>
                <w:szCs w:val="20"/>
                <w:color w:val="auto"/>
              </w:rPr>
            </w:pPr>
            <w:r>
              <w:rPr>
                <w:rFonts w:ascii="Arial" w:cs="Arial" w:eastAsia="Arial" w:hAnsi="Arial"/>
                <w:sz w:val="12"/>
                <w:szCs w:val="12"/>
                <w:color w:val="auto"/>
              </w:rPr>
              <w:t>26.9</w:t>
            </w:r>
          </w:p>
        </w:tc>
      </w:tr>
      <w:tr>
        <w:trPr>
          <w:trHeight w:val="180"/>
        </w:trPr>
        <w:tc>
          <w:tcPr>
            <w:tcW w:w="7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accrued liabilities</w:t>
            </w:r>
          </w:p>
        </w:tc>
        <w:tc>
          <w:tcPr>
            <w:tcW w:w="6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566"/>
              <w:spacing w:after="0"/>
              <w:rPr>
                <w:sz w:val="20"/>
                <w:szCs w:val="20"/>
                <w:color w:val="auto"/>
              </w:rPr>
            </w:pPr>
            <w:r>
              <w:rPr>
                <w:rFonts w:ascii="Arial" w:cs="Arial" w:eastAsia="Arial" w:hAnsi="Arial"/>
                <w:sz w:val="12"/>
                <w:szCs w:val="12"/>
                <w:color w:val="auto"/>
              </w:rPr>
              <w:t>173.2</w:t>
            </w:r>
          </w:p>
        </w:tc>
        <w:tc>
          <w:tcPr>
            <w:tcW w:w="3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184.8</w:t>
            </w:r>
          </w:p>
        </w:tc>
      </w:tr>
      <w:tr>
        <w:trPr>
          <w:trHeight w:val="185"/>
        </w:trPr>
        <w:tc>
          <w:tcPr>
            <w:tcW w:w="7080" w:type="dxa"/>
            <w:vAlign w:val="bottom"/>
          </w:tcPr>
          <w:p>
            <w:pPr>
              <w:spacing w:after="0"/>
              <w:rPr>
                <w:sz w:val="16"/>
                <w:szCs w:val="16"/>
                <w:color w:val="auto"/>
              </w:rPr>
            </w:pPr>
          </w:p>
        </w:tc>
        <w:tc>
          <w:tcPr>
            <w:tcW w:w="6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2"/>
                <w:szCs w:val="12"/>
                <w:color w:val="auto"/>
              </w:rPr>
              <w:t>700.3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color w:val="auto"/>
              </w:rPr>
              <w:t>696.0</w:t>
            </w:r>
          </w:p>
        </w:tc>
      </w:tr>
    </w:tbl>
    <w:p>
      <w:pPr>
        <w:spacing w:after="0" w:line="275" w:lineRule="exact"/>
        <w:rPr>
          <w:sz w:val="20"/>
          <w:szCs w:val="20"/>
          <w:color w:val="auto"/>
        </w:rPr>
      </w:pPr>
    </w:p>
    <w:p>
      <w:pPr>
        <w:spacing w:after="0"/>
        <w:tabs>
          <w:tab w:leader="none" w:pos="500" w:val="left"/>
        </w:tabs>
        <w:rPr>
          <w:sz w:val="20"/>
          <w:szCs w:val="20"/>
          <w:color w:val="auto"/>
        </w:rPr>
      </w:pPr>
      <w:r>
        <w:rPr>
          <w:rFonts w:ascii="Arial" w:cs="Arial" w:eastAsia="Arial" w:hAnsi="Arial"/>
          <w:sz w:val="12"/>
          <w:szCs w:val="12"/>
          <w:b w:val="1"/>
          <w:bCs w:val="1"/>
          <w:color w:val="auto"/>
        </w:rPr>
        <w:t>Note I.</w:t>
      </w:r>
      <w:r>
        <w:rPr>
          <w:sz w:val="20"/>
          <w:szCs w:val="20"/>
          <w:color w:val="auto"/>
        </w:rPr>
        <w:tab/>
      </w:r>
      <w:r>
        <w:rPr>
          <w:rFonts w:ascii="Arial" w:cs="Arial" w:eastAsia="Arial" w:hAnsi="Arial"/>
          <w:sz w:val="10"/>
          <w:szCs w:val="10"/>
          <w:b w:val="1"/>
          <w:bCs w:val="1"/>
          <w:color w:val="auto"/>
        </w:rPr>
        <w:t>Notes Payable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Notes payable consists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2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7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r>
      <w:tr>
        <w:trPr>
          <w:trHeight w:val="169"/>
        </w:trPr>
        <w:tc>
          <w:tcPr>
            <w:tcW w:w="7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2009</w:t>
            </w:r>
          </w:p>
        </w:tc>
        <w:tc>
          <w:tcPr>
            <w:tcW w:w="260" w:type="dxa"/>
            <w:vAlign w:val="bottom"/>
            <w:tcBorders>
              <w:bottom w:val="single" w:sz="8" w:color="auto"/>
            </w:tcBorders>
          </w:tcPr>
          <w:p>
            <w:pPr>
              <w:spacing w:after="0"/>
              <w:rPr>
                <w:sz w:val="14"/>
                <w:szCs w:val="14"/>
                <w:color w:val="auto"/>
              </w:rPr>
            </w:pPr>
          </w:p>
        </w:tc>
      </w:tr>
      <w:tr>
        <w:trPr>
          <w:trHeight w:val="160"/>
        </w:trPr>
        <w:tc>
          <w:tcPr>
            <w:tcW w:w="7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w w:val="92"/>
              </w:rPr>
              <w:t>(Dollars in millions)</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4"/>
        </w:trPr>
        <w:tc>
          <w:tcPr>
            <w:tcW w:w="7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Unsecured notes, net of discount, interest payable semi-annually at 6.60%, due May 2017</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46"/>
              <w:spacing w:after="0"/>
              <w:rPr>
                <w:sz w:val="20"/>
                <w:szCs w:val="20"/>
                <w:color w:val="auto"/>
              </w:rPr>
            </w:pPr>
            <w:r>
              <w:rPr>
                <w:rFonts w:ascii="Arial" w:cs="Arial" w:eastAsia="Arial" w:hAnsi="Arial"/>
                <w:sz w:val="12"/>
                <w:szCs w:val="12"/>
                <w:color w:val="auto"/>
              </w:rPr>
              <w:t>299.7</w:t>
            </w: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r>
      <w:tr>
        <w:trPr>
          <w:trHeight w:val="171"/>
        </w:trPr>
        <w:tc>
          <w:tcPr>
            <w:tcW w:w="7240" w:type="dxa"/>
            <w:vAlign w:val="bottom"/>
          </w:tcPr>
          <w:p>
            <w:pPr>
              <w:ind w:left="240"/>
              <w:spacing w:after="0"/>
              <w:rPr>
                <w:sz w:val="20"/>
                <w:szCs w:val="20"/>
                <w:color w:val="auto"/>
              </w:rPr>
            </w:pPr>
            <w:r>
              <w:rPr>
                <w:rFonts w:ascii="Arial" w:cs="Arial" w:eastAsia="Arial" w:hAnsi="Arial"/>
                <w:sz w:val="12"/>
                <w:szCs w:val="12"/>
                <w:color w:val="auto"/>
              </w:rPr>
              <w:t>Unsecured notes, net of discount, interest payable semi-annually at 5.25%, due March 2013</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236.2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245.2</w:t>
            </w:r>
          </w:p>
        </w:tc>
      </w:tr>
      <w:tr>
        <w:trPr>
          <w:trHeight w:val="189"/>
        </w:trPr>
        <w:tc>
          <w:tcPr>
            <w:tcW w:w="7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Unsecured notes, net of discount, interest payable semi-annually at 7.30%, due August 2011</w:t>
            </w: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165.6</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165.5</w:t>
            </w:r>
          </w:p>
        </w:tc>
      </w:tr>
      <w:tr>
        <w:trPr>
          <w:trHeight w:val="153"/>
        </w:trPr>
        <w:tc>
          <w:tcPr>
            <w:tcW w:w="7240" w:type="dxa"/>
            <w:vAlign w:val="bottom"/>
          </w:tcPr>
          <w:p>
            <w:pPr>
              <w:ind w:left="240"/>
              <w:spacing w:after="0"/>
              <w:rPr>
                <w:sz w:val="20"/>
                <w:szCs w:val="20"/>
                <w:color w:val="auto"/>
              </w:rPr>
            </w:pPr>
            <w:r>
              <w:rPr>
                <w:rFonts w:ascii="Arial" w:cs="Arial" w:eastAsia="Arial" w:hAnsi="Arial"/>
                <w:sz w:val="12"/>
                <w:szCs w:val="12"/>
                <w:color w:val="auto"/>
                <w:w w:val="96"/>
              </w:rPr>
              <w:t>Syndicated credit agreement, unsecured, unused portion of $701.2 million at December 31, 2010, composed of $6.9 million due October</w:t>
            </w: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44"/>
        </w:trPr>
        <w:tc>
          <w:tcPr>
            <w:tcW w:w="7240" w:type="dxa"/>
            <w:vAlign w:val="bottom"/>
          </w:tcPr>
          <w:p>
            <w:pPr>
              <w:ind w:left="20"/>
              <w:spacing w:after="0"/>
              <w:rPr>
                <w:sz w:val="20"/>
                <w:szCs w:val="20"/>
                <w:color w:val="auto"/>
              </w:rPr>
            </w:pPr>
            <w:r>
              <w:rPr>
                <w:rFonts w:ascii="Arial" w:cs="Arial" w:eastAsia="Arial" w:hAnsi="Arial"/>
                <w:sz w:val="12"/>
                <w:szCs w:val="12"/>
                <w:color w:val="auto"/>
                <w:w w:val="98"/>
              </w:rPr>
              <w:t>2011 with interest payable monthly at LIBOR plus 0.475% (0.74% at December 31, 2010) and $243.1 million due March 2013 with interest</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2"/>
        </w:trPr>
        <w:tc>
          <w:tcPr>
            <w:tcW w:w="7240" w:type="dxa"/>
            <w:vAlign w:val="bottom"/>
          </w:tcPr>
          <w:p>
            <w:pPr>
              <w:ind w:left="20"/>
              <w:spacing w:after="0"/>
              <w:rPr>
                <w:sz w:val="20"/>
                <w:szCs w:val="20"/>
                <w:color w:val="auto"/>
              </w:rPr>
            </w:pPr>
            <w:r>
              <w:rPr>
                <w:rFonts w:ascii="Arial" w:cs="Arial" w:eastAsia="Arial" w:hAnsi="Arial"/>
                <w:sz w:val="12"/>
                <w:szCs w:val="12"/>
                <w:color w:val="auto"/>
              </w:rPr>
              <w:t>payable monthly at LIBOR plus 1.50% (1.76% at December 31, 2010)</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250.0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400.0</w:t>
            </w:r>
          </w:p>
        </w:tc>
      </w:tr>
      <w:tr>
        <w:trPr>
          <w:trHeight w:val="189"/>
        </w:trPr>
        <w:tc>
          <w:tcPr>
            <w:tcW w:w="7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Subordinated note payable to LFG Liquidation Trust, interest payable annually</w:t>
            </w: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50.0</w:t>
            </w:r>
          </w:p>
        </w:tc>
      </w:tr>
      <w:tr>
        <w:trPr>
          <w:trHeight w:val="171"/>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w:t>
            </w: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0.5</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1.2</w:t>
            </w:r>
          </w:p>
        </w:tc>
      </w:tr>
      <w:tr>
        <w:trPr>
          <w:trHeight w:val="169"/>
        </w:trPr>
        <w:tc>
          <w:tcPr>
            <w:tcW w:w="72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952.0</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861.9</w:t>
            </w:r>
          </w:p>
        </w:tc>
      </w:tr>
      <w:tr>
        <w:trPr>
          <w:trHeight w:val="36"/>
        </w:trPr>
        <w:tc>
          <w:tcPr>
            <w:tcW w:w="7240" w:type="dxa"/>
            <w:vAlign w:val="bottom"/>
            <w:shd w:val="clear" w:color="auto" w:fill="CCEEFF"/>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r>
    </w:tbl>
    <w:p>
      <w:pPr>
        <w:spacing w:after="0" w:line="13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At December 31, 2010, the estimated fair value of our outstanding notes payable was approximately $957.6 million or $5.6 million higher than its carrying value. The carrying value of our notes payable was approximately $849.1 million or $12.8 million lower than its estimated fair value at December 31, 2009. The fair values of our unsecured notes pay able are based on established market prices for the securities on December 31, 2010 and 2009. The fair value of our syndicated credit agreement is estimated using a discounted cash flow analysis based on current market interest rates and comparison of interest rates being paid to our current incremental borrowing rates for similar types of borrowing arrangements.</w:t>
      </w:r>
    </w:p>
    <w:p>
      <w:pPr>
        <w:spacing w:after="0" w:line="12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On May 5, 2010, we completed an offering of $300.0 million in aggregate principal amount of our 6.60% notes due May 2017 (the "notes"), pursuant to an effective registration statement previously filed with the Securities and Exchange Commission. The notes were priced at 99.897% of par to yield 6.61% annual interest. As such we recorded a discount of $0.3 million, which is netted against the $300.0 million aggregate principal amount of notes. The discount is amortized to May 2017 when the notes mature. We received net proceeds of $297.3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 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2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Effective March 5, 2010, we entered into an agreement to amend and extend our credit agreement dated September 12, 2006 (the “Credit Agreement”) with Bank of America, N.A. as administrative agent and swing line lender (the “Administrative Agent”),</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620"/>
          </w:cols>
          <w:pgMar w:left="1080" w:top="127" w:right="199" w:bottom="1440" w:gutter="0" w:footer="0" w:header="0"/>
        </w:sectPr>
      </w:pPr>
    </w:p>
    <w:bookmarkStart w:id="72" w:name="page73"/>
    <w:bookmarkEnd w:id="72"/>
    <w:p>
      <w:pPr>
        <w:ind w:left="3683"/>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3"/>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4" w:lineRule="exact"/>
        <w:rPr>
          <w:sz w:val="20"/>
          <w:szCs w:val="20"/>
          <w:color w:val="auto"/>
        </w:rPr>
      </w:pPr>
    </w:p>
    <w:p>
      <w:pPr>
        <w:jc w:val="both"/>
        <w:ind w:left="3" w:firstLine="216"/>
        <w:spacing w:after="0" w:line="302" w:lineRule="auto"/>
        <w:rPr>
          <w:sz w:val="20"/>
          <w:szCs w:val="20"/>
          <w:color w:val="auto"/>
        </w:rPr>
      </w:pPr>
      <w:r>
        <w:rPr>
          <w:rFonts w:ascii="Arial" w:cs="Arial" w:eastAsia="Arial" w:hAnsi="Arial"/>
          <w:sz w:val="10"/>
          <w:szCs w:val="10"/>
          <w:color w:val="auto"/>
        </w:rPr>
        <w:t>and the other financial institutions party thereto, and an agreement to change the aggregate size of the credit facility under the Credit Agreement. These agreements r educed the total size of the credit facility from $1.1 billion to $951.2 million, with an option to increase the size of the credit facility to $1.1 billion, and created a new tranche, representing $925.0 million of the total credit facility, with an extended maturity date of March 5, 2013. Pricing for the new tranche is based on an applicable margin between 110 basis points to 190 basis points over LIBOR, depending on the senior debt ratings of FNF, and is at 150 basis points over LIBOR as of December 31, 2010. The Credit Agreement remains subject to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prohibits us from paying dividends to our stockholders if an event of default has occurred and is continuing or would result therefrom. The Credit Agreement requires us to maintain certain financial 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w:t>
      </w:r>
    </w:p>
    <w:p>
      <w:pPr>
        <w:spacing w:after="0" w:line="4" w:lineRule="exact"/>
        <w:rPr>
          <w:sz w:val="20"/>
          <w:szCs w:val="20"/>
          <w:color w:val="auto"/>
        </w:rPr>
      </w:pPr>
    </w:p>
    <w:p>
      <w:pPr>
        <w:jc w:val="both"/>
        <w:ind w:left="3" w:hanging="3"/>
        <w:spacing w:after="0" w:line="290" w:lineRule="auto"/>
        <w:tabs>
          <w:tab w:leader="none" w:pos="192" w:val="left"/>
        </w:tabs>
        <w:numPr>
          <w:ilvl w:val="0"/>
          <w:numId w:val="32"/>
        </w:numPr>
        <w:rPr>
          <w:rFonts w:ascii="Arial" w:cs="Arial" w:eastAsia="Arial" w:hAnsi="Arial"/>
          <w:sz w:val="11"/>
          <w:szCs w:val="11"/>
          <w:color w:val="auto"/>
        </w:rPr>
      </w:pPr>
      <w:r>
        <w:rPr>
          <w:rFonts w:ascii="Arial" w:cs="Arial" w:eastAsia="Arial" w:hAnsi="Arial"/>
          <w:sz w:val="11"/>
          <w:szCs w:val="11"/>
          <w:color w:val="auto"/>
        </w:rPr>
        <w:t>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109" w:lineRule="exact"/>
        <w:rPr>
          <w:sz w:val="20"/>
          <w:szCs w:val="20"/>
          <w:color w:val="auto"/>
        </w:rPr>
      </w:pPr>
    </w:p>
    <w:p>
      <w:pPr>
        <w:jc w:val="both"/>
        <w:ind w:left="3" w:firstLine="216"/>
        <w:spacing w:after="0" w:line="276" w:lineRule="auto"/>
        <w:rPr>
          <w:sz w:val="20"/>
          <w:szCs w:val="20"/>
          <w:color w:val="auto"/>
        </w:rPr>
      </w:pPr>
      <w:r>
        <w:rPr>
          <w:rFonts w:ascii="Arial" w:cs="Arial" w:eastAsia="Arial" w:hAnsi="Arial"/>
          <w:sz w:val="12"/>
          <w:szCs w:val="12"/>
          <w:color w:val="auto"/>
        </w:rPr>
        <w:t>On December 22, 2008, in connection with the acquisition of the LFG Underwriters, we entered into a $50 million subordinated note payable to LFG, due December 2013, with interest of 2.36% payable annually. On March 1, 2010, we paid approximately $49 million to the LFG Liquidation Trust in full satisfaction of this obligation.</w:t>
      </w:r>
    </w:p>
    <w:p>
      <w:pPr>
        <w:spacing w:after="0" w:line="115" w:lineRule="exact"/>
        <w:rPr>
          <w:sz w:val="20"/>
          <w:szCs w:val="20"/>
          <w:color w:val="auto"/>
        </w:rPr>
      </w:pPr>
    </w:p>
    <w:p>
      <w:pPr>
        <w:jc w:val="both"/>
        <w:ind w:left="3" w:firstLine="216"/>
        <w:spacing w:after="0" w:line="257" w:lineRule="auto"/>
        <w:rPr>
          <w:sz w:val="20"/>
          <w:szCs w:val="20"/>
          <w:color w:val="auto"/>
        </w:rPr>
      </w:pPr>
      <w:r>
        <w:rPr>
          <w:rFonts w:ascii="Arial" w:cs="Arial" w:eastAsia="Arial" w:hAnsi="Arial"/>
          <w:sz w:val="12"/>
          <w:szCs w:val="12"/>
          <w:color w:val="auto"/>
        </w:rPr>
        <w:t>The $236.2 million aggregate principal amount of 5.25% notes due March 2013 and the $165.6 million aggregate principal amount of 7.30% notes due August 2011 contain cu stomary covenants and events of default for investment grade public debt. The indenture governing the 7.30% notes and the 5.25% notes also contains customary events of default. These events of default include a cross default provision, with respect to any other debt of the Company in an aggregate amount exceeding $20 million for all such debt, arising from (i) failure to make a principal payment when due or (ii) the occurrence of an event which results in such debt being due and payable prior to its scheduled maturity. The available capacity under our Credit Agreement as of December 31. 2010 would be more than enough to repay the $165.6 million aggregate principal amount of our 7.30% notes due in August 2011.</w:t>
      </w:r>
    </w:p>
    <w:p>
      <w:pPr>
        <w:spacing w:after="0" w:line="126" w:lineRule="exact"/>
        <w:rPr>
          <w:sz w:val="20"/>
          <w:szCs w:val="20"/>
          <w:color w:val="auto"/>
        </w:rPr>
      </w:pPr>
    </w:p>
    <w:p>
      <w:pPr>
        <w:jc w:val="both"/>
        <w:ind w:left="3" w:firstLine="216"/>
        <w:spacing w:after="0" w:line="259" w:lineRule="auto"/>
        <w:rPr>
          <w:sz w:val="20"/>
          <w:szCs w:val="20"/>
          <w:color w:val="auto"/>
        </w:rPr>
      </w:pPr>
      <w:r>
        <w:rPr>
          <w:rFonts w:ascii="Arial" w:cs="Arial" w:eastAsia="Arial" w:hAnsi="Arial"/>
          <w:sz w:val="12"/>
          <w:szCs w:val="12"/>
          <w:color w:val="auto"/>
        </w:rPr>
        <w:t>On April 14, 2009, we received $331.4 million in net proceeds from our offering of a total of 18,170,000 shares of our common stock. The proceeds were partially used to repay $135 million in borrowings under our $1.1 billion revolving credit facility. In addition, we used the proceeds to purchase $67.8 million in par value of our 7.30% notes due in 2011 for an aggregate purchase price of $68.7 million, including accrued interest of $1.2 million, and $3.0 million in par value of our 5.25% notes due in 2013 for an aggregate purchase price of $2.8 million. In the third and fourth quarters of 2009, one of our subsidiaries purchased $7.8 million in par value of our 7.30% notes for a total purchase price of $8.0 million.</w:t>
      </w:r>
    </w:p>
    <w:p>
      <w:pPr>
        <w:spacing w:after="0" w:line="233"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4980" w:type="dxa"/>
            <w:vAlign w:val="bottom"/>
          </w:tcPr>
          <w:p>
            <w:pPr>
              <w:ind w:left="420"/>
              <w:spacing w:after="0"/>
              <w:rPr>
                <w:sz w:val="20"/>
                <w:szCs w:val="20"/>
                <w:color w:val="auto"/>
              </w:rPr>
            </w:pPr>
            <w:r>
              <w:rPr>
                <w:rFonts w:ascii="Arial" w:cs="Arial" w:eastAsia="Arial" w:hAnsi="Arial"/>
                <w:sz w:val="12"/>
                <w:szCs w:val="12"/>
                <w:color w:val="auto"/>
                <w:w w:val="98"/>
              </w:rPr>
              <w:t>Principal maturities of notes payable at December 31, 2010 are as follows (in millions):</w:t>
            </w:r>
          </w:p>
        </w:tc>
        <w:tc>
          <w:tcPr>
            <w:tcW w:w="4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9"/>
        </w:trPr>
        <w:tc>
          <w:tcPr>
            <w:tcW w:w="4980" w:type="dxa"/>
            <w:vAlign w:val="bottom"/>
          </w:tcPr>
          <w:p>
            <w:pPr>
              <w:ind w:left="240"/>
              <w:spacing w:after="0"/>
              <w:rPr>
                <w:sz w:val="20"/>
                <w:szCs w:val="20"/>
                <w:color w:val="auto"/>
              </w:rPr>
            </w:pPr>
            <w:r>
              <w:rPr>
                <w:rFonts w:ascii="Arial" w:cs="Arial" w:eastAsia="Arial" w:hAnsi="Arial"/>
                <w:sz w:val="12"/>
                <w:szCs w:val="12"/>
                <w:color w:val="auto"/>
              </w:rPr>
              <w:t>2011</w:t>
            </w:r>
          </w:p>
        </w:tc>
        <w:tc>
          <w:tcPr>
            <w:tcW w:w="47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00"/>
              <w:spacing w:after="0"/>
              <w:rPr>
                <w:sz w:val="20"/>
                <w:szCs w:val="20"/>
                <w:color w:val="auto"/>
              </w:rPr>
            </w:pPr>
            <w:r>
              <w:rPr>
                <w:rFonts w:ascii="Arial" w:cs="Arial" w:eastAsia="Arial" w:hAnsi="Arial"/>
                <w:sz w:val="12"/>
                <w:szCs w:val="12"/>
                <w:color w:val="auto"/>
              </w:rPr>
              <w:t>172.7</w:t>
            </w:r>
          </w:p>
        </w:tc>
      </w:tr>
      <w:tr>
        <w:trPr>
          <w:trHeight w:val="189"/>
        </w:trPr>
        <w:tc>
          <w:tcPr>
            <w:tcW w:w="4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2012</w:t>
            </w:r>
          </w:p>
        </w:tc>
        <w:tc>
          <w:tcPr>
            <w:tcW w:w="4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0.3</w:t>
            </w:r>
          </w:p>
        </w:tc>
      </w:tr>
      <w:tr>
        <w:trPr>
          <w:trHeight w:val="171"/>
        </w:trPr>
        <w:tc>
          <w:tcPr>
            <w:tcW w:w="4980" w:type="dxa"/>
            <w:vAlign w:val="bottom"/>
          </w:tcPr>
          <w:p>
            <w:pPr>
              <w:ind w:left="240"/>
              <w:spacing w:after="0"/>
              <w:rPr>
                <w:sz w:val="20"/>
                <w:szCs w:val="20"/>
                <w:color w:val="auto"/>
              </w:rPr>
            </w:pPr>
            <w:r>
              <w:rPr>
                <w:rFonts w:ascii="Arial" w:cs="Arial" w:eastAsia="Arial" w:hAnsi="Arial"/>
                <w:sz w:val="12"/>
                <w:szCs w:val="12"/>
                <w:color w:val="auto"/>
              </w:rPr>
              <w:t>2013</w:t>
            </w: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200"/>
              <w:spacing w:after="0"/>
              <w:rPr>
                <w:sz w:val="20"/>
                <w:szCs w:val="20"/>
                <w:color w:val="auto"/>
              </w:rPr>
            </w:pPr>
            <w:r>
              <w:rPr>
                <w:rFonts w:ascii="Arial" w:cs="Arial" w:eastAsia="Arial" w:hAnsi="Arial"/>
                <w:sz w:val="12"/>
                <w:szCs w:val="12"/>
                <w:color w:val="auto"/>
              </w:rPr>
              <w:t>479.3</w:t>
            </w:r>
          </w:p>
        </w:tc>
      </w:tr>
      <w:tr>
        <w:trPr>
          <w:trHeight w:val="189"/>
        </w:trPr>
        <w:tc>
          <w:tcPr>
            <w:tcW w:w="4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2014</w:t>
            </w:r>
          </w:p>
        </w:tc>
        <w:tc>
          <w:tcPr>
            <w:tcW w:w="4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r>
      <w:tr>
        <w:trPr>
          <w:trHeight w:val="171"/>
        </w:trPr>
        <w:tc>
          <w:tcPr>
            <w:tcW w:w="4980" w:type="dxa"/>
            <w:vAlign w:val="bottom"/>
          </w:tcPr>
          <w:p>
            <w:pPr>
              <w:ind w:left="240"/>
              <w:spacing w:after="0"/>
              <w:rPr>
                <w:sz w:val="20"/>
                <w:szCs w:val="20"/>
                <w:color w:val="auto"/>
              </w:rPr>
            </w:pPr>
            <w:r>
              <w:rPr>
                <w:rFonts w:ascii="Arial" w:cs="Arial" w:eastAsia="Arial" w:hAnsi="Arial"/>
                <w:sz w:val="12"/>
                <w:szCs w:val="12"/>
                <w:color w:val="auto"/>
              </w:rPr>
              <w:t>2015</w:t>
            </w:r>
          </w:p>
        </w:tc>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200"/>
              <w:spacing w:after="0"/>
              <w:rPr>
                <w:sz w:val="20"/>
                <w:szCs w:val="20"/>
                <w:color w:val="auto"/>
              </w:rPr>
            </w:pPr>
            <w:r>
              <w:rPr>
                <w:rFonts w:ascii="Arial" w:cs="Arial" w:eastAsia="Arial" w:hAnsi="Arial"/>
                <w:sz w:val="12"/>
                <w:szCs w:val="12"/>
                <w:color w:val="auto"/>
              </w:rPr>
              <w:t>—</w:t>
            </w:r>
          </w:p>
        </w:tc>
      </w:tr>
      <w:tr>
        <w:trPr>
          <w:trHeight w:val="180"/>
        </w:trPr>
        <w:tc>
          <w:tcPr>
            <w:tcW w:w="4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Thereafter</w:t>
            </w:r>
          </w:p>
        </w:tc>
        <w:tc>
          <w:tcPr>
            <w:tcW w:w="40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299.7</w:t>
            </w:r>
          </w:p>
        </w:tc>
      </w:tr>
      <w:tr>
        <w:trPr>
          <w:trHeight w:val="185"/>
        </w:trPr>
        <w:tc>
          <w:tcPr>
            <w:tcW w:w="4980" w:type="dxa"/>
            <w:vAlign w:val="bottom"/>
          </w:tcPr>
          <w:p>
            <w:pPr>
              <w:spacing w:after="0"/>
              <w:rPr>
                <w:sz w:val="16"/>
                <w:szCs w:val="16"/>
                <w:color w:val="auto"/>
              </w:rPr>
            </w:pPr>
          </w:p>
        </w:tc>
        <w:tc>
          <w:tcPr>
            <w:tcW w:w="47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00"/>
              <w:spacing w:after="0"/>
              <w:rPr>
                <w:sz w:val="20"/>
                <w:szCs w:val="20"/>
                <w:color w:val="auto"/>
              </w:rPr>
            </w:pPr>
            <w:r>
              <w:rPr>
                <w:rFonts w:ascii="Arial" w:cs="Arial" w:eastAsia="Arial" w:hAnsi="Arial"/>
                <w:sz w:val="12"/>
                <w:szCs w:val="12"/>
                <w:color w:val="auto"/>
              </w:rPr>
              <w:t>952.0</w:t>
            </w:r>
          </w:p>
        </w:tc>
      </w:tr>
      <w:tr>
        <w:trPr>
          <w:trHeight w:val="721"/>
        </w:trPr>
        <w:tc>
          <w:tcPr>
            <w:tcW w:w="4980" w:type="dxa"/>
            <w:vAlign w:val="bottom"/>
          </w:tcPr>
          <w:p>
            <w:pPr>
              <w:spacing w:after="0"/>
              <w:rPr>
                <w:sz w:val="24"/>
                <w:szCs w:val="24"/>
                <w:color w:val="auto"/>
              </w:rPr>
            </w:pPr>
          </w:p>
        </w:tc>
        <w:tc>
          <w:tcPr>
            <w:tcW w:w="4060" w:type="dxa"/>
            <w:vAlign w:val="bottom"/>
          </w:tcPr>
          <w:p>
            <w:pPr>
              <w:jc w:val="right"/>
              <w:ind w:right="3500"/>
              <w:spacing w:after="0"/>
              <w:rPr>
                <w:sz w:val="20"/>
                <w:szCs w:val="20"/>
                <w:color w:val="auto"/>
              </w:rPr>
            </w:pPr>
            <w:r>
              <w:rPr>
                <w:rFonts w:ascii="Arial" w:cs="Arial" w:eastAsia="Arial" w:hAnsi="Arial"/>
                <w:sz w:val="12"/>
                <w:szCs w:val="12"/>
                <w:color w:val="auto"/>
              </w:rPr>
              <w:t>72</w:t>
            </w:r>
          </w:p>
        </w:tc>
        <w:tc>
          <w:tcPr>
            <w:tcW w:w="6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0623"/>
          </w:cols>
          <w:pgMar w:left="1077" w:top="127" w:right="199" w:bottom="1440" w:gutter="0" w:footer="0" w:header="0"/>
        </w:sectPr>
      </w:pPr>
    </w:p>
    <w:bookmarkStart w:id="73" w:name="page74"/>
    <w:bookmarkEnd w:id="73"/>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jc w:val="right"/>
        <w:ind w:right="324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00" w:lineRule="exact"/>
        <w:rPr>
          <w:sz w:val="20"/>
          <w:szCs w:val="20"/>
          <w:color w:val="auto"/>
        </w:rPr>
      </w:pP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Note J.</w:t>
      </w:r>
      <w:r>
        <w:rPr>
          <w:sz w:val="20"/>
          <w:szCs w:val="20"/>
          <w:color w:val="auto"/>
        </w:rPr>
        <w:tab/>
      </w:r>
      <w:r>
        <w:rPr>
          <w:rFonts w:ascii="Arial" w:cs="Arial" w:eastAsia="Arial" w:hAnsi="Arial"/>
          <w:sz w:val="10"/>
          <w:szCs w:val="10"/>
          <w:b w:val="1"/>
          <w:bCs w:val="1"/>
          <w:color w:val="auto"/>
        </w:rPr>
        <w:t>Income Taxes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Income tax expense (benefit) on continuing operations consists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7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6"/>
              </w:rPr>
              <w:t>Year Ended December 31,</w:t>
            </w: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169"/>
        </w:trPr>
        <w:tc>
          <w:tcPr>
            <w:tcW w:w="5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2010</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2009</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auto"/>
            </w:tcBorders>
          </w:tcPr>
          <w:p>
            <w:pPr>
              <w:spacing w:after="0"/>
              <w:rPr>
                <w:sz w:val="14"/>
                <w:szCs w:val="14"/>
                <w:color w:val="auto"/>
              </w:rPr>
            </w:pPr>
          </w:p>
        </w:tc>
      </w:tr>
      <w:tr>
        <w:trPr>
          <w:trHeight w:val="124"/>
        </w:trPr>
        <w:tc>
          <w:tcPr>
            <w:tcW w:w="5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(In millions)</w:t>
            </w: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4"/>
        </w:trPr>
        <w:tc>
          <w:tcPr>
            <w:tcW w:w="5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74.0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185"/>
              <w:spacing w:after="0"/>
              <w:rPr>
                <w:sz w:val="20"/>
                <w:szCs w:val="20"/>
                <w:color w:val="auto"/>
              </w:rPr>
            </w:pPr>
            <w:r>
              <w:rPr>
                <w:rFonts w:ascii="Arial" w:cs="Arial" w:eastAsia="Arial" w:hAnsi="Arial"/>
                <w:sz w:val="12"/>
                <w:szCs w:val="12"/>
                <w:color w:val="auto"/>
              </w:rPr>
              <w:t>12.7</w:t>
            </w: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(45.1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740" w:type="dxa"/>
            <w:vAlign w:val="bottom"/>
          </w:tcPr>
          <w:p>
            <w:pPr>
              <w:ind w:left="240"/>
              <w:spacing w:after="0"/>
              <w:rPr>
                <w:sz w:val="20"/>
                <w:szCs w:val="20"/>
                <w:color w:val="auto"/>
              </w:rPr>
            </w:pPr>
            <w:r>
              <w:rPr>
                <w:rFonts w:ascii="Arial" w:cs="Arial" w:eastAsia="Arial" w:hAnsi="Arial"/>
                <w:sz w:val="12"/>
                <w:szCs w:val="12"/>
                <w:color w:val="auto"/>
              </w:rPr>
              <w:t>Deferred</w:t>
            </w:r>
          </w:p>
        </w:tc>
        <w:tc>
          <w:tcPr>
            <w:tcW w:w="3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2"/>
                <w:szCs w:val="12"/>
                <w:color w:val="auto"/>
              </w:rPr>
              <w:t>111.6</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Arial" w:cs="Arial" w:eastAsia="Arial" w:hAnsi="Arial"/>
                <w:sz w:val="12"/>
                <w:szCs w:val="12"/>
                <w:color w:val="auto"/>
              </w:rPr>
              <w:t>94.1</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(74.8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5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185.6</w:t>
            </w: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2"/>
                <w:szCs w:val="12"/>
                <w:color w:val="auto"/>
              </w:rPr>
              <w:t>106.8</w:t>
            </w:r>
          </w:p>
        </w:tc>
        <w:tc>
          <w:tcPr>
            <w:tcW w:w="3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(119.9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Total income tax expense (benefit) on continuing operations for the years ended December 31 was allocated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6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2010</w:t>
            </w: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2009</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auto"/>
            </w:tcBorders>
          </w:tcPr>
          <w:p>
            <w:pPr>
              <w:spacing w:after="0"/>
              <w:rPr>
                <w:sz w:val="11"/>
                <w:szCs w:val="11"/>
                <w:color w:val="auto"/>
              </w:rPr>
            </w:pPr>
          </w:p>
        </w:tc>
      </w:tr>
      <w:tr>
        <w:trPr>
          <w:trHeight w:val="164"/>
        </w:trPr>
        <w:tc>
          <w:tcPr>
            <w:tcW w:w="5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earnings (loss)</w:t>
            </w:r>
          </w:p>
        </w:tc>
        <w:tc>
          <w:tcPr>
            <w:tcW w:w="5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185.6</w:t>
            </w:r>
          </w:p>
        </w:tc>
        <w:tc>
          <w:tcPr>
            <w:tcW w:w="18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106.8</w:t>
            </w:r>
          </w:p>
        </w:tc>
        <w:tc>
          <w:tcPr>
            <w:tcW w:w="32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(119.9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9"/>
        </w:trPr>
        <w:tc>
          <w:tcPr>
            <w:tcW w:w="5680" w:type="dxa"/>
            <w:vAlign w:val="bottom"/>
          </w:tcPr>
          <w:p>
            <w:pPr>
              <w:ind w:left="240"/>
              <w:spacing w:after="0"/>
              <w:rPr>
                <w:sz w:val="20"/>
                <w:szCs w:val="20"/>
                <w:color w:val="auto"/>
              </w:rPr>
            </w:pPr>
            <w:r>
              <w:rPr>
                <w:rFonts w:ascii="Arial" w:cs="Arial" w:eastAsia="Arial" w:hAnsi="Arial"/>
                <w:sz w:val="12"/>
                <w:szCs w:val="12"/>
                <w:color w:val="auto"/>
              </w:rPr>
              <w:t>Other comprehensive (loss) earnings:</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&amp; nbsp;</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9"/>
        </w:trPr>
        <w:tc>
          <w:tcPr>
            <w:tcW w:w="5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(losses) gains on investments and other financial instruments</w:t>
            </w: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(38.1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680" w:type="dxa"/>
            <w:vAlign w:val="bottom"/>
          </w:tcPr>
          <w:p>
            <w:pPr>
              <w:ind w:left="240"/>
              <w:spacing w:after="0"/>
              <w:rPr>
                <w:sz w:val="20"/>
                <w:szCs w:val="20"/>
                <w:color w:val="auto"/>
              </w:rPr>
            </w:pPr>
            <w:r>
              <w:rPr>
                <w:rFonts w:ascii="Arial" w:cs="Arial" w:eastAsia="Arial" w:hAnsi="Arial"/>
                <w:sz w:val="12"/>
                <w:szCs w:val="12"/>
                <w:color w:val="auto"/>
              </w:rPr>
              <w:t>Unrealized gain on foreign currency translation</w:t>
            </w:r>
          </w:p>
        </w:tc>
        <w:tc>
          <w:tcPr>
            <w:tcW w:w="50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0.1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0.3</w:t>
            </w:r>
          </w:p>
        </w:tc>
        <w:tc>
          <w:tcPr>
            <w:tcW w:w="180" w:type="dxa"/>
            <w:vAlign w:val="bottom"/>
          </w:tcPr>
          <w:p>
            <w:pPr>
              <w:spacing w:after="0"/>
              <w:rPr>
                <w:sz w:val="14"/>
                <w:szCs w:val="14"/>
                <w:color w:val="auto"/>
              </w:rPr>
            </w:pPr>
          </w:p>
        </w:tc>
      </w:tr>
      <w:tr>
        <w:trPr>
          <w:trHeight w:val="162"/>
        </w:trPr>
        <w:tc>
          <w:tcPr>
            <w:tcW w:w="5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44"/>
        </w:trPr>
        <w:tc>
          <w:tcPr>
            <w:tcW w:w="5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4"/>
              </w:rPr>
              <w:t>&lt;</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5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Reclassification adjustment for realized losses (gains) included in net earnings</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20.3</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460"/>
              <w:spacing w:after="0"/>
              <w:rPr>
                <w:sz w:val="20"/>
                <w:szCs w:val="20"/>
                <w:color w:val="auto"/>
              </w:rPr>
            </w:pPr>
            <w:r>
              <w:rPr>
                <w:rFonts w:ascii="Arial" w:cs="Arial" w:eastAsia="Arial" w:hAnsi="Arial"/>
                <w:sz w:val="12"/>
                <w:szCs w:val="12"/>
                <w:color w:val="auto"/>
              </w:rPr>
              <w:t>(2.8/font&gt;</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18.1</w:t>
            </w:r>
          </w:p>
        </w:tc>
        <w:tc>
          <w:tcPr>
            <w:tcW w:w="180" w:type="dxa"/>
            <w:vAlign w:val="bottom"/>
            <w:shd w:val="clear" w:color="auto" w:fill="CCEEFF"/>
          </w:tcPr>
          <w:p>
            <w:pPr>
              <w:spacing w:after="0"/>
              <w:rPr>
                <w:sz w:val="14"/>
                <w:szCs w:val="14"/>
                <w:color w:val="auto"/>
              </w:rPr>
            </w:pPr>
          </w:p>
        </w:tc>
      </w:tr>
      <w:tr>
        <w:trPr>
          <w:trHeight w:val="180"/>
        </w:trPr>
        <w:tc>
          <w:tcPr>
            <w:tcW w:w="56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Minimum pension liability adjustment</w:t>
            </w: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4.0</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9"/>
        </w:trPr>
        <w:tc>
          <w:tcPr>
            <w:tcW w:w="5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income tax (benefit) expense allocated to other comprehensive income</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6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Additional paid-in capital (sto ck compensation)</w:t>
            </w: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5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Total income taxes</w:t>
            </w:r>
          </w:p>
        </w:tc>
        <w:tc>
          <w:tcPr>
            <w:tcW w:w="5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168.9</w:t>
            </w:r>
          </w:p>
        </w:tc>
        <w:tc>
          <w:tcPr>
            <w:tcW w:w="1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148.4</w:t>
            </w:r>
          </w:p>
        </w:tc>
        <w:tc>
          <w:tcPr>
            <w:tcW w:w="3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(132.9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 reconciliation of the federal statutory rate to our effective tax rate is as follows:</w:t>
      </w:r>
    </w:p>
    <w:p>
      <w:pPr>
        <w:spacing w:after="0" w:line="96" w:lineRule="exact"/>
        <w:rPr>
          <w:sz w:val="20"/>
          <w:szCs w:val="20"/>
          <w:color w:val="auto"/>
        </w:rPr>
      </w:pPr>
    </w:p>
    <w:p>
      <w:pPr>
        <w:ind w:left="320" w:hanging="107"/>
        <w:spacing w:after="0"/>
        <w:tabs>
          <w:tab w:leader="none" w:pos="3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td style="vertical-align:bottom;padding-top:2px;padding-bottom:2px;padding-right:2px;"&gt;</w:t>
      </w:r>
    </w:p>
    <w:p>
      <w:pPr>
        <w:spacing w:after="0" w:line="14"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8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6"/>
              </w:rPr>
              <w:t>Year Ended December 31,</w:t>
            </w: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r>
      <w:tr>
        <w:trPr>
          <w:trHeight w:val="169"/>
        </w:trPr>
        <w:tc>
          <w:tcPr>
            <w:tcW w:w="58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2010</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2009</w:t>
            </w: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2008</w:t>
            </w:r>
          </w:p>
        </w:tc>
        <w:tc>
          <w:tcPr>
            <w:tcW w:w="260" w:type="dxa"/>
            <w:vAlign w:val="bottom"/>
            <w:tcBorders>
              <w:bottom w:val="single" w:sz="8" w:color="auto"/>
            </w:tcBorders>
          </w:tcPr>
          <w:p>
            <w:pPr>
              <w:spacing w:after="0"/>
              <w:rPr>
                <w:sz w:val="14"/>
                <w:szCs w:val="14"/>
                <w:color w:val="auto"/>
              </w:rPr>
            </w:pPr>
          </w:p>
        </w:tc>
      </w:tr>
      <w:tr>
        <w:trPr>
          <w:trHeight w:val="173"/>
        </w:trPr>
        <w:tc>
          <w:tcPr>
            <w:tcW w:w="5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Federal statutory rate</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35.0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62"/>
              <w:spacing w:after="0"/>
              <w:rPr>
                <w:sz w:val="20"/>
                <w:szCs w:val="20"/>
                <w:color w:val="auto"/>
              </w:rPr>
            </w:pPr>
            <w:r>
              <w:rPr>
                <w:rFonts w:ascii="Arial" w:cs="Arial" w:eastAsia="Arial" w:hAnsi="Arial"/>
                <w:sz w:val="12"/>
                <w:szCs w:val="12"/>
                <w:color w:val="auto"/>
              </w:rPr>
              <w:t>35.0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820" w:type="dxa"/>
            <w:vAlign w:val="bottom"/>
          </w:tcPr>
          <w:p>
            <w:pPr>
              <w:ind w:left="240"/>
              <w:spacing w:after="0"/>
              <w:rPr>
                <w:sz w:val="20"/>
                <w:szCs w:val="20"/>
                <w:color w:val="auto"/>
              </w:rPr>
            </w:pPr>
            <w:r>
              <w:rPr>
                <w:rFonts w:ascii="Arial" w:cs="Arial" w:eastAsia="Arial" w:hAnsi="Arial"/>
                <w:sz w:val="12"/>
                <w:szCs w:val="12"/>
                <w:color w:val="auto"/>
              </w:rPr>
              <w:t>Federal benefit of state taxes</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2"/>
              <w:spacing w:after="0"/>
              <w:rPr>
                <w:sz w:val="20"/>
                <w:szCs w:val="20"/>
                <w:color w:val="auto"/>
              </w:rPr>
            </w:pPr>
            <w:r>
              <w:rPr>
                <w:rFonts w:ascii="Arial" w:cs="Arial" w:eastAsia="Arial" w:hAnsi="Arial"/>
                <w:sz w:val="12"/>
                <w:szCs w:val="12"/>
                <w:color w:val="auto"/>
              </w:rPr>
              <w:t>(0.9</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62"/>
              <w:spacing w:after="0"/>
              <w:rPr>
                <w:sz w:val="20"/>
                <w:szCs w:val="20"/>
                <w:color w:val="auto"/>
              </w:rPr>
            </w:pPr>
            <w:r>
              <w:rPr>
                <w:rFonts w:ascii="Arial" w:cs="Arial" w:eastAsia="Arial" w:hAnsi="Arial"/>
                <w:sz w:val="12"/>
                <w:szCs w:val="12"/>
                <w:color w:val="auto"/>
              </w:rPr>
              <w:t>(0.9</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5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Deductible dividends paid to FNF 401(k) plan</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(0.4</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62"/>
              <w:spacing w:after="0"/>
              <w:rPr>
                <w:sz w:val="20"/>
                <w:szCs w:val="20"/>
                <w:color w:val="auto"/>
              </w:rPr>
            </w:pPr>
            <w:r>
              <w:rPr>
                <w:rFonts w:ascii="Arial" w:cs="Arial" w:eastAsia="Arial" w:hAnsi="Arial"/>
                <w:sz w:val="12"/>
                <w:szCs w:val="12"/>
                <w:color w:val="auto"/>
              </w:rPr>
              <w:t>0.7</w:t>
            </w:r>
          </w:p>
        </w:tc>
        <w:tc>
          <w:tcPr>
            <w:tcW w:w="260" w:type="dxa"/>
            <w:vAlign w:val="bottom"/>
            <w:shd w:val="clear" w:color="auto" w:fill="CCEEFF"/>
          </w:tcPr>
          <w:p>
            <w:pPr>
              <w:spacing w:after="0"/>
              <w:rPr>
                <w:sz w:val="16"/>
                <w:szCs w:val="16"/>
                <w:color w:val="auto"/>
              </w:rPr>
            </w:pPr>
          </w:p>
        </w:tc>
      </w:tr>
      <w:tr>
        <w:trPr>
          <w:trHeight w:val="171"/>
        </w:trPr>
        <w:tc>
          <w:tcPr>
            <w:tcW w:w="5820" w:type="dxa"/>
            <w:vAlign w:val="bottom"/>
          </w:tcPr>
          <w:p>
            <w:pPr>
              <w:ind w:left="240"/>
              <w:spacing w:after="0"/>
              <w:rPr>
                <w:sz w:val="20"/>
                <w:szCs w:val="20"/>
                <w:color w:val="auto"/>
              </w:rPr>
            </w:pPr>
            <w:r>
              <w:rPr>
                <w:rFonts w:ascii="Arial" w:cs="Arial" w:eastAsia="Arial" w:hAnsi="Arial"/>
                <w:sz w:val="12"/>
                <w:szCs w:val="12"/>
                <w:color w:val="auto"/>
              </w:rPr>
              <w:t>Tax exempt interest income</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(2.1</w:t>
            </w:r>
          </w:p>
        </w:tc>
        <w:tc>
          <w:tcPr>
            <w:tcW w:w="26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(3.6</w:t>
            </w:r>
          </w:p>
        </w:tc>
        <w:tc>
          <w:tcPr>
            <w:tcW w:w="960" w:type="dxa"/>
            <w:vAlign w:val="bottom"/>
          </w:tcPr>
          <w:p>
            <w:pPr>
              <w:jc w:val="right"/>
              <w:ind w:right="74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460" w:type="dxa"/>
            <w:vAlign w:val="bottom"/>
            <w:gridSpan w:val="2"/>
          </w:tcPr>
          <w:p>
            <w:pPr>
              <w:jc w:val="right"/>
              <w:ind w:right="1002"/>
              <w:spacing w:after="0"/>
              <w:rPr>
                <w:sz w:val="20"/>
                <w:szCs w:val="20"/>
                <w:color w:val="auto"/>
              </w:rPr>
            </w:pPr>
            <w:r>
              <w:rPr>
                <w:rFonts w:ascii="Arial" w:cs="Arial" w:eastAsia="Arial" w:hAnsi="Arial"/>
                <w:sz w:val="12"/>
                <w:szCs w:val="12"/>
                <w:color w:val="auto"/>
              </w:rPr>
              <w:t>4.3</w:t>
            </w:r>
          </w:p>
        </w:tc>
        <w:tc>
          <w:tcPr>
            <w:tcW w:w="260" w:type="dxa"/>
            <w:vAlign w:val="bottom"/>
          </w:tcPr>
          <w:p>
            <w:pPr>
              <w:spacing w:after="0"/>
              <w:rPr>
                <w:sz w:val="14"/>
                <w:szCs w:val="14"/>
                <w:color w:val="auto"/>
              </w:rPr>
            </w:pPr>
          </w:p>
        </w:tc>
      </w:tr>
      <w:tr>
        <w:trPr>
          <w:trHeight w:val="189"/>
        </w:trPr>
        <w:tc>
          <w:tcPr>
            <w:tcW w:w="5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Release of uncertain tax positions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r>
      <w:tr>
        <w:trPr>
          <w:trHeight w:val="171"/>
        </w:trPr>
        <w:tc>
          <w:tcPr>
            <w:tcW w:w="5820" w:type="dxa"/>
            <w:vAlign w:val="bottom"/>
          </w:tcPr>
          <w:p>
            <w:pPr>
              <w:ind w:left="240"/>
              <w:spacing w:after="0"/>
              <w:rPr>
                <w:sz w:val="20"/>
                <w:szCs w:val="20"/>
                <w:color w:val="auto"/>
              </w:rPr>
            </w:pPr>
            <w:r>
              <w:rPr>
                <w:rFonts w:ascii="Arial" w:cs="Arial" w:eastAsia="Arial" w:hAnsi="Arial"/>
                <w:sz w:val="12"/>
                <w:szCs w:val="12"/>
                <w:color w:val="auto"/>
              </w:rPr>
              <w:t>Release of valuation allowance</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(0.7</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r>
      <w:tr>
        <w:trPr>
          <w:trHeight w:val="189"/>
        </w:trPr>
        <w:tc>
          <w:tcPr>
            <w:tcW w:w="5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State income taxes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2.7</w:t>
            </w: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2"/>
              <w:spacing w:after="0"/>
              <w:rPr>
                <w:sz w:val="20"/>
                <w:szCs w:val="20"/>
                <w:color w:val="auto"/>
              </w:rPr>
            </w:pPr>
            <w:r>
              <w:rPr>
                <w:rFonts w:ascii="Arial" w:cs="Arial" w:eastAsia="Arial" w:hAnsi="Arial"/>
                <w:sz w:val="12"/>
                <w:szCs w:val="12"/>
                <w:color w:val="auto"/>
              </w:rPr>
              <w:t>2.6</w:t>
            </w:r>
          </w:p>
        </w:tc>
        <w:tc>
          <w:tcPr>
            <w:tcW w:w="260" w:type="dxa"/>
            <w:vAlign w:val="bottom"/>
            <w:shd w:val="clear" w:color="auto" w:fill="CCEEFF"/>
          </w:tcPr>
          <w:p>
            <w:pPr>
              <w:spacing w:after="0"/>
              <w:rPr>
                <w:sz w:val="16"/>
                <w:szCs w:val="16"/>
                <w:color w:val="auto"/>
              </w:rPr>
            </w:pPr>
          </w:p>
        </w:tc>
      </w:tr>
      <w:tr>
        <w:trPr>
          <w:trHeight w:val="171"/>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Non-deductible expenses and other, net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w:t>
            </w: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0.7</w:t>
            </w: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w:t>
            </w:r>
          </w:p>
        </w:tc>
        <w:tc>
          <w:tcPr>
            <w:tcW w:w="260" w:type="dxa"/>
            <w:vAlign w:val="bottom"/>
            <w:tcBorders>
              <w:bottom w:val="single" w:sz="8" w:color="auto"/>
            </w:tcBorders>
          </w:tcPr>
          <w:p>
            <w:pPr>
              <w:spacing w:after="0"/>
              <w:rPr>
                <w:sz w:val="14"/>
                <w:szCs w:val="14"/>
                <w:color w:val="auto"/>
              </w:rPr>
            </w:pPr>
          </w:p>
        </w:tc>
      </w:tr>
      <w:tr>
        <w:trPr>
          <w:trHeight w:val="185"/>
        </w:trPr>
        <w:tc>
          <w:tcPr>
            <w:tcW w:w="58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42.9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73</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&lt; div style="vertical-align:inherit;"&gt;</w:t>
      </w:r>
    </w:p>
    <w:p>
      <w:pPr>
        <w:sectPr>
          <w:pgSz w:w="11900" w:h="16838" w:orient="portrait"/>
          <w:cols w:equalWidth="0" w:num="1">
            <w:col w:w="10620"/>
          </w:cols>
          <w:pgMar w:left="1080" w:top="127" w:right="199" w:bottom="1440" w:gutter="0" w:footer="0" w:header="0"/>
        </w:sectPr>
      </w:pPr>
    </w:p>
    <w:bookmarkStart w:id="74" w:name="page75"/>
    <w:bookmarkEnd w:id="74"/>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The significant components of deferred tax assets and liabilities at December 31, 2010 and 2009 consist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86"/>
              </w:rPr>
              <w:t>December 31,</w:t>
            </w:r>
          </w:p>
        </w:tc>
        <w:tc>
          <w:tcPr>
            <w:tcW w:w="4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69"/>
        </w:trPr>
        <w:tc>
          <w:tcPr>
            <w:tcW w:w="67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2010</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0"/>
                <w:szCs w:val="10"/>
                <w:b w:val="1"/>
                <w:bCs w:val="1"/>
                <w:color w:val="auto"/>
              </w:rPr>
              <w:t>2009</w:t>
            </w:r>
          </w:p>
        </w:tc>
      </w:tr>
      <w:tr>
        <w:trPr>
          <w:trHeight w:val="124"/>
        </w:trPr>
        <w:tc>
          <w:tcPr>
            <w:tcW w:w="6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right"/>
              <w:ind w:right="108"/>
              <w:spacing w:after="0"/>
              <w:rPr>
                <w:sz w:val="20"/>
                <w:szCs w:val="20"/>
                <w:color w:val="auto"/>
              </w:rPr>
            </w:pPr>
            <w:r>
              <w:rPr>
                <w:rFonts w:ascii="Arial" w:cs="Arial" w:eastAsia="Arial" w:hAnsi="Arial"/>
                <w:sz w:val="10"/>
                <w:szCs w:val="10"/>
                <w:b w:val="1"/>
                <w:bCs w:val="1"/>
                <w:color w:val="auto"/>
                <w:w w:val="91"/>
              </w:rPr>
              <w:t>(In mil lions)</w:t>
            </w: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84"/>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Tax Assets:</w:t>
            </w: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Insurance reserve discounting</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29.3</w:t>
            </w:r>
          </w:p>
        </w:tc>
        <w:tc>
          <w:tcPr>
            <w:tcW w:w="160" w:type="dxa"/>
            <w:vAlign w:val="bottom"/>
          </w:tcPr>
          <w:p>
            <w:pPr>
              <w:spacing w:after="0"/>
              <w:rPr>
                <w:sz w:val="14"/>
                <w:szCs w:val="14"/>
                <w:color w:val="auto"/>
              </w:rPr>
            </w:pPr>
          </w:p>
        </w:tc>
        <w:tc>
          <w:tcPr>
            <w:tcW w:w="1020" w:type="dxa"/>
            <w:vAlign w:val="bottom"/>
            <w:gridSpan w:val="2"/>
          </w:tcPr>
          <w:p>
            <w:pPr>
              <w:jc w:val="right"/>
              <w:ind w:right="368"/>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80.8</w:t>
            </w:r>
          </w:p>
        </w:tc>
        <w:tc>
          <w:tcPr>
            <w:tcW w:w="940" w:type="dxa"/>
            <w:vAlign w:val="bottom"/>
          </w:tcPr>
          <w:p>
            <w:pPr>
              <w:spacing w:after="0"/>
              <w:rPr>
                <w:sz w:val="14"/>
                <w:szCs w:val="14"/>
                <w:color w:val="auto"/>
              </w:rPr>
            </w:pP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Employee benefit accruals</w:t>
            </w: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57.7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57.7</w:t>
            </w:r>
          </w:p>
        </w:tc>
        <w:tc>
          <w:tcPr>
            <w:tcW w:w="940" w:type="dxa"/>
            <w:vAlign w:val="bottom"/>
            <w:shd w:val="clear" w:color="auto" w:fill="CCEEFF"/>
          </w:tcPr>
          <w:p>
            <w:pPr>
              <w:spacing w:after="0"/>
              <w:rPr>
                <w:sz w:val="16"/>
                <w:szCs w:val="16"/>
                <w:color w:val="auto"/>
              </w:rPr>
            </w:pP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Other investments</w:t>
            </w:r>
          </w:p>
        </w:tc>
        <w:tc>
          <w:tcPr>
            <w:tcW w:w="52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51.8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41.8</w:t>
            </w:r>
          </w:p>
        </w:tc>
        <w:tc>
          <w:tcPr>
            <w:tcW w:w="940" w:type="dxa"/>
            <w:vAlign w:val="bottom"/>
          </w:tcPr>
          <w:p>
            <w:pPr>
              <w:spacing w:after="0"/>
              <w:rPr>
                <w:sz w:val="14"/>
                <w:szCs w:val="14"/>
                <w:color w:val="auto"/>
              </w:rPr>
            </w:pP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operating loss carryforwards</w:t>
            </w: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42.4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w:t>
            </w:r>
          </w:p>
        </w:tc>
        <w:tc>
          <w:tcPr>
            <w:tcW w:w="940" w:type="dxa"/>
            <w:vAlign w:val="bottom"/>
            <w:shd w:val="clear" w:color="auto" w:fill="CCEEFF"/>
          </w:tcPr>
          <w:p>
            <w:pPr>
              <w:spacing w:after="0"/>
              <w:rPr>
                <w:sz w:val="16"/>
                <w:szCs w:val="16"/>
                <w:color w:val="auto"/>
              </w:rPr>
            </w:pP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Accrued liabilities</w:t>
            </w:r>
          </w:p>
        </w:tc>
        <w:tc>
          <w:tcPr>
            <w:tcW w:w="52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23.5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32.5</w:t>
            </w:r>
          </w:p>
        </w:tc>
        <w:tc>
          <w:tcPr>
            <w:tcW w:w="940" w:type="dxa"/>
            <w:vAlign w:val="bottom"/>
          </w:tcPr>
          <w:p>
            <w:pPr>
              <w:spacing w:after="0"/>
              <w:rPr>
                <w:sz w:val="14"/>
                <w:szCs w:val="14"/>
                <w:color w:val="auto"/>
              </w:rPr>
            </w:pPr>
          </w:p>
        </w:tc>
      </w:tr>
      <w:tr>
        <w:trPr>
          <w:trHeight w:val="144"/>
        </w:trPr>
        <w:tc>
          <w:tcPr>
            <w:tcW w:w="6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&lt; font</w:t>
            </w:r>
          </w:p>
        </w:tc>
      </w:tr>
      <w:tr>
        <w:trPr>
          <w:trHeight w:val="144"/>
        </w:trPr>
        <w:tc>
          <w:tcPr>
            <w:tcW w:w="6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2"/>
                <w:szCs w:val="12"/>
                <w:color w:val="auto"/>
              </w:rPr>
              <w:t>style="font-</w:t>
            </w:r>
          </w:p>
        </w:tc>
      </w:tr>
      <w:tr>
        <w:trPr>
          <w:trHeight w:val="126"/>
        </w:trPr>
        <w:tc>
          <w:tcPr>
            <w:tcW w:w="6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97"/>
              </w:rPr>
              <w:t>family:inherit;font-</w:t>
            </w:r>
          </w:p>
        </w:tc>
      </w:tr>
      <w:tr>
        <w:trPr>
          <w:trHeight w:val="171"/>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Capital loss carryforwards</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7.4</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30.6size:10pt;"&gt;</w:t>
            </w: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Rent abatement</w:t>
            </w:r>
          </w:p>
        </w:tc>
        <w:tc>
          <w:tcPr>
            <w:tcW w:w="52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8.6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24.5</w:t>
            </w:r>
          </w:p>
        </w:tc>
        <w:tc>
          <w:tcPr>
            <w:tcW w:w="940" w:type="dxa"/>
            <w:vAlign w:val="bottom"/>
          </w:tcPr>
          <w:p>
            <w:pPr>
              <w:spacing w:after="0"/>
              <w:rPr>
                <w:sz w:val="14"/>
                <w:szCs w:val="14"/>
                <w:color w:val="auto"/>
              </w:rPr>
            </w:pP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Pension</w:t>
            </w: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940" w:type="dxa"/>
            <w:vAlign w:val="bottom"/>
            <w:shd w:val="clear" w:color="auto" w:fill="CCEEFF"/>
          </w:tcPr>
          <w:p>
            <w:pPr>
              <w:spacing w:after="0"/>
              <w:rPr>
                <w:sz w:val="16"/>
                <w:szCs w:val="16"/>
                <w:color w:val="auto"/>
              </w:rPr>
            </w:pP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State income taxes</w:t>
            </w:r>
          </w:p>
        </w:tc>
        <w:tc>
          <w:tcPr>
            <w:tcW w:w="52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2.4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2.7</w:t>
            </w:r>
          </w:p>
        </w:tc>
        <w:tc>
          <w:tcPr>
            <w:tcW w:w="940" w:type="dxa"/>
            <w:vAlign w:val="bottom"/>
          </w:tcPr>
          <w:p>
            <w:pPr>
              <w:spacing w:after="0"/>
              <w:rPr>
                <w:sz w:val="14"/>
                <w:szCs w:val="14"/>
                <w:color w:val="auto"/>
              </w:rPr>
            </w:pPr>
          </w:p>
        </w:tc>
      </w:tr>
      <w:tr>
        <w:trPr>
          <w:trHeight w:val="180"/>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5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4.4</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940" w:type="dxa"/>
            <w:vAlign w:val="bottom"/>
            <w:tcBorders>
              <w:bottom w:val="single" w:sz="8" w:color="auto"/>
            </w:tcBorders>
            <w:shd w:val="clear" w:color="auto" w:fill="CCEEFF"/>
          </w:tcPr>
          <w:p>
            <w:pPr>
              <w:spacing w:after="0"/>
              <w:rPr>
                <w:sz w:val="15"/>
                <w:szCs w:val="15"/>
                <w:color w:val="auto"/>
              </w:rPr>
            </w:pPr>
          </w:p>
        </w:tc>
      </w:tr>
      <w:tr>
        <w:trPr>
          <w:trHeight w:val="169"/>
        </w:trPr>
        <w:tc>
          <w:tcPr>
            <w:tcW w:w="6780" w:type="dxa"/>
            <w:vAlign w:val="bottom"/>
          </w:tcPr>
          <w:p>
            <w:pPr>
              <w:ind w:left="400"/>
              <w:spacing w:after="0"/>
              <w:rPr>
                <w:sz w:val="20"/>
                <w:szCs w:val="20"/>
                <w:color w:val="auto"/>
              </w:rPr>
            </w:pPr>
            <w:r>
              <w:rPr>
                <w:rFonts w:ascii="Arial" w:cs="Arial" w:eastAsia="Arial" w:hAnsi="Arial"/>
                <w:sz w:val="12"/>
                <w:szCs w:val="12"/>
                <w:color w:val="auto"/>
              </w:rPr>
              <w:t>Total</w:t>
            </w:r>
          </w:p>
        </w:tc>
        <w:tc>
          <w:tcPr>
            <w:tcW w:w="52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239.3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332.0</w:t>
            </w:r>
          </w:p>
        </w:tc>
        <w:tc>
          <w:tcPr>
            <w:tcW w:w="940" w:type="dxa"/>
            <w:vAlign w:val="bottom"/>
          </w:tcPr>
          <w:p>
            <w:pPr>
              <w:spacing w:after="0"/>
              <w:rPr>
                <w:sz w:val="14"/>
                <w:szCs w:val="14"/>
                <w:color w:val="auto"/>
              </w:rPr>
            </w:pPr>
          </w:p>
        </w:tc>
      </w:tr>
      <w:tr>
        <w:trPr>
          <w:trHeight w:val="180"/>
        </w:trPr>
        <w:tc>
          <w:tcPr>
            <w:tcW w:w="67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Less: valuation allowance</w:t>
            </w:r>
          </w:p>
        </w:tc>
        <w:tc>
          <w:tcPr>
            <w:tcW w:w="5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r>
      <w:tr>
        <w:trPr>
          <w:trHeight w:val="169"/>
        </w:trPr>
        <w:tc>
          <w:tcPr>
            <w:tcW w:w="678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Total deferred tax assets</w:t>
            </w: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239.3</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327.9</w:t>
            </w:r>
          </w:p>
        </w:tc>
        <w:tc>
          <w:tcPr>
            <w:tcW w:w="940" w:type="dxa"/>
            <w:vAlign w:val="bottom"/>
            <w:tcBorders>
              <w:bottom w:val="single" w:sz="8" w:color="auto"/>
            </w:tcBorders>
          </w:tcPr>
          <w:p>
            <w:pPr>
              <w:spacing w:after="0"/>
              <w:rPr>
                <w:sz w:val="14"/>
                <w:szCs w:val="14"/>
                <w:color w:val="auto"/>
              </w:rPr>
            </w:pPr>
          </w:p>
        </w:tc>
      </w:tr>
      <w:tr>
        <w:trPr>
          <w:trHeight w:val="178"/>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Tax Liabilities:</w:t>
            </w: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Title plant</w:t>
            </w:r>
          </w:p>
        </w:tc>
        <w:tc>
          <w:tcPr>
            <w:tcW w:w="52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(65.3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(65.9</w:t>
            </w:r>
          </w:p>
        </w:tc>
        <w:tc>
          <w:tcPr>
            <w:tcW w:w="940" w:type="dxa"/>
            <w:vAlign w:val="bottom"/>
          </w:tcPr>
          <w:p>
            <w:pPr>
              <w:ind w:left="220"/>
              <w:spacing w:after="0"/>
              <w:rPr>
                <w:sz w:val="20"/>
                <w:szCs w:val="20"/>
                <w:color w:val="auto"/>
              </w:rPr>
            </w:pPr>
            <w:r>
              <w:rPr>
                <w:rFonts w:ascii="Arial" w:cs="Arial" w:eastAsia="Arial" w:hAnsi="Arial"/>
                <w:sz w:val="12"/>
                <w:szCs w:val="12"/>
                <w:color w:val="auto"/>
              </w:rPr>
              <w:t>)</w:t>
            </w:r>
          </w:p>
        </w:tc>
      </w:tr>
      <w:tr>
        <w:trPr>
          <w:trHeight w:val="189"/>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 of goodwill and intangible assets</w:t>
            </w: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(88.9</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w:t>
            </w:r>
          </w:p>
        </w:tc>
        <w:tc>
          <w:tcPr>
            <w:tcW w:w="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r>
      <w:tr>
        <w:trPr>
          <w:trHeight w:val="180"/>
        </w:trPr>
        <w:tc>
          <w:tcPr>
            <w:tcW w:w="6780" w:type="dxa"/>
            <w:vAlign w:val="bottom"/>
          </w:tcPr>
          <w:p>
            <w:pPr>
              <w:ind w:left="240"/>
              <w:spacing w:after="0"/>
              <w:rPr>
                <w:sz w:val="20"/>
                <w:szCs w:val="20"/>
                <w:color w:val="auto"/>
              </w:rPr>
            </w:pPr>
            <w:r>
              <w:rPr>
                <w:rFonts w:ascii="Arial" w:cs="Arial" w:eastAsia="Arial" w:hAnsi="Arial"/>
                <w:sz w:val="12"/>
                <w:szCs w:val="12"/>
                <w:color w:val="auto"/>
              </w:rPr>
              <w:t>Investment securities</w:t>
            </w:r>
          </w:p>
        </w:tc>
        <w:tc>
          <w:tcPr>
            <w:tcW w:w="520" w:type="dxa"/>
            <w:vAlign w:val="bottom"/>
          </w:tcPr>
          <w:p>
            <w:pPr>
              <w:spacing w:after="0"/>
              <w:rPr>
                <w:sz w:val="15"/>
                <w:szCs w:val="15"/>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(30.7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(43.0</w:t>
            </w:r>
          </w:p>
        </w:tc>
        <w:tc>
          <w:tcPr>
            <w:tcW w:w="940" w:type="dxa"/>
            <w:vAlign w:val="bottom"/>
          </w:tcPr>
          <w:p>
            <w:pPr>
              <w:ind w:left="220"/>
              <w:spacing w:after="0"/>
              <w:rPr>
                <w:sz w:val="20"/>
                <w:szCs w:val="20"/>
                <w:color w:val="auto"/>
              </w:rPr>
            </w:pPr>
            <w:r>
              <w:rPr>
                <w:rFonts w:ascii="Arial" w:cs="Arial" w:eastAsia="Arial" w:hAnsi="Arial"/>
                <w:sz w:val="12"/>
                <w:szCs w:val="12"/>
                <w:color w:val="auto"/>
              </w:rPr>
              <w:t>)</w:t>
            </w:r>
          </w:p>
        </w:tc>
      </w:tr>
      <w:tr>
        <w:trPr>
          <w:trHeight w:val="180"/>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9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r>
      <w:tr>
        <w:trPr>
          <w:trHeight w:val="171"/>
        </w:trPr>
        <w:tc>
          <w:tcPr>
            <w:tcW w:w="6780" w:type="dxa"/>
            <w:vAlign w:val="bottom"/>
          </w:tcPr>
          <w:p>
            <w:pPr>
              <w:ind w:left="240"/>
              <w:spacing w:after="0"/>
              <w:rPr>
                <w:sz w:val="20"/>
                <w:szCs w:val="20"/>
                <w:color w:val="auto"/>
              </w:rPr>
            </w:pPr>
            <w:r>
              <w:rPr>
                <w:rFonts w:ascii="Arial" w:cs="Arial" w:eastAsia="Arial" w:hAnsi="Arial"/>
                <w:sz w:val="12"/>
                <w:szCs w:val="12"/>
                <w:color w:val="auto"/>
              </w:rPr>
              <w:t>Bad debts</w:t>
            </w:r>
          </w:p>
        </w:tc>
        <w:tc>
          <w:tcPr>
            <w:tcW w:w="52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(6.2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(6.5</w:t>
            </w:r>
          </w:p>
        </w:tc>
        <w:tc>
          <w:tcPr>
            <w:tcW w:w="940" w:type="dxa"/>
            <w:vAlign w:val="bottom"/>
          </w:tcPr>
          <w:p>
            <w:pPr>
              <w:ind w:left="220"/>
              <w:spacing w:after="0"/>
              <w:rPr>
                <w:sz w:val="20"/>
                <w:szCs w:val="20"/>
                <w:color w:val="auto"/>
              </w:rPr>
            </w:pPr>
            <w:r>
              <w:rPr>
                <w:rFonts w:ascii="Arial" w:cs="Arial" w:eastAsia="Arial" w:hAnsi="Arial"/>
                <w:sz w:val="12"/>
                <w:szCs w:val="12"/>
                <w:color w:val="auto"/>
              </w:rPr>
              <w:t>)</w:t>
            </w:r>
          </w:p>
        </w:tc>
      </w:tr>
      <w:tr>
        <w:trPr>
          <w:trHeight w:val="180"/>
        </w:trPr>
        <w:tc>
          <w:tcPr>
            <w:tcW w:w="67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Lease accounting</w:t>
            </w:r>
          </w:p>
        </w:tc>
        <w:tc>
          <w:tcPr>
            <w:tcW w:w="5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r>
      <w:tr>
        <w:trPr>
          <w:trHeight w:val="169"/>
        </w:trPr>
        <w:tc>
          <w:tcPr>
            <w:tcW w:w="6780" w:type="dxa"/>
            <w:vAlign w:val="bottom"/>
          </w:tcPr>
          <w:p>
            <w:pPr>
              <w:ind w:left="400"/>
              <w:spacing w:after="0"/>
              <w:rPr>
                <w:sz w:val="20"/>
                <w:szCs w:val="20"/>
                <w:color w:val="auto"/>
              </w:rPr>
            </w:pPr>
            <w:r>
              <w:rPr>
                <w:rFonts w:ascii="Arial" w:cs="Arial" w:eastAsia="Arial" w:hAnsi="Arial"/>
                <w:sz w:val="12"/>
                <w:szCs w:val="12"/>
                <w:color w:val="auto"/>
              </w:rPr>
              <w:t>Total deferred tax liabilities</w:t>
            </w: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(207.2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(199.0</w:t>
            </w: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r>
      <w:tr>
        <w:trPr>
          <w:trHeight w:val="185"/>
        </w:trPr>
        <w:tc>
          <w:tcPr>
            <w:tcW w:w="6780" w:type="dxa"/>
            <w:vAlign w:val="bottom"/>
          </w:tcPr>
          <w:p>
            <w:pPr>
              <w:ind w:left="220"/>
              <w:spacing w:after="0"/>
              <w:rPr>
                <w:sz w:val="20"/>
                <w:szCs w:val="20"/>
                <w:color w:val="auto"/>
              </w:rPr>
            </w:pPr>
            <w:r>
              <w:rPr>
                <w:rFonts w:ascii="Arial" w:cs="Arial" w:eastAsia="Arial" w:hAnsi="Arial"/>
                <w:sz w:val="12"/>
                <w:szCs w:val="12"/>
                <w:color w:val="auto"/>
              </w:rPr>
              <w:t>Net deferred tax asset</w:t>
            </w:r>
          </w:p>
        </w:tc>
        <w:tc>
          <w:tcPr>
            <w:tcW w:w="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32.1</w:t>
            </w: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128.9</w:t>
            </w:r>
          </w:p>
        </w:tc>
        <w:tc>
          <w:tcPr>
            <w:tcW w:w="940" w:type="dxa"/>
            <w:vAlign w:val="bottom"/>
            <w:tcBorders>
              <w:bottom w:val="single" w:sz="8" w:color="auto"/>
            </w:tcBorders>
            <w:shd w:val="clear" w:color="auto" w:fill="CCEEFF"/>
          </w:tcPr>
          <w:p>
            <w:pPr>
              <w:spacing w:after="0"/>
              <w:rPr>
                <w:sz w:val="16"/>
                <w:szCs w:val="16"/>
                <w:color w:val="auto"/>
              </w:rPr>
            </w:pPr>
          </w:p>
        </w:tc>
      </w:tr>
    </w:tbl>
    <w:p>
      <w:pPr>
        <w:spacing w:after="0" w:line="72"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Our net deferred tax asset was $32.1 million at December 31, 2010. At December 31, 2009 the Company had a $128.9 million net deferred tax asset. The significant changes in the deferred taxes are as follows: The insurance reserves decreased by $141.1 million causing a tax benefit of $51.5 million due primarily to actual title losses paid and deducted during the year. Utilization of prior year capital losses caused a decrease in the deferred tax asset by $23.2 million. The deferred tax liability for investment securities changed from $43.0 million to $30.7 million due in large part to a reduction in unrealized gains established through Other Comprehensive Income. Tax amortization of goodwill and intangible assets increased the deferred tax liability from $64.2 million to $88.9 million.</w:t>
      </w:r>
    </w:p>
    <w:p>
      <w:pPr>
        <w:spacing w:after="0" w:line="118"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At December 31, 2010, we have net operating losses on a pretax basis of $115.1 million available to carryforward and offset future federal taxable income through 2027. The amount of capital losses available to carryforward and offset capital gain income through 2014 is $20.0 million on a pretax basis. We expect to produce sufficient capital gain income to fully utilize these capital losses.</w:t>
      </w:r>
    </w:p>
    <w:p>
      <w:pPr>
        <w:spacing w:after="0" w:line="115"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As of December 31, 2010, management determined that the $4.1 million valuation allowance was no longer required. The decrease of the valuation allowance in the amount of $4.1 million was recorded as a reduction of income tax expense and decreased the effective tax rate by 0.73%. We believe that, based on our historical pattern of taxable income, we will produce sufficient income in the future to realize our remaining deferred tax assets.</w:t>
      </w:r>
    </w:p>
    <w:p>
      <w:pPr>
        <w:spacing w:after="0" w:line="132"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Tax benefits of $3.0 million, $2.4 million, and $0.3 million associated with the exercise of employee stock options and the vesting of restricted stock grants were allocated to equity for the years ended December 31, 2010, 2009, and 2008, respectively.</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620"/>
          </w:cols>
          <w:pgMar w:left="1080" w:top="127" w:right="199" w:bottom="1440" w:gutter="0" w:footer="0" w:header="0"/>
        </w:sectPr>
      </w:pPr>
    </w:p>
    <w:bookmarkStart w:id="75" w:name="page76"/>
    <w:bookmarkEnd w:id="75"/>
    <w:p>
      <w:pPr>
        <w:jc w:val="center"/>
        <w:ind w:right="-179"/>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NOTES TO CONSOLIDATED FINANCIAL STATEMENTS &amp;mda sh; (continued)</w:t>
      </w:r>
    </w:p>
    <w:p>
      <w:pPr>
        <w:spacing w:after="0" w:line="307"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As of December 31, 2010 and 2009, we had approximately $1.6 million and $1.4 million (including interest of $0.6 million and $0.5 million), respectively, of total gross unrecognized tax benefits that, if recognized, would favorably affect our income tax rate. These amounts are reported on a gross basis and do not reflect a federal tax benefit on state income taxes. We record interest and penalties related to income taxes as a component of income tax expense.</w:t>
      </w:r>
    </w:p>
    <w:p>
      <w:pPr>
        <w:spacing w:after="0" w:line="123" w:lineRule="exact"/>
        <w:rPr>
          <w:sz w:val="20"/>
          <w:szCs w:val="20"/>
          <w:color w:val="auto"/>
        </w:rPr>
      </w:pPr>
    </w:p>
    <w:p>
      <w:pPr>
        <w:ind w:right="60" w:firstLine="288"/>
        <w:spacing w:after="0" w:line="276" w:lineRule="auto"/>
        <w:rPr>
          <w:sz w:val="20"/>
          <w:szCs w:val="20"/>
          <w:color w:val="auto"/>
        </w:rPr>
      </w:pPr>
      <w:r>
        <w:rPr>
          <w:rFonts w:ascii="Arial" w:cs="Arial" w:eastAsia="Arial" w:hAnsi="Arial"/>
          <w:sz w:val="12"/>
          <w:szCs w:val="12"/>
          <w:color w:val="auto"/>
        </w:rPr>
        <w:t>The Internal Revenue Service (“IRS”) has selected us to participate in the Compliance Assurance Program that is a real-time audit. During 2010, the IRS completed its examination of our consolidated tax return for the tax year ended December 31, 2009, which resulted in no additional tax. We are currently under audit by the Internal Revenue Service for the 2010 and 2011 tax years.</w:t>
      </w:r>
    </w:p>
    <w:p>
      <w:pPr>
        <w:spacing w:after="0" w:line="111"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Note K.</w:t>
      </w:r>
      <w:r>
        <w:rPr>
          <w:sz w:val="20"/>
          <w:szCs w:val="20"/>
          <w:color w:val="auto"/>
        </w:rPr>
        <w:tab/>
      </w:r>
      <w:r>
        <w:rPr>
          <w:rFonts w:ascii="Arial" w:cs="Arial" w:eastAsia="Arial" w:hAnsi="Arial"/>
          <w:sz w:val="10"/>
          <w:szCs w:val="10"/>
          <w:b w:val="1"/>
          <w:bCs w:val="1"/>
          <w:color w:val="auto"/>
        </w:rPr>
        <w:t>Summary of Reserve for Claim Losses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 summary of the reserve for claim losses for title and specialty insurance follows:</w:t>
      </w:r>
    </w:p>
    <w:p>
      <w:pPr>
        <w:spacing w:after="0" w:line="96" w:lineRule="exact"/>
        <w:rPr>
          <w:sz w:val="20"/>
          <w:szCs w:val="20"/>
          <w:color w:val="auto"/>
        </w:rPr>
      </w:pPr>
    </w:p>
    <w:p>
      <w:pPr>
        <w:ind w:left="220" w:right="3840" w:hanging="7"/>
        <w:spacing w:after="0" w:line="261" w:lineRule="auto"/>
        <w:tabs>
          <w:tab w:leader="none" w:pos="31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td style="vertical-align:bottom;background-color:#cceeff;padding-left:2px;padding-top:2px;padding-bottom:2px;padding-right:2px;"&gt; Claims paid, net of recoupments related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w w:val="89"/>
              </w:rPr>
              <w:t>Year Ended December 31,</w:t>
            </w: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169"/>
        </w:trPr>
        <w:tc>
          <w:tcPr>
            <w:tcW w:w="5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2010</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2009</w:t>
            </w: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r>
      <w:tr>
        <w:trPr>
          <w:trHeight w:val="124"/>
        </w:trPr>
        <w:tc>
          <w:tcPr>
            <w:tcW w:w="5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jc w:val="right"/>
              <w:ind w:right="103"/>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84"/>
        </w:trPr>
        <w:tc>
          <w:tcPr>
            <w:tcW w:w="5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Beginning balance</w:t>
            </w:r>
          </w:p>
        </w:tc>
        <w:tc>
          <w:tcPr>
            <w:tcW w:w="5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2,541.4</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2,738.6</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71"/>
        </w:trPr>
        <w:tc>
          <w:tcPr>
            <w:tcW w:w="5220" w:type="dxa"/>
            <w:vAlign w:val="bottom"/>
          </w:tcPr>
          <w:p>
            <w:pPr>
              <w:ind w:left="240"/>
              <w:spacing w:after="0"/>
              <w:rPr>
                <w:sz w:val="20"/>
                <w:szCs w:val="20"/>
                <w:color w:val="auto"/>
              </w:rPr>
            </w:pPr>
            <w:r>
              <w:rPr>
                <w:rFonts w:ascii="Arial" w:cs="Arial" w:eastAsia="Arial" w:hAnsi="Arial"/>
                <w:sz w:val="12"/>
                <w:szCs w:val="12"/>
                <w:color w:val="auto"/>
              </w:rPr>
              <w:t>Reserves assumed/transferred (1)</w:t>
            </w:r>
          </w:p>
        </w:tc>
        <w:tc>
          <w:tcPr>
            <w:tcW w:w="5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2"/>
                <w:szCs w:val="12"/>
                <w:color w:val="auto"/>
              </w:rPr>
              <w:t>(3.1</w:t>
            </w:r>
          </w:p>
        </w:tc>
        <w:tc>
          <w:tcPr>
            <w:tcW w:w="240" w:type="dxa"/>
            <w:vAlign w:val="bottom"/>
          </w:tcPr>
          <w:p>
            <w:pPr>
              <w:ind w:lef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1,115.8</w:t>
            </w:r>
          </w:p>
        </w:tc>
        <w:tc>
          <w:tcPr>
            <w:tcW w:w="240" w:type="dxa"/>
            <w:vAlign w:val="bottom"/>
          </w:tcPr>
          <w:p>
            <w:pPr>
              <w:spacing w:after="0"/>
              <w:rPr>
                <w:sz w:val="14"/>
                <w:szCs w:val="14"/>
                <w:color w:val="auto"/>
              </w:rPr>
            </w:pPr>
          </w:p>
        </w:tc>
      </w:tr>
      <w:tr>
        <w:trPr>
          <w:trHeight w:val="189"/>
        </w:trPr>
        <w:tc>
          <w:tcPr>
            <w:tcW w:w="5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Claim loss provision related to:</w:t>
            </w: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71"/>
        </w:trPr>
        <w:tc>
          <w:tcPr>
            <w:tcW w:w="5220" w:type="dxa"/>
            <w:vAlign w:val="bottom"/>
          </w:tcPr>
          <w:p>
            <w:pPr>
              <w:ind w:left="400"/>
              <w:spacing w:after="0"/>
              <w:rPr>
                <w:sz w:val="20"/>
                <w:szCs w:val="20"/>
                <w:color w:val="auto"/>
              </w:rPr>
            </w:pPr>
            <w:r>
              <w:rPr>
                <w:rFonts w:ascii="Arial" w:cs="Arial" w:eastAsia="Arial" w:hAnsi="Arial"/>
                <w:sz w:val="12"/>
                <w:szCs w:val="12"/>
                <w:color w:val="auto"/>
              </w:rPr>
              <w:t>Current year</w:t>
            </w:r>
          </w:p>
        </w:tc>
        <w:tc>
          <w:tcPr>
            <w:tcW w:w="5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372.1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2"/>
                <w:szCs w:val="12"/>
                <w:color w:val="auto"/>
              </w:rPr>
              <w:t>423.0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377.9</w:t>
            </w:r>
          </w:p>
        </w:tc>
        <w:tc>
          <w:tcPr>
            <w:tcW w:w="240" w:type="dxa"/>
            <w:vAlign w:val="bottom"/>
          </w:tcPr>
          <w:p>
            <w:pPr>
              <w:spacing w:after="0"/>
              <w:rPr>
                <w:sz w:val="14"/>
                <w:szCs w:val="14"/>
                <w:color w:val="auto"/>
              </w:rPr>
            </w:pPr>
          </w:p>
        </w:tc>
      </w:tr>
      <w:tr>
        <w:trPr>
          <w:trHeight w:val="180"/>
        </w:trPr>
        <w:tc>
          <w:tcPr>
            <w:tcW w:w="52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Prior years</w:t>
            </w: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30.8</w:t>
            </w:r>
          </w:p>
        </w:tc>
        <w:tc>
          <w:tcPr>
            <w:tcW w:w="22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(93.6</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252.5</w:t>
            </w:r>
          </w:p>
        </w:tc>
        <w:tc>
          <w:tcPr>
            <w:tcW w:w="240" w:type="dxa"/>
            <w:vAlign w:val="bottom"/>
            <w:tcBorders>
              <w:bottom w:val="single" w:sz="8" w:color="auto"/>
            </w:tcBorders>
            <w:shd w:val="clear" w:color="auto" w:fill="CCEEFF"/>
          </w:tcPr>
          <w:p>
            <w:pPr>
              <w:spacing w:after="0"/>
              <w:rPr>
                <w:sz w:val="15"/>
                <w:szCs w:val="15"/>
                <w:color w:val="auto"/>
              </w:rPr>
            </w:pPr>
          </w:p>
        </w:tc>
      </w:tr>
      <w:tr>
        <w:trPr>
          <w:trHeight w:val="169"/>
        </w:trPr>
        <w:tc>
          <w:tcPr>
            <w:tcW w:w="5220" w:type="dxa"/>
            <w:vAlign w:val="bottom"/>
          </w:tcPr>
          <w:p>
            <w:pPr>
              <w:ind w:left="540"/>
              <w:spacing w:after="0"/>
              <w:rPr>
                <w:sz w:val="20"/>
                <w:szCs w:val="20"/>
                <w:color w:val="auto"/>
              </w:rPr>
            </w:pPr>
            <w:r>
              <w:rPr>
                <w:rFonts w:ascii="Arial" w:cs="Arial" w:eastAsia="Arial" w:hAnsi="Arial"/>
                <w:sz w:val="12"/>
                <w:szCs w:val="12"/>
                <w:color w:val="auto"/>
              </w:rPr>
              <w:t>Total claim loss provision</w:t>
            </w:r>
          </w:p>
        </w:tc>
        <w:tc>
          <w:tcPr>
            <w:tcW w:w="5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402.9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2"/>
                <w:szCs w:val="12"/>
                <w:color w:val="auto"/>
              </w:rPr>
              <w:t>329.4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630.4</w:t>
            </w:r>
          </w:p>
        </w:tc>
        <w:tc>
          <w:tcPr>
            <w:tcW w:w="240" w:type="dxa"/>
            <w:vAlign w:val="bottom"/>
          </w:tcPr>
          <w:p>
            <w:pPr>
              <w:spacing w:after="0"/>
              <w:rPr>
                <w:sz w:val="14"/>
                <w:szCs w:val="14"/>
                <w:color w:val="auto"/>
              </w:rPr>
            </w:pPr>
          </w:p>
        </w:tc>
      </w:tr>
      <w:tr>
        <w:trPr>
          <w:trHeight w:val="189"/>
        </w:trPr>
        <w:tc>
          <w:tcPr>
            <w:tcW w:w="5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71"/>
        </w:trPr>
        <w:tc>
          <w:tcPr>
            <w:tcW w:w="5220" w:type="dxa"/>
            <w:vAlign w:val="bottom"/>
          </w:tcPr>
          <w:p>
            <w:pPr>
              <w:ind w:left="400"/>
              <w:spacing w:after="0"/>
              <w:rPr>
                <w:sz w:val="20"/>
                <w:szCs w:val="20"/>
                <w:color w:val="auto"/>
              </w:rPr>
            </w:pPr>
            <w:r>
              <w:rPr>
                <w:rFonts w:ascii="Arial" w:cs="Arial" w:eastAsia="Arial" w:hAnsi="Arial"/>
                <w:sz w:val="12"/>
                <w:szCs w:val="12"/>
                <w:color w:val="auto"/>
              </w:rPr>
              <w:t>Current year</w:t>
            </w:r>
          </w:p>
        </w:tc>
        <w:tc>
          <w:tcPr>
            <w:tcW w:w="5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(113.9</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2"/>
                <w:szCs w:val="12"/>
                <w:color w:val="auto"/>
              </w:rPr>
              <w:t>(109.6</w:t>
            </w:r>
          </w:p>
        </w:tc>
        <w:tc>
          <w:tcPr>
            <w:tcW w:w="240" w:type="dxa"/>
            <w:vAlign w:val="bottom"/>
          </w:tcPr>
          <w:p>
            <w:pPr>
              <w:ind w:lef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(119.4</w:t>
            </w:r>
          </w:p>
        </w:tc>
        <w:tc>
          <w:tcPr>
            <w:tcW w:w="240" w:type="dxa"/>
            <w:vAlign w:val="bottom"/>
          </w:tcPr>
          <w:p>
            <w:pPr>
              <w:ind w:left="100"/>
              <w:spacing w:after="0"/>
              <w:rPr>
                <w:sz w:val="20"/>
                <w:szCs w:val="20"/>
                <w:color w:val="auto"/>
              </w:rPr>
            </w:pPr>
            <w:r>
              <w:rPr>
                <w:rFonts w:ascii="Arial" w:cs="Arial" w:eastAsia="Arial" w:hAnsi="Arial"/>
                <w:sz w:val="12"/>
                <w:szCs w:val="12"/>
                <w:color w:val="auto"/>
              </w:rPr>
              <w:t>)</w:t>
            </w:r>
          </w:p>
        </w:tc>
      </w:tr>
      <w:tr>
        <w:trPr>
          <w:trHeight w:val="189"/>
        </w:trPr>
        <w:tc>
          <w:tcPr>
            <w:tcW w:w="52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Prior years</w:t>
            </w:r>
          </w:p>
        </w:tc>
        <w:tc>
          <w:tcPr>
            <w:tcW w:w="5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(557.7</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(413.9</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(308.1</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w:t>
            </w:r>
          </w:p>
        </w:tc>
      </w:tr>
      <w:tr>
        <w:trPr>
          <w:trHeight w:val="160"/>
        </w:trPr>
        <w:tc>
          <w:tcPr>
            <w:tcW w:w="522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claims paid, net of recoupments</w:t>
            </w: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(671.6</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(523.5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(427.5</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r>
      <w:tr>
        <w:trPr>
          <w:trHeight w:val="196"/>
        </w:trPr>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Ending balance</w:t>
            </w:r>
          </w:p>
        </w:tc>
        <w:tc>
          <w:tcPr>
            <w:tcW w:w="5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2,272.7</w:t>
            </w:r>
          </w:p>
        </w:tc>
        <w:tc>
          <w:tcPr>
            <w:tcW w:w="2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2,541.4</w:t>
            </w:r>
          </w:p>
        </w:tc>
        <w:tc>
          <w:tcPr>
            <w:tcW w:w="2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2,738.6</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r>
      <w:tr>
        <w:trPr>
          <w:trHeight w:val="192"/>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Ending balance of claim loss reserves for title insurance only</w:t>
            </w:r>
          </w:p>
        </w:tc>
        <w:tc>
          <w:tcPr>
            <w:tcW w:w="5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2,210.9</w:t>
            </w:r>
          </w:p>
        </w:tc>
        <w:tc>
          <w:tcPr>
            <w:tcW w:w="220" w:type="dxa"/>
            <w:vAlign w:val="bottom"/>
            <w:tcBorders>
              <w:top w:val="single" w:sz="8" w:color="auto"/>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2"/>
                <w:szCs w:val="12"/>
                <w:color w:val="auto"/>
              </w:rPr>
              <w:t>2,488.8</w:t>
            </w:r>
          </w:p>
        </w:tc>
        <w:tc>
          <w:tcPr>
            <w:tcW w:w="240" w:type="dxa"/>
            <w:vAlign w:val="bottom"/>
            <w:tcBorders>
              <w:top w:val="single" w:sz="8" w:color="auto"/>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2,679.0</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r>
      <w:tr>
        <w:trPr>
          <w:trHeight w:val="115"/>
        </w:trPr>
        <w:tc>
          <w:tcPr>
            <w:tcW w:w="5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&lt;</w:t>
            </w:r>
          </w:p>
        </w:tc>
        <w:tc>
          <w:tcPr>
            <w:tcW w:w="2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r>
      <w:tr>
        <w:trPr>
          <w:trHeight w:val="166"/>
        </w:trPr>
        <w:tc>
          <w:tcPr>
            <w:tcW w:w="5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Provision for title insurance claim losses as a percentage of title insurance premiums only</w:t>
            </w:r>
          </w:p>
        </w:tc>
        <w:tc>
          <w:tcPr>
            <w:tcW w:w="5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6.8</w:t>
            </w:r>
          </w:p>
        </w:tc>
        <w:tc>
          <w:tcPr>
            <w:tcW w:w="2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3"/>
              </w:rPr>
              <w:t>%</w:t>
            </w:r>
          </w:p>
        </w:tc>
        <w:tc>
          <w:tcPr>
            <w:tcW w:w="300" w:type="dxa"/>
            <w:vAlign w:val="bottom"/>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5.1</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 /font&gt;</w:t>
            </w: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18.2</w:t>
            </w:r>
          </w:p>
        </w:tc>
        <w:tc>
          <w:tcPr>
            <w:tcW w:w="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r>
      <w:tr>
        <w:trPr>
          <w:trHeight w:val="32"/>
        </w:trPr>
        <w:tc>
          <w:tcPr>
            <w:tcW w:w="5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r>
    </w:tbl>
    <w:p>
      <w:pPr>
        <w:spacing w:after="0" w:line="216" w:lineRule="exact"/>
        <w:rPr>
          <w:sz w:val="20"/>
          <w:szCs w:val="20"/>
          <w:color w:val="auto"/>
        </w:rPr>
      </w:pPr>
    </w:p>
    <w:p>
      <w:pPr>
        <w:ind w:left="700" w:hanging="271"/>
        <w:spacing w:after="0" w:line="187" w:lineRule="auto"/>
        <w:tabs>
          <w:tab w:leader="none" w:pos="916" w:val="left"/>
        </w:tabs>
        <w:numPr>
          <w:ilvl w:val="0"/>
          <w:numId w:val="35"/>
        </w:numPr>
        <w:rPr>
          <w:rFonts w:ascii="Arial" w:cs="Arial" w:eastAsia="Arial" w:hAnsi="Arial"/>
          <w:sz w:val="22"/>
          <w:szCs w:val="22"/>
          <w:color w:val="auto"/>
          <w:vertAlign w:val="subscript"/>
        </w:rPr>
      </w:pPr>
      <w:r>
        <w:rPr>
          <w:rFonts w:ascii="Arial" w:cs="Arial" w:eastAsia="Arial" w:hAnsi="Arial"/>
          <w:sz w:val="11"/>
          <w:szCs w:val="11"/>
          <w:color w:val="auto"/>
        </w:rPr>
        <w:t>In 2008, we assumed an estimated $1,115.8 million in additional reserves for claim losses with the acquisition of the LFG Underwriters. During 2009 we completed our evaluation of the fair value of this claims reserve as of the acquisition date and adjusted the balance by $3.1 million to reflect our best estimate of the fair value of the liability.</w:t>
      </w:r>
    </w:p>
    <w:p>
      <w:pPr>
        <w:spacing w:after="0" w:line="209"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continually update loss reserve estimates a s new information becomes known, new loss patterns emerge, or as other contributing factors are considered and incorporated into the analysis of reserve for claim losses. A substantial portion of our reserve for claim losses is attributable to title insurance operations. Estimating future title loss payments is difficult because of the complex nature of title claims, the long periods of time over which claims are paid, significantly varying dollar amounts of individual claims and other factors. Due to the uncertainty inherent in the process and to the judgment used by management the ultimate liability may be greater or less than our current reserves. As a result of continued volatility experienced during 2010 in claim development on policy years 2005 - 2007, we believe there is an increased level of uncertainty attributable to these policy years.</w:t>
      </w:r>
    </w:p>
    <w:p>
      <w:pPr>
        <w:spacing w:after="0" w:line="12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During the year ended December 31, 2009, we released excess title reserves of $74.4 million in addition to recording an average 7.3% provision for claims losses. The release of excess reserves was due to analysis of the reserve position in light of consistently lower claim payments since 2008. During the year ended December 31, 2008, we recorded a charge to the provision for title claim losses of $261.6 million resulting from adverse claim loss development on prior policy years. This charge was in addition to the provision for title insurance claim losses of 8.5% for 2008. Because reported and paid claims continued to exceed expected claims in these years, we modified our actuarial model in 2008 to more heavily weight the three most recent full years’ data on loss experience and to incorporate that data into the assumptions and factors that determine ultim ate expected loss experience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620"/>
          </w:cols>
          <w:pgMar w:left="1080" w:top="127" w:right="199" w:bottom="1440" w:gutter="0" w:footer="0" w:header="0"/>
        </w:sectPr>
      </w:pPr>
    </w:p>
    <w:bookmarkStart w:id="76" w:name="page77"/>
    <w:bookmarkEnd w:id="76"/>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for all prior calendar years. In response to the favorable development on recent year claims, the average title loss provision rate decreased in 2009 and 2010.</w:t>
      </w:r>
    </w:p>
    <w:p>
      <w:pPr>
        <w:spacing w:after="0" w:line="150" w:lineRule="exact"/>
        <w:rPr>
          <w:sz w:val="20"/>
          <w:szCs w:val="20"/>
          <w:color w:val="auto"/>
        </w:rPr>
      </w:pPr>
    </w:p>
    <w:p>
      <w:pPr>
        <w:jc w:val="both"/>
        <w:ind w:firstLine="216"/>
        <w:spacing w:after="0" w:line="307" w:lineRule="auto"/>
        <w:rPr>
          <w:sz w:val="20"/>
          <w:szCs w:val="20"/>
          <w:color w:val="auto"/>
        </w:rPr>
      </w:pPr>
      <w:r>
        <w:rPr>
          <w:rFonts w:ascii="Arial" w:cs="Arial" w:eastAsia="Arial" w:hAnsi="Arial"/>
          <w:sz w:val="10"/>
          <w:szCs w:val="10"/>
          <w:color w:val="auto"/>
        </w:rPr>
        <w:t>Beginning in 2007, we began making payments on a group of related claims alleging negligence and fraud related to issuing title insurance policies and closing escrow transactions. We believed that we had the ability to recoup all of these payments, subject to a $10 million retention, from various insurance policies. Through December 31, 2007, we had paid approximately $51.9 million in claims, had received cash recoupment from insurance carriers of approxima tely $15.5 million and had an insurance recoverable of $31.4 million included in the Consolidated Balance Sheet. Through March 31, 2008, we had paid an additional $79.3 million in claims, had received an additional $27.5 million in cash recoupment from insurance carriers and had an insurance recoverable of $78.2 million included in the Consolidated Balance Sheet. During the remainder of 2008 and through the third quarter of 2009 there were approximately $8.2 million in claims payments and approximately $3.2 million in insurance recoveries resulting in an $83.2 million insurance recoverable included in the Consolidated Balance Sheet at that time. During September and October 2009, there were developments, including two court rulings, relating to coverages under certain insurance policies that caused us to reevaluate our position on maintaining a recorded insurance recoverable. The fact that we received an adverse ruling in our case against the insurer on our Compre hensive General Liability policy together with a reevaluation of our position by new legal counsel, caused us to reverse $63.2 million of the receivable, recorded as a charge to the provision for claim losses, during the quarter ended September 30, 2009. We also received a favorable summary judgment relating to an insurance providers’ duty to defend the Company under our Miscellaneous Professional Liability policy. In light of these developments, we did not believe it appropriate to carry more than the anticipated $20 million recovery for compensatory damages on the Miscellaneous Professional Liability policy as a receivable as of September 30, 2009. During the quarter ended December 31, 2009, the Company paid an additional $8.8 million in respect of these claims and received payments of $11.8 million relating to the Miscellaneous Professional Liability Policy and continued to negotiate with the carrier who had been found to act in bad faith under the terms of that policy. As of December 31, 2009, we carried an $8.2 million receivable related to these coverages. During the first quarter of 2010, we reached a settlement agreement with the same carrier for an additional $16.2 million, representing the remaining $8.2 million receivable and $8 million in compensatory damages. The $16.2 million settlement amount was received in February 2010.</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Note L.</w:t>
      </w:r>
      <w:r>
        <w:rPr>
          <w:sz w:val="20"/>
          <w:szCs w:val="20"/>
          <w:color w:val="auto"/>
        </w:rPr>
        <w:tab/>
      </w:r>
      <w:r>
        <w:rPr>
          <w:rFonts w:ascii="Arial" w:cs="Arial" w:eastAsia="Arial" w:hAnsi="Arial"/>
          <w:sz w:val="10"/>
          <w:szCs w:val="10"/>
          <w:b w:val="1"/>
          <w:bCs w:val="1"/>
          <w:color w:val="auto"/>
        </w:rPr>
        <w:t>Commitments and Contingencies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Legal and Regulatory Contingencies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the ordinary course of business, we are involved in various pending and threatened litigation matters related to our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 s, other than the matter discussed below, depart from customary litigation incidental to our business.</w:t>
      </w:r>
    </w:p>
    <w:p>
      <w:pPr>
        <w:spacing w:after="0" w:line="125"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is considered to be individually or in the aggregate significant to our financial condition. Actual losses may materially differ from the amounts recorded and the ultimate outcome of our pending cases is generally not yet determinable. While some of these matters could be material to our operating results for any particular period if an unfavorable outcome results, at present we do not believe that the ultimate resolution of currently pending legal proceedings, either individually or in the aggregate, will have a material adverse effect on the Company's financial condition, results of operations or cash flows.</w:t>
      </w:r>
    </w:p>
    <w:p>
      <w:pPr>
        <w:spacing w:after="0" w:line="11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 xml:space="preserve">On November 24, 2010, plaintiffs filed a class action in the United States District court, Northern District of California, Oakland Division titl ed </w:t>
      </w:r>
      <w:r>
        <w:rPr>
          <w:rFonts w:ascii="Arial" w:cs="Arial" w:eastAsia="Arial" w:hAnsi="Arial"/>
          <w:sz w:val="12"/>
          <w:szCs w:val="12"/>
          <w:i w:val="1"/>
          <w:iCs w:val="1"/>
          <w:color w:val="auto"/>
        </w:rPr>
        <w:t>Vivian Hays, et al. vs. Commonwealth Land Title Insurance Company,</w:t>
      </w:r>
      <w:r>
        <w:rPr>
          <w:rFonts w:ascii="Arial" w:cs="Arial" w:eastAsia="Arial" w:hAnsi="Arial"/>
          <w:sz w:val="12"/>
          <w:szCs w:val="12"/>
          <w:color w:val="auto"/>
        </w:rPr>
        <w:t xml:space="preserve"> </w:t>
      </w:r>
      <w:r>
        <w:rPr>
          <w:rFonts w:ascii="Arial" w:cs="Arial" w:eastAsia="Arial" w:hAnsi="Arial"/>
          <w:sz w:val="12"/>
          <w:szCs w:val="12"/>
          <w:i w:val="1"/>
          <w:iCs w:val="1"/>
          <w:color w:val="auto"/>
        </w:rPr>
        <w:t>Lawyers Title Insurance Company, and Does 1-20</w:t>
      </w:r>
      <w:r>
        <w:rPr>
          <w:rFonts w:ascii="Arial" w:cs="Arial" w:eastAsia="Arial" w:hAnsi="Arial"/>
          <w:sz w:val="12"/>
          <w:szCs w:val="12"/>
          <w:color w:val="auto"/>
        </w:rPr>
        <w:t>. Plaintiffs seek to represent a class of all persons who deposited their exchange funds with LandAmerica 1031 Exchange Service (“LES”) and were not able to use them</w:t>
      </w:r>
      <w:r>
        <w:rPr>
          <w:rFonts w:ascii="Arial" w:cs="Arial" w:eastAsia="Arial" w:hAnsi="Arial"/>
          <w:sz w:val="12"/>
          <w:szCs w:val="12"/>
          <w:i w:val="1"/>
          <w:iCs w:val="1"/>
          <w:color w:val="auto"/>
        </w:rPr>
        <w:t xml:space="preserve"> </w:t>
      </w:r>
      <w:r>
        <w:rPr>
          <w:rFonts w:ascii="Arial" w:cs="Arial" w:eastAsia="Arial" w:hAnsi="Arial"/>
          <w:sz w:val="12"/>
          <w:szCs w:val="12"/>
          <w:color w:val="auto"/>
        </w:rPr>
        <w:t>in their contemplated exchanges due to the alleged illiquidity of LES caused by the collapse of the auction rate security market in early 2008. Plaintiffs allege Commonwealth Land Title Insurance Company and Lawyers Title Insurance Corporation (which was merged into Fidelity National Title Insurance Company) knew of the problems at LES and had an obligation of disclosure to exchangers, but did not disclose and instead recommended exchangers use LES in order to fund prior exchangers' transactions with money from new exchangers. Plaintiffs have sued our subsidiaries Commonwealth Land Ti tle Insurance Company and Lawyers Title Insurance Corporation for negligence, breach of fiduciary duty,</w:t>
      </w:r>
    </w:p>
    <w:p>
      <w:pPr>
        <w:spacing w:after="0" w:line="129"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620"/>
          </w:cols>
          <w:pgMar w:left="1080" w:top="127" w:right="199" w:bottom="1440" w:gutter="0" w:footer="0" w:header="0"/>
        </w:sectPr>
      </w:pPr>
    </w:p>
    <w:bookmarkStart w:id="77" w:name="page78"/>
    <w:bookmarkEnd w:id="77"/>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40"/>
        <w:spacing w:after="0"/>
        <w:rPr>
          <w:sz w:val="20"/>
          <w:szCs w:val="20"/>
          <w:color w:val="auto"/>
        </w:rPr>
      </w:pPr>
      <w:r>
        <w:rPr>
          <w:rFonts w:ascii="Arial" w:cs="Arial" w:eastAsia="Arial" w:hAnsi="Arial"/>
          <w:sz w:val="12"/>
          <w:szCs w:val="12"/>
          <w:b w:val="1"/>
          <w:bCs w:val="1"/>
          <w:color w:val="auto"/>
        </w:rPr>
        <w:t>NOTES TO CONSOLIDATED FINANCIAL STATEMENTS — (continue d)</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constructive fraud and aiding and abetting LES. Plaintiffs ask for compensatory and punitive damages, prejudgment interest and reasonable attorney's fees. We have employed counsel and intend to vigorously defend the action. The case did not include a statement as to the amount of damages demanded, but instead included a demand for damages in an amount to be proved at trial. Due to the early stage of this case, it is not possible to make meaningful estimates, if any, of the amount or range of loss that could result from this case at this time.</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Various governmental entities ar e studying the title insurance product, market, pricing, business practices, and potential regulatory and legislative changes, which may materially affect our business and operations. We receive inquiries and requests for information from state insurance departments, attorneys general and other regulatory agencies from time to time about various matters relating to our business. Sometimes these take the form of civil investigative subpoenas or market conduct examinations. We attempt to cooperate with all such inquiries. From time to time, we are assessed fines for violations of regulations or other matters or enter into settlements with such authorities which require us to pay money or take other actions.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Escrow Balances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conducting our operations, we routinely hold customers’ assets in escrow, pending completion of real estate transactions. Certain of these amounts are maintained in segregated bank accounts and have not been included in the accompanying Consolidated Balance Sheets. We have a contingent liability relating to proper disposition of these balances for our customers, which amounted to $4.6 billion at D ecember 31, 2010. As a result of holding these customers’ assets in escrow, we have ongoing programs for realizing economic benefits during the year through favorable borrowing and vendor arrangements with various banks. There were no investments or loans outstanding as of December 31, 2010 and 2009 related to these arrangements.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160" w:type="dxa"/>
            <w:vAlign w:val="bottom"/>
          </w:tcPr>
          <w:p>
            <w:pPr>
              <w:ind w:left="220"/>
              <w:spacing w:after="0"/>
              <w:rPr>
                <w:sz w:val="20"/>
                <w:szCs w:val="20"/>
                <w:color w:val="auto"/>
              </w:rPr>
            </w:pPr>
            <w:r>
              <w:rPr>
                <w:rFonts w:ascii="Arial" w:cs="Arial" w:eastAsia="Arial" w:hAnsi="Arial"/>
                <w:sz w:val="12"/>
                <w:szCs w:val="12"/>
                <w:i w:val="1"/>
                <w:iCs w:val="1"/>
                <w:color w:val="auto"/>
              </w:rPr>
              <w:t>Operating Leases</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61"/>
        </w:trPr>
        <w:tc>
          <w:tcPr>
            <w:tcW w:w="9160" w:type="dxa"/>
            <w:vAlign w:val="bottom"/>
          </w:tcPr>
          <w:p>
            <w:pPr>
              <w:ind w:left="420"/>
              <w:spacing w:after="0"/>
              <w:rPr>
                <w:sz w:val="20"/>
                <w:szCs w:val="20"/>
                <w:color w:val="auto"/>
              </w:rPr>
            </w:pPr>
            <w:r>
              <w:rPr>
                <w:rFonts w:ascii="Arial" w:cs="Arial" w:eastAsia="Arial" w:hAnsi="Arial"/>
                <w:sz w:val="12"/>
                <w:szCs w:val="12"/>
                <w:color w:val="auto"/>
              </w:rPr>
              <w:t>Future minimum operating lease payments are as follows (dollars in millions):</w:t>
            </w: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9"/>
        </w:trPr>
        <w:tc>
          <w:tcPr>
            <w:tcW w:w="9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2011</w:t>
            </w:r>
          </w:p>
        </w:tc>
        <w:tc>
          <w:tcPr>
            <w:tcW w:w="5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117.2</w:t>
            </w:r>
          </w:p>
        </w:tc>
      </w:tr>
      <w:tr>
        <w:trPr>
          <w:trHeight w:val="171"/>
        </w:trPr>
        <w:tc>
          <w:tcPr>
            <w:tcW w:w="9160" w:type="dxa"/>
            <w:vAlign w:val="bottom"/>
          </w:tcPr>
          <w:p>
            <w:pPr>
              <w:ind w:left="240"/>
              <w:spacing w:after="0"/>
              <w:rPr>
                <w:sz w:val="20"/>
                <w:szCs w:val="20"/>
                <w:color w:val="auto"/>
              </w:rPr>
            </w:pPr>
            <w:r>
              <w:rPr>
                <w:rFonts w:ascii="Arial" w:cs="Arial" w:eastAsia="Arial" w:hAnsi="Arial"/>
                <w:sz w:val="12"/>
                <w:szCs w:val="12"/>
                <w:color w:val="auto"/>
              </w:rPr>
              <w:t>2012</w:t>
            </w:r>
          </w:p>
        </w:tc>
        <w:tc>
          <w:tcPr>
            <w:tcW w:w="580" w:type="dxa"/>
            <w:vAlign w:val="bottom"/>
          </w:tcPr>
          <w:p>
            <w:pPr>
              <w:spacing w:after="0"/>
              <w:rPr>
                <w:sz w:val="14"/>
                <w:szCs w:val="14"/>
                <w:color w:val="auto"/>
              </w:rPr>
            </w:pPr>
          </w:p>
        </w:tc>
        <w:tc>
          <w:tcPr>
            <w:tcW w:w="880" w:type="dxa"/>
            <w:vAlign w:val="bottom"/>
          </w:tcPr>
          <w:p>
            <w:pPr>
              <w:jc w:val="right"/>
              <w:ind w:right="260"/>
              <w:spacing w:after="0"/>
              <w:rPr>
                <w:sz w:val="20"/>
                <w:szCs w:val="20"/>
                <w:color w:val="auto"/>
              </w:rPr>
            </w:pPr>
            <w:r>
              <w:rPr>
                <w:rFonts w:ascii="Arial" w:cs="Arial" w:eastAsia="Arial" w:hAnsi="Arial"/>
                <w:sz w:val="12"/>
                <w:szCs w:val="12"/>
                <w:color w:val="auto"/>
              </w:rPr>
              <w:t>85.0</w:t>
            </w:r>
          </w:p>
        </w:tc>
      </w:tr>
      <w:tr>
        <w:trPr>
          <w:trHeight w:val="189"/>
        </w:trPr>
        <w:tc>
          <w:tcPr>
            <w:tcW w:w="9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2013</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52.1</w:t>
            </w:r>
          </w:p>
        </w:tc>
      </w:tr>
      <w:tr>
        <w:trPr>
          <w:trHeight w:val="171"/>
        </w:trPr>
        <w:tc>
          <w:tcPr>
            <w:tcW w:w="9160" w:type="dxa"/>
            <w:vAlign w:val="bottom"/>
          </w:tcPr>
          <w:p>
            <w:pPr>
              <w:ind w:left="240"/>
              <w:spacing w:after="0"/>
              <w:rPr>
                <w:sz w:val="20"/>
                <w:szCs w:val="20"/>
                <w:color w:val="auto"/>
              </w:rPr>
            </w:pPr>
            <w:r>
              <w:rPr>
                <w:rFonts w:ascii="Arial" w:cs="Arial" w:eastAsia="Arial" w:hAnsi="Arial"/>
                <w:sz w:val="12"/>
                <w:szCs w:val="12"/>
                <w:color w:val="auto"/>
              </w:rPr>
              <w:t>2014</w:t>
            </w:r>
          </w:p>
        </w:tc>
        <w:tc>
          <w:tcPr>
            <w:tcW w:w="580" w:type="dxa"/>
            <w:vAlign w:val="bottom"/>
          </w:tcPr>
          <w:p>
            <w:pPr>
              <w:spacing w:after="0"/>
              <w:rPr>
                <w:sz w:val="14"/>
                <w:szCs w:val="14"/>
                <w:color w:val="auto"/>
              </w:rPr>
            </w:pPr>
          </w:p>
        </w:tc>
        <w:tc>
          <w:tcPr>
            <w:tcW w:w="880" w:type="dxa"/>
            <w:vAlign w:val="bottom"/>
          </w:tcPr>
          <w:p>
            <w:pPr>
              <w:jc w:val="right"/>
              <w:ind w:right="260"/>
              <w:spacing w:after="0"/>
              <w:rPr>
                <w:sz w:val="20"/>
                <w:szCs w:val="20"/>
                <w:color w:val="auto"/>
              </w:rPr>
            </w:pPr>
            <w:r>
              <w:rPr>
                <w:rFonts w:ascii="Arial" w:cs="Arial" w:eastAsia="Arial" w:hAnsi="Arial"/>
                <w:sz w:val="12"/>
                <w:szCs w:val="12"/>
                <w:color w:val="auto"/>
              </w:rPr>
              <w:t>33.4</w:t>
            </w:r>
          </w:p>
        </w:tc>
      </w:tr>
      <w:tr>
        <w:trPr>
          <w:trHeight w:val="189"/>
        </w:trPr>
        <w:tc>
          <w:tcPr>
            <w:tcW w:w="9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2015</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17.6</w:t>
            </w:r>
          </w:p>
        </w:tc>
      </w:tr>
      <w:tr>
        <w:trPr>
          <w:trHeight w:val="171"/>
        </w:trPr>
        <w:tc>
          <w:tcPr>
            <w:tcW w:w="91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Thereafter</w:t>
            </w: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88.2</w:t>
            </w:r>
          </w:p>
        </w:tc>
      </w:tr>
      <w:tr>
        <w:trPr>
          <w:trHeight w:val="115"/>
        </w:trPr>
        <w:tc>
          <w:tcPr>
            <w:tcW w:w="9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&amp;</w:t>
            </w:r>
          </w:p>
        </w:tc>
      </w:tr>
      <w:tr>
        <w:trPr>
          <w:trHeight w:val="178"/>
        </w:trPr>
        <w:tc>
          <w:tcPr>
            <w:tcW w:w="9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Total future minimum operating lease payments</w:t>
            </w:r>
          </w:p>
        </w:tc>
        <w:tc>
          <w:tcPr>
            <w:tcW w:w="5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393.5nbsp;</w:t>
            </w: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Rent expense incurred under operating leases during the years ended December 31, 2010, 2009 and 2008 was $137.2 million, $153.1 million, and $138.0 million, respectively. Rent expense in 2010, 2009, and 2008 includes abandoned lease charges related to office closures of $11.7 million, $7.4 million, and $23.4 million, respectively.</w:t>
      </w:r>
    </w:p>
    <w:p>
      <w:pPr>
        <w:spacing w:after="0" w:line="115"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We are party to an off-balance sheet financing arrangement (commonly referred to as a “synthetic lease”). The owner/lessor in this arrangement acquired land and various real property improvements associated with new construction of an office building in Jacksonville, Florida, that are part of FNF’s corporate campus and headquarters. The lease expires on June 28, 2011, with renewal subject to consent of the lessor and the lenders. The lessor is a third-party limited liability company. The synthetic lease facility provides for amounts up to $75.0 million. As of December 3 1, 2010, the full $75.0 million had been drawn on the facility to finance land costs and related fees and expenses and the outstanding balance was $70.1 million. The lease includes guarantees by us of up to 86.7% of the outstanding lease balance, and options to purchase the facilities at the outstanding lease balance. The guarantee becomes effective if we decline to purchase the facilities at the end of the lease and also decline to renew the lease. In February 2011, we started the process of renewing the lease. The lessor financed the acquisition of the facilities through funding provided by third-party financial institutions. We have no affiliation or relationship with the lessor or any of its employees, directors or aff iliates, and transactions with the lessor are limited to the operating lease agreements and the associated rent expense that have been included in other operating expenses in the Consolidated Statements of Operations. We do not believe the lessor is a variable interest entity, as defined in the FASB standard on consolidation of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620"/>
          </w:cols>
          <w:pgMar w:left="1080" w:top="127" w:right="199" w:bottom="1440" w:gutter="0" w:footer="0" w:header="0"/>
        </w:sectPr>
      </w:pPr>
    </w:p>
    <w:bookmarkStart w:id="78" w:name="page79"/>
    <w:bookmarkEnd w:id="78"/>
    <w:p>
      <w:pPr>
        <w:ind w:left="454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94"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Note M.</w:t>
      </w:r>
      <w:r>
        <w:rPr>
          <w:sz w:val="20"/>
          <w:szCs w:val="20"/>
          <w:color w:val="auto"/>
        </w:rPr>
        <w:tab/>
      </w:r>
      <w:r>
        <w:rPr>
          <w:rFonts w:ascii="Arial" w:cs="Arial" w:eastAsia="Arial" w:hAnsi="Arial"/>
          <w:sz w:val="10"/>
          <w:szCs w:val="10"/>
          <w:b w:val="1"/>
          <w:bCs w:val="1"/>
          <w:color w:val="auto"/>
        </w:rPr>
        <w:t>Regulation and Equity</w:t>
      </w:r>
    </w:p>
    <w:p>
      <w:pPr>
        <w:spacing w:after="0" w:line="154" w:lineRule="exact"/>
        <w:rPr>
          <w:sz w:val="20"/>
          <w:szCs w:val="20"/>
          <w:color w:val="auto"/>
        </w:rPr>
      </w:pPr>
    </w:p>
    <w:p>
      <w:pPr>
        <w:jc w:val="both"/>
        <w:ind w:left="860" w:firstLine="216"/>
        <w:spacing w:after="0" w:line="257" w:lineRule="auto"/>
        <w:rPr>
          <w:sz w:val="20"/>
          <w:szCs w:val="20"/>
          <w:color w:val="auto"/>
        </w:rPr>
      </w:pPr>
      <w:r>
        <w:rPr>
          <w:rFonts w:ascii="Arial" w:cs="Arial" w:eastAsia="Arial" w:hAnsi="Arial"/>
          <w:sz w:val="12"/>
          <w:szCs w:val="12"/>
          <w:color w:val="auto"/>
        </w:rPr>
        <w:t>Our insurance subsidiaries, including title insurers, property and casualty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 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126" w:lineRule="exact"/>
        <w:rPr>
          <w:sz w:val="20"/>
          <w:szCs w:val="20"/>
          <w:color w:val="auto"/>
        </w:rPr>
      </w:pPr>
    </w:p>
    <w:p>
      <w:pPr>
        <w:jc w:val="both"/>
        <w:ind w:left="860" w:firstLine="216"/>
        <w:spacing w:after="0" w:line="276" w:lineRule="auto"/>
        <w:rPr>
          <w:sz w:val="20"/>
          <w:szCs w:val="20"/>
          <w:color w:val="auto"/>
        </w:rPr>
      </w:pPr>
      <w:r>
        <w:rPr>
          <w:rFonts w:ascii="Arial" w:cs="Arial" w:eastAsia="Arial" w:hAnsi="Arial"/>
          <w:sz w:val="12"/>
          <w:szCs w:val="12"/>
          <w:color w:val="auto"/>
        </w:rPr>
        <w:t>Since we are governed by both state and federal governments and the applicable insurance laws and regulations are constantly subject to change, it is not possible to predict the potential effects on our insurance operations, particularly the Fidelity National Title Group segment, of any laws or regulations that may becom e more restrictive in the future or if new restrictive laws will be enacted.</w:t>
      </w:r>
    </w:p>
    <w:p>
      <w:pPr>
        <w:spacing w:after="0" w:line="115" w:lineRule="exact"/>
        <w:rPr>
          <w:sz w:val="20"/>
          <w:szCs w:val="20"/>
          <w:color w:val="auto"/>
        </w:rPr>
      </w:pPr>
    </w:p>
    <w:p>
      <w:pPr>
        <w:jc w:val="both"/>
        <w:ind w:left="860" w:firstLine="216"/>
        <w:spacing w:after="0" w:line="257" w:lineRule="auto"/>
        <w:rPr>
          <w:sz w:val="20"/>
          <w:szCs w:val="20"/>
          <w:color w:val="auto"/>
        </w:rPr>
      </w:pPr>
      <w:r>
        <w:rPr>
          <w:rFonts w:ascii="Arial" w:cs="Arial" w:eastAsia="Arial" w:hAnsi="Arial"/>
          <w:sz w:val="12"/>
          <w:szCs w:val="12"/>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2010, the combined statutory unearned premium reserve required and reported for our title insurers was $1,994.0 million. In addition to statutory unearned premium reserves, each of our insurers maintains reserves for known claims and surplus funds for policyholder protection and business operations.</w:t>
      </w:r>
    </w:p>
    <w:p>
      <w:pPr>
        <w:spacing w:after="0" w:line="126" w:lineRule="exact"/>
        <w:rPr>
          <w:sz w:val="20"/>
          <w:szCs w:val="20"/>
          <w:color w:val="auto"/>
        </w:rPr>
      </w:pPr>
    </w:p>
    <w:p>
      <w:pPr>
        <w:jc w:val="both"/>
        <w:ind w:left="860" w:firstLine="216"/>
        <w:spacing w:after="0" w:line="263" w:lineRule="auto"/>
        <w:rPr>
          <w:sz w:val="20"/>
          <w:szCs w:val="20"/>
          <w:color w:val="auto"/>
        </w:rPr>
      </w:pPr>
      <w:r>
        <w:rPr>
          <w:rFonts w:ascii="Arial" w:cs="Arial" w:eastAsia="Arial" w:hAnsi="Arial"/>
          <w:sz w:val="12"/>
          <w:szCs w:val="12"/>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 and certain of these examinations are currently ongoing.</w:t>
      </w:r>
    </w:p>
    <w:p>
      <w:pPr>
        <w:spacing w:after="0" w:line="123" w:lineRule="exact"/>
        <w:rPr>
          <w:sz w:val="20"/>
          <w:szCs w:val="20"/>
          <w:color w:val="auto"/>
        </w:rPr>
      </w:pPr>
    </w:p>
    <w:p>
      <w:pPr>
        <w:jc w:val="both"/>
        <w:ind w:left="860" w:right="20" w:firstLine="216"/>
        <w:spacing w:after="0" w:line="263" w:lineRule="auto"/>
        <w:rPr>
          <w:sz w:val="20"/>
          <w:szCs w:val="20"/>
          <w:color w:val="auto"/>
        </w:rPr>
      </w:pPr>
      <w:r>
        <w:rPr>
          <w:rFonts w:ascii="Arial" w:cs="Arial" w:eastAsia="Arial" w:hAnsi="Arial"/>
          <w:sz w:val="12"/>
          <w:szCs w:val="12"/>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2010, $2,825.9 million of our net assets are restricted from dividend payments without prior approval from the Departments of Insurance. During 2011, our title insurers can pay or make distributions to us of approximately $76.1 million, without prior approval.</w:t>
      </w:r>
    </w:p>
    <w:p>
      <w:pPr>
        <w:spacing w:after="0" w:line="123" w:lineRule="exact"/>
        <w:rPr>
          <w:sz w:val="20"/>
          <w:szCs w:val="20"/>
          <w:color w:val="auto"/>
        </w:rPr>
      </w:pPr>
    </w:p>
    <w:p>
      <w:pPr>
        <w:jc w:val="both"/>
        <w:ind w:left="860" w:firstLine="216"/>
        <w:spacing w:after="0" w:line="276" w:lineRule="auto"/>
        <w:rPr>
          <w:sz w:val="20"/>
          <w:szCs w:val="20"/>
          <w:color w:val="auto"/>
        </w:rPr>
      </w:pPr>
      <w:r>
        <w:rPr>
          <w:rFonts w:ascii="Arial" w:cs="Arial" w:eastAsia="Arial" w:hAnsi="Arial"/>
          <w:sz w:val="12"/>
          <w:szCs w:val="12"/>
          <w:color w:val="auto"/>
        </w:rPr>
        <w:t>The combined statutory capital and surplus of our title insurers was $1,129.5 million and $988.2 million as of December 31, 2010 and 2009, respectively. The combined statutory net (losses) earnings of our title insurance subsidiaries were $(46.6) million, $237.2, and $(170.5)&amp;nb sp;million for the years ended December 31, 2010, 2009, and 2008, respectively.</w:t>
      </w:r>
    </w:p>
    <w:p>
      <w:pPr>
        <w:spacing w:after="0" w:line="79" w:lineRule="exact"/>
        <w:rPr>
          <w:sz w:val="20"/>
          <w:szCs w:val="20"/>
          <w:color w:val="auto"/>
        </w:rPr>
      </w:pPr>
    </w:p>
    <w:p>
      <w:pPr>
        <w:jc w:val="both"/>
        <w:ind w:left="860" w:firstLine="288"/>
        <w:spacing w:after="0" w:line="257" w:lineRule="auto"/>
        <w:rPr>
          <w:sz w:val="20"/>
          <w:szCs w:val="20"/>
          <w:color w:val="auto"/>
        </w:rPr>
      </w:pPr>
      <w:r>
        <w:rPr>
          <w:rFonts w:ascii="Arial" w:cs="Arial" w:eastAsia="Arial" w:hAnsi="Arial"/>
          <w:sz w:val="12"/>
          <w:szCs w:val="12"/>
          <w:color w:val="auto"/>
        </w:rPr>
        <w:t>Statutory-basis financial statements are prepared in accordance with accounting practices prescribed or permitted by the various state insurance regulatory authorities. The Nation al Association of Insurance Commissioners' (“NAIC”</w:t>
      </w:r>
      <w:r>
        <w:rPr>
          <w:rFonts w:ascii="Arial" w:cs="Arial" w:eastAsia="Arial" w:hAnsi="Arial"/>
          <w:sz w:val="12"/>
          <w:szCs w:val="12"/>
          <w:i w:val="1"/>
          <w:iCs w:val="1"/>
          <w:color w:val="auto"/>
        </w:rPr>
        <w:t>) Accounting Practices and Procedures</w:t>
      </w:r>
      <w:r>
        <w:rPr>
          <w:rFonts w:ascii="Arial" w:cs="Arial" w:eastAsia="Arial" w:hAnsi="Arial"/>
          <w:sz w:val="12"/>
          <w:szCs w:val="12"/>
          <w:color w:val="auto"/>
        </w:rPr>
        <w:t xml:space="preserve"> manual (“NAIC SAP”) has been adopted as a component of prescribed or permitted practices by each of the states that regulate us. Each of the states have adopted a material prescribed accounting practice that differs from that found in NAIC SAP. Specifically, the timing of amounts added or released from the statutory unearned premium reserve under NAIC SAP differs from the states' required practice. Statutory surplus at December 31, 2010 and 2009, respectively, was lower by approximately $288.1 million and $245.3 million than if we had reported such amounts in accordance with NAIC SAP.</w:t>
      </w:r>
    </w:p>
    <w:p>
      <w:pPr>
        <w:spacing w:after="0" w:line="126" w:lineRule="exact"/>
        <w:rPr>
          <w:sz w:val="20"/>
          <w:szCs w:val="20"/>
          <w:color w:val="auto"/>
        </w:rPr>
      </w:pPr>
    </w:p>
    <w:p>
      <w:pPr>
        <w:jc w:val="both"/>
        <w:ind w:left="860" w:right="20" w:firstLine="216"/>
        <w:spacing w:after="0" w:line="276" w:lineRule="auto"/>
        <w:rPr>
          <w:sz w:val="20"/>
          <w:szCs w:val="20"/>
          <w:color w:val="auto"/>
        </w:rPr>
      </w:pPr>
      <w:r>
        <w:rPr>
          <w:rFonts w:ascii="Arial" w:cs="Arial" w:eastAsia="Arial" w:hAnsi="Arial"/>
          <w:sz w:val="12"/>
          <w:szCs w:val="12"/>
          <w:color w:val="auto"/>
        </w:rPr>
        <w:t>As a condition to continued authority to underwrite policies in the states in which our insurers conduct their business, the insurers are required to pay certain fees and file information regarding their officers, directors and financial conditio n. In addition, our escrow and trust business is subject to regulation by various state banking authorities.</w:t>
      </w:r>
    </w:p>
    <w:p>
      <w:pPr>
        <w:spacing w:after="0" w:line="115" w:lineRule="exact"/>
        <w:rPr>
          <w:sz w:val="20"/>
          <w:szCs w:val="20"/>
          <w:color w:val="auto"/>
        </w:rPr>
      </w:pPr>
    </w:p>
    <w:p>
      <w:pPr>
        <w:jc w:val="both"/>
        <w:ind w:left="860" w:firstLine="216"/>
        <w:spacing w:after="0" w:line="276" w:lineRule="auto"/>
        <w:rPr>
          <w:sz w:val="20"/>
          <w:szCs w:val="20"/>
          <w:color w:val="auto"/>
        </w:rPr>
      </w:pPr>
      <w:r>
        <w:rPr>
          <w:rFonts w:ascii="Arial" w:cs="Arial" w:eastAsia="Arial" w:hAnsi="Arial"/>
          <w:sz w:val="12"/>
          <w:szCs w:val="12"/>
          <w:color w:val="auto"/>
        </w:rPr>
        <w:t>Pursuant to statutory requirements of the various states in which our insurers are domiciled, such insurers must maintain certain levels of minimum capital and surplus. Each of our insurers has complied with the minimum statutory requirements as of December 31, 2010.</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underwritten title companies are also subject to certain regulation by insurance regulatory or banking authorities, primarily</w:t>
      </w:r>
    </w:p>
    <w:p>
      <w:pPr>
        <w:spacing w:after="0" w:line="150"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80"/>
          </w:cols>
          <w:pgMar w:left="220" w:top="127" w:right="199" w:bottom="1440" w:gutter="0" w:footer="0" w:header="0"/>
        </w:sectPr>
      </w:pPr>
    </w:p>
    <w:bookmarkStart w:id="79" w:name="page80"/>
    <w:bookmarkEnd w:id="79"/>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relating to minimum net worth. Minimum net worth requirements for each underwritten title company are as follows: $7.5 million for Fidelity National Title Company, $2.5 million for Fidelity National Title Company of California, $3.0 million for Chicago Title Company, and $0.4 million for Ticor Title Company of California, Commonwealth Land Title Company, and Lawyers Title Company. These underwritten title companies are in compliance with all of their respective minimum net worth requirements at December 31, 2010.</w:t>
      </w:r>
    </w:p>
    <w:p>
      <w:pPr>
        <w:spacing w:after="0" w:line="12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On April 14, 2009, we offered 15,800,000 shares of our common stock at an offering price of $19.00 per share, pursuant to an effective registration statement previously filed with the Securities and Exchange Commission. The underwriters were granted and chose to exercise an option to purchase additional shares equal to 15% of the offering, or 2,370,000 shares, at the offering price. A total of 18,170,000 shares were issued on April 20, 2009, for net proceeds of approximately $331.4 million. The proceeds were used as follows: $135.0 million to repay borrowings under ou r $1.1 billion revolving credit facility, $71.5 million to repurchase our public bonds, $50.8 million to repurchase shares of our common stock, $25.0 million as part of a $57.1 million capital infusion into Lawyers Title and Commonwealth Land Title, and the remainder for general corporate purposes.</w:t>
      </w:r>
    </w:p>
    <w:p>
      <w:pPr>
        <w:spacing w:after="0" w:line="126" w:lineRule="exact"/>
        <w:rPr>
          <w:sz w:val="20"/>
          <w:szCs w:val="20"/>
          <w:color w:val="auto"/>
        </w:rPr>
      </w:pPr>
    </w:p>
    <w:p>
      <w:pPr>
        <w:jc w:val="both"/>
        <w:ind w:firstLine="216"/>
        <w:spacing w:after="0" w:line="309" w:lineRule="auto"/>
        <w:rPr>
          <w:sz w:val="20"/>
          <w:szCs w:val="20"/>
          <w:color w:val="auto"/>
        </w:rPr>
      </w:pPr>
      <w:r>
        <w:rPr>
          <w:rFonts w:ascii="Arial" w:cs="Arial" w:eastAsia="Arial" w:hAnsi="Arial"/>
          <w:sz w:val="10"/>
          <w:szCs w:val="10"/>
          <w:color w:val="auto"/>
        </w:rPr>
        <w:t>On October 25, 2006, the Board of Directors approved a three-year stock repurchase program under which we can repurchase up to 25 million shares of our common stock. We may make repurchases from time to time in the open market, in block purchases or in privately negotiated transactions, depending on market conditions and other factors. Since the original commencement of the plan a dopted in October 2006, and through September 2009, we repurchased a total of 17,161,120 shares for $286.2 million, or an average of $16.68 per share. This includes 4,320,750 shares repurchased in 2009 for $57.1 million, or an average of $13.21 per share and 3,165,470 shares repurchased in 2008 for $46.0 million, or $14.53 per share. On July 21, 2009, the Board of Directors approved a new three-year stock repurchase program under which we can repurchase up to 15 million shares through July 31, 2012. We began repurchasing shares under this program in October 2009, and we repurchased a total of 1,294,400 shares for $17.9 million, or an average of $13.83 per share in 2009 and 8,664,262 shares for $117.6 million, or an average of $13.57 per share in 2010, including 859,866 shares purchased on January 4, 2010 for $11.6 million from the administrator of two of our former subsidiaries’ employee benefit plans. Because we were actively repurchasing shares of our stock on the open market as part of the stock repurchase plan, we agreed to purchase the shares from the administrator at a price of $13.46 per share, the market price at the time of purchase. Subsequent to year-end we rep urchased a total of 560,150 shares for $7.8 million or an average of $13.92 per share through market close on February 22, 2011. Since the original commencement of the plan adopted July 21, 2009, we have repurchased a total of 10,518,812 shares for $143.3 million, or an average of $13.62 per share. On January 27, 2011, our Board of Directors approved an increase in the number of shares that may be repurchased under the program, resulting in 10,000,000 shares in the aggregate remaining that may be purchased under the plan.</w:t>
      </w:r>
    </w:p>
    <w:p>
      <w:pPr>
        <w:spacing w:after="0" w:line="101"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Note N.</w:t>
      </w:r>
      <w:r>
        <w:rPr>
          <w:sz w:val="20"/>
          <w:szCs w:val="20"/>
          <w:color w:val="auto"/>
        </w:rPr>
        <w:tab/>
      </w:r>
      <w:r>
        <w:rPr>
          <w:rFonts w:ascii="Arial" w:cs="Arial" w:eastAsia="Arial" w:hAnsi="Arial"/>
          <w:sz w:val="10"/>
          <w:szCs w:val="10"/>
          <w:b w:val="1"/>
          <w:bCs w:val="1"/>
          <w:color w:val="auto"/>
        </w:rPr>
        <w:t>Employee Benefit Plans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Stock Purchase Plan</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During the three-year period ended December 31, 2010, our eligible employees could voluntarily participate in employee stock purchase plans (“ESPPs”) sponsored by us and our sub sidiaries. Pursuant to the ESPPs, employees may contribute an amount between 3% and 15% of their base salary and certain commissions. We contribute varying amounts as specified in the ESPPs.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contributed $11.9 million, $11.4 million, and $15.2 million to the ESPPs in the years ended December 31, 2010, 2009, and 2008, respectively, in accordance with the employer’s matching contribution.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401(k) Profit Sharing Plan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During the three-year period ended December 31, 2010, we have offered our employees the opportunity to participate in</w:t>
      </w:r>
    </w:p>
    <w:p>
      <w:pPr>
        <w:spacing w:after="0" w:line="15"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2"/>
          <w:szCs w:val="12"/>
          <w:color w:val="auto"/>
        </w:rPr>
        <w:t>401(k) profit sharing plans (the “401(k) Plans”), qu alified voluntary contributory savings plans which are available to substantially all of our employees. Eligible employees may contribute up to 40% of their pretax annual compensation, up to the amount allowed pursuant to the Internal Revenue Code. There was no employer match for the years ended December 31, 2010, 2009, and 2008.</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Stock Option Plans</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In 2005, we established the FNT 2005 Omnibus Incentive Plan (the “Omnibus Plan”) authorizing the issuance of up to 8 million shares of common stock, subject to the terms of the Omnibus Plan. On October 23, 2006, the stockholders of FNT approved an amendment to increase the number of shares available for issuance under the Omnibus Plan by 15.5 million shares. The increase was in part to provide capacity for options and restricted stock to be issued to replace Old FNF options and restricted stock. On May 29, 2008, the stockholders of FNF approved an amendment to further increase the number of shares for issuance under the</w:t>
      </w:r>
    </w:p>
    <w:p>
      <w:pPr>
        <w:spacing w:after="0" w:line="105"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620"/>
          </w:cols>
          <w:pgMar w:left="1080" w:top="127" w:right="199" w:bottom="1440" w:gutter="0" w:footer="0" w:header="0"/>
        </w:sectPr>
      </w:pPr>
    </w:p>
    <w:bookmarkStart w:id="80" w:name="page81"/>
    <w:bookmarkEnd w:id="80"/>
    <w:p>
      <w:pPr>
        <w:jc w:val="center"/>
        <w:ind w:right="-179"/>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NOTES TO CONSOLIDATED FIN ANCIAL STATEMENTS — (continued)</w:t>
      </w:r>
    </w:p>
    <w:p>
      <w:pPr>
        <w:spacing w:after="0" w:line="15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Ominbus Plan by 11.0 million shares. The primary purpose of the increase was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2010, there were 2,666,901 shares of restricted stock and 21,826,954 stock options outstanding under this plan. Awards granted are determined and approved by the Compensation Committee of the Board of Directors. Options vest over a 3 to 4 year period, and the exercise price for options granted equals the market price of the underlying stock on the grant date. A grant of approximately 0.8 million shares was made to various employees and directors in 2010 and vests according to certain time based and operating performance criteria. A grant of 1.5 million shares made to the Chairman in 2009 contains time based and market based criteria for vesting purposes.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Stock option transactions under the Omnibus Plan for 2008, 2009, and 2010 are as fol lows: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&lt; td style="vertical-align:bottom;padding-left:2px;padding-top:2px;padding-bottom:2px;"&gt;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w w:val="91"/>
              </w:rPr>
              <w:t>Weighted Average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8"/>
        </w:trPr>
        <w:tc>
          <w:tcPr>
            <w:tcW w:w="504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Options</w:t>
            </w: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Exercise Price</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0"/>
                <w:szCs w:val="10"/>
                <w:b w:val="1"/>
                <w:bCs w:val="1"/>
                <w:color w:val="auto"/>
              </w:rPr>
              <w:t>Exercisable</w:t>
            </w:r>
          </w:p>
        </w:tc>
      </w:tr>
      <w:tr>
        <w:trPr>
          <w:trHeight w:val="173"/>
        </w:trPr>
        <w:tc>
          <w:tcPr>
            <w:tcW w:w="5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Balance, December 31, 2007</w:t>
            </w:r>
          </w:p>
        </w:tc>
        <w:tc>
          <w:tcPr>
            <w:tcW w:w="202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18,008,834</w:t>
            </w:r>
          </w:p>
        </w:tc>
        <w:tc>
          <w:tcPr>
            <w:tcW w:w="1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9,904,089</w:t>
            </w:r>
          </w:p>
        </w:tc>
      </w:tr>
      <w:tr>
        <w:trPr>
          <w:trHeight w:val="171"/>
        </w:trPr>
        <w:tc>
          <w:tcPr>
            <w:tcW w:w="5040" w:type="dxa"/>
            <w:vAlign w:val="bottom"/>
          </w:tcPr>
          <w:p>
            <w:pPr>
              <w:ind w:left="400"/>
              <w:spacing w:after="0"/>
              <w:rPr>
                <w:sz w:val="20"/>
                <w:szCs w:val="20"/>
                <w:color w:val="auto"/>
              </w:rPr>
            </w:pPr>
            <w:r>
              <w:rPr>
                <w:rFonts w:ascii="Arial" w:cs="Arial" w:eastAsia="Arial" w:hAnsi="Arial"/>
                <w:sz w:val="12"/>
                <w:szCs w:val="12"/>
                <w:color w:val="auto"/>
              </w:rPr>
              <w:t>Granted</w:t>
            </w:r>
          </w:p>
        </w:tc>
        <w:tc>
          <w:tcPr>
            <w:tcW w:w="2020" w:type="dxa"/>
            <w:vAlign w:val="bottom"/>
            <w:gridSpan w:val="2"/>
          </w:tcPr>
          <w:p>
            <w:pPr>
              <w:jc w:val="right"/>
              <w:ind w:right="43"/>
              <w:spacing w:after="0"/>
              <w:rPr>
                <w:sz w:val="20"/>
                <w:szCs w:val="20"/>
                <w:color w:val="auto"/>
              </w:rPr>
            </w:pPr>
            <w:r>
              <w:rPr>
                <w:rFonts w:ascii="Arial" w:cs="Arial" w:eastAsia="Arial" w:hAnsi="Arial"/>
                <w:sz w:val="12"/>
                <w:szCs w:val="12"/>
                <w:color w:val="auto"/>
              </w:rPr>
              <w:t>6,162,942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9"/>
        </w:trPr>
        <w:tc>
          <w:tcPr>
            <w:tcW w:w="50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Exercised</w:t>
            </w:r>
          </w:p>
        </w:tc>
        <w:tc>
          <w:tcPr>
            <w:tcW w:w="202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(775,092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71"/>
        </w:trPr>
        <w:tc>
          <w:tcPr>
            <w:tcW w:w="504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Cancelled</w:t>
            </w:r>
          </w:p>
        </w:tc>
        <w:tc>
          <w:tcPr>
            <w:tcW w:w="8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(177,401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17.70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r>
      <w:tr>
        <w:trPr>
          <w:trHeight w:val="178"/>
        </w:trPr>
        <w:tc>
          <w:tcPr>
            <w:tcW w:w="5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Balance, December 31, 2008</w:t>
            </w:r>
          </w:p>
        </w:tc>
        <w:tc>
          <w:tcPr>
            <w:tcW w:w="202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23,219,283</w:t>
            </w:r>
          </w:p>
        </w:tc>
        <w:tc>
          <w:tcPr>
            <w:tcW w:w="1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11,971,263</w:t>
            </w:r>
          </w:p>
        </w:tc>
      </w:tr>
      <w:tr>
        <w:trPr>
          <w:trHeight w:val="171"/>
        </w:trPr>
        <w:tc>
          <w:tcPr>
            <w:tcW w:w="5040" w:type="dxa"/>
            <w:vAlign w:val="bottom"/>
          </w:tcPr>
          <w:p>
            <w:pPr>
              <w:ind w:left="400"/>
              <w:spacing w:after="0"/>
              <w:rPr>
                <w:sz w:val="20"/>
                <w:szCs w:val="20"/>
                <w:color w:val="auto"/>
              </w:rPr>
            </w:pPr>
            <w:r>
              <w:rPr>
                <w:rFonts w:ascii="Arial" w:cs="Arial" w:eastAsia="Arial" w:hAnsi="Arial"/>
                <w:sz w:val="12"/>
                <w:szCs w:val="12"/>
                <w:color w:val="auto"/>
              </w:rPr>
              <w:t>Granted</w:t>
            </w:r>
          </w:p>
        </w:tc>
        <w:tc>
          <w:tcPr>
            <w:tcW w:w="2020" w:type="dxa"/>
            <w:vAlign w:val="bottom"/>
            <w:gridSpan w:val="2"/>
          </w:tcPr>
          <w:p>
            <w:pPr>
              <w:jc w:val="right"/>
              <w:ind w:right="43"/>
              <w:spacing w:after="0"/>
              <w:rPr>
                <w:sz w:val="20"/>
                <w:szCs w:val="20"/>
                <w:color w:val="auto"/>
              </w:rPr>
            </w:pPr>
            <w:r>
              <w:rPr>
                <w:rFonts w:ascii="Arial" w:cs="Arial" w:eastAsia="Arial" w:hAnsi="Arial"/>
                <w:sz w:val="12"/>
                <w:szCs w:val="12"/>
                <w:color w:val="auto"/>
              </w:rPr>
              <w:t>2,533,250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9"/>
        </w:trPr>
        <w:tc>
          <w:tcPr>
            <w:tcW w:w="50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Exercised</w:t>
            </w:r>
          </w:p>
        </w:tc>
        <w:tc>
          <w:tcPr>
            <w:tcW w:w="202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(2,1 18,631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71"/>
        </w:trPr>
        <w:tc>
          <w:tcPr>
            <w:tcW w:w="504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Cancelled</w:t>
            </w:r>
          </w:p>
        </w:tc>
        <w:tc>
          <w:tcPr>
            <w:tcW w:w="8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(395,256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14.89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r>
      <w:tr>
        <w:trPr>
          <w:trHeight w:val="178"/>
        </w:trPr>
        <w:tc>
          <w:tcPr>
            <w:tcW w:w="5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Balance, December 31, 2009</w:t>
            </w:r>
          </w:p>
        </w:tc>
        <w:tc>
          <w:tcPr>
            <w:tcW w:w="202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23,238,646</w:t>
            </w:r>
          </w:p>
        </w:tc>
        <w:tc>
          <w:tcPr>
            <w:tcW w:w="1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14,119,807</w:t>
            </w:r>
          </w:p>
        </w:tc>
      </w:tr>
      <w:tr>
        <w:trPr>
          <w:trHeight w:val="171"/>
        </w:trPr>
        <w:tc>
          <w:tcPr>
            <w:tcW w:w="5040" w:type="dxa"/>
            <w:vAlign w:val="bottom"/>
          </w:tcPr>
          <w:p>
            <w:pPr>
              <w:ind w:left="400"/>
              <w:spacing w:after="0"/>
              <w:rPr>
                <w:sz w:val="20"/>
                <w:szCs w:val="20"/>
                <w:color w:val="auto"/>
              </w:rPr>
            </w:pPr>
            <w:r>
              <w:rPr>
                <w:rFonts w:ascii="Arial" w:cs="Arial" w:eastAsia="Arial" w:hAnsi="Arial"/>
                <w:sz w:val="12"/>
                <w:szCs w:val="12"/>
                <w:color w:val="auto"/>
              </w:rPr>
              <w:t>Granted</w:t>
            </w:r>
          </w:p>
        </w:tc>
        <w:tc>
          <w:tcPr>
            <w:tcW w:w="2020" w:type="dxa"/>
            <w:vAlign w:val="bottom"/>
            <w:gridSpan w:val="2"/>
          </w:tcPr>
          <w:p>
            <w:pPr>
              <w:jc w:val="right"/>
              <w:ind w:right="43"/>
              <w:spacing w:after="0"/>
              <w:rPr>
                <w:sz w:val="20"/>
                <w:szCs w:val="20"/>
                <w:color w:val="auto"/>
              </w:rPr>
            </w:pPr>
            <w:r>
              <w:rPr>
                <w:rFonts w:ascii="Arial" w:cs="Arial" w:eastAsia="Arial" w:hAnsi="Arial"/>
                <w:sz w:val="12"/>
                <w:szCs w:val="12"/>
                <w:color w:val="auto"/>
              </w:rPr>
              <w:t>150,000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9"/>
        </w:trPr>
        <w:tc>
          <w:tcPr>
            <w:tcW w:w="50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Exercised</w:t>
            </w:r>
          </w:p>
        </w:tc>
        <w:tc>
          <w:tcPr>
            <w:tcW w:w="202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(933,575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71"/>
        </w:trPr>
        <w:tc>
          <w:tcPr>
            <w:tcW w:w="504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Cancelled</w:t>
            </w:r>
          </w:p>
        </w:tc>
        <w:tc>
          <w:tcPr>
            <w:tcW w:w="8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(628,117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21.23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r>
      <w:tr>
        <w:trPr>
          <w:trHeight w:val="194"/>
        </w:trPr>
        <w:tc>
          <w:tcPr>
            <w:tcW w:w="5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Balance, December 31, 2010</w:t>
            </w:r>
          </w:p>
        </w:tc>
        <w:tc>
          <w:tcPr>
            <w:tcW w:w="202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21,826,954</w:t>
            </w:r>
          </w:p>
        </w:tc>
        <w:tc>
          <w:tcPr>
            <w:tcW w:w="1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16,241,130</w:t>
            </w:r>
          </w:p>
        </w:tc>
      </w:tr>
      <w:tr>
        <w:trPr>
          <w:trHeight w:val="280"/>
        </w:trPr>
        <w:tc>
          <w:tcPr>
            <w:tcW w:w="5040" w:type="dxa"/>
            <w:vAlign w:val="bottom"/>
            <w:tcBorders>
              <w:top w:val="single" w:sz="8" w:color="CCEEFF"/>
            </w:tcBorders>
          </w:tcPr>
          <w:p>
            <w:pPr>
              <w:ind w:left="220"/>
              <w:spacing w:after="0"/>
              <w:rPr>
                <w:sz w:val="20"/>
                <w:szCs w:val="20"/>
                <w:color w:val="auto"/>
              </w:rPr>
            </w:pPr>
            <w:r>
              <w:rPr>
                <w:rFonts w:ascii="Arial" w:cs="Arial" w:eastAsia="Arial" w:hAnsi="Arial"/>
                <w:sz w:val="12"/>
                <w:szCs w:val="12"/>
                <w:color w:val="auto"/>
                <w:w w:val="96"/>
              </w:rPr>
              <w:t>Restricted stock transactions under the Omnibus Plan in 2008, 2009, and 2010 are as follows:</w:t>
            </w:r>
          </w:p>
        </w:tc>
        <w:tc>
          <w:tcPr>
            <w:tcW w:w="82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44"/>
        </w:trPr>
        <w:tc>
          <w:tcPr>
            <w:tcW w:w="5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4"/>
              </w:rPr>
              <w:t>Weighted Average</w:t>
            </w:r>
          </w:p>
        </w:tc>
      </w:tr>
      <w:tr>
        <w:trPr>
          <w:trHeight w:val="180"/>
        </w:trPr>
        <w:tc>
          <w:tcPr>
            <w:tcW w:w="5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Grant Date</w:t>
            </w:r>
          </w:p>
        </w:tc>
      </w:tr>
      <w:tr>
        <w:trPr>
          <w:trHeight w:val="184"/>
        </w:trPr>
        <w:tc>
          <w:tcPr>
            <w:tcW w:w="50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b w:val="1"/>
                <w:bCs w:val="1"/>
                <w:color w:val="auto"/>
                <w:w w:val="87"/>
              </w:rPr>
              <w:t>Fair Value</w:t>
            </w:r>
          </w:p>
        </w:tc>
      </w:tr>
      <w:tr>
        <w:trPr>
          <w:trHeight w:val="173"/>
        </w:trPr>
        <w:tc>
          <w:tcPr>
            <w:tcW w:w="5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Balance, December 31, 2007</w:t>
            </w:r>
          </w:p>
        </w:tc>
        <w:tc>
          <w:tcPr>
            <w:tcW w:w="8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2,076,052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16.82</w:t>
            </w:r>
          </w:p>
        </w:tc>
      </w:tr>
      <w:tr>
        <w:trPr>
          <w:trHeight w:val="171"/>
        </w:trPr>
        <w:tc>
          <w:tcPr>
            <w:tcW w:w="5040" w:type="dxa"/>
            <w:vAlign w:val="bottom"/>
          </w:tcPr>
          <w:p>
            <w:pPr>
              <w:ind w:left="400"/>
              <w:spacing w:after="0"/>
              <w:rPr>
                <w:sz w:val="20"/>
                <w:szCs w:val="20"/>
                <w:color w:val="auto"/>
              </w:rPr>
            </w:pPr>
            <w:r>
              <w:rPr>
                <w:rFonts w:ascii="Arial" w:cs="Arial" w:eastAsia="Arial" w:hAnsi="Arial"/>
                <w:sz w:val="12"/>
                <w:szCs w:val="12"/>
                <w:color w:val="auto"/>
              </w:rPr>
              <w:t>Granted</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1,370,358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11.46</w:t>
            </w:r>
          </w:p>
        </w:tc>
      </w:tr>
      <w:tr>
        <w:trPr>
          <w:trHeight w:val="189"/>
        </w:trPr>
        <w:tc>
          <w:tcPr>
            <w:tcW w:w="50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Cancelled</w:t>
            </w:r>
          </w:p>
        </w:tc>
        <w:tc>
          <w:tcPr>
            <w:tcW w:w="8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(28,973</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16.98</w:t>
            </w:r>
          </w:p>
        </w:tc>
        <w:tc>
          <w:tcPr>
            <w:tcW w:w="260" w:type="dxa"/>
            <w:vAlign w:val="bottom"/>
            <w:shd w:val="clear" w:color="auto" w:fill="CCEEFF"/>
          </w:tcPr>
          <w:p>
            <w:pPr>
              <w:spacing w:after="0"/>
              <w:rPr>
                <w:sz w:val="16"/>
                <w:szCs w:val="16"/>
                <w:color w:val="auto"/>
              </w:rPr>
            </w:pPr>
          </w:p>
        </w:tc>
      </w:tr>
      <w:tr>
        <w:trPr>
          <w:trHeight w:val="171"/>
        </w:trPr>
        <w:tc>
          <w:tcPr>
            <w:tcW w:w="5040" w:type="dxa"/>
            <w:vAlign w:val="bottom"/>
          </w:tcPr>
          <w:p>
            <w:pPr>
              <w:ind w:left="400"/>
              <w:spacing w:after="0"/>
              <w:rPr>
                <w:sz w:val="20"/>
                <w:szCs w:val="20"/>
                <w:color w:val="auto"/>
              </w:rPr>
            </w:pPr>
            <w:r>
              <w:rPr>
                <w:rFonts w:ascii="Arial" w:cs="Arial" w:eastAsia="Arial" w:hAnsi="Arial"/>
                <w:sz w:val="12"/>
                <w:szCs w:val="12"/>
                <w:color w:val="auto"/>
              </w:rPr>
              <w:t>Vested</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(1,165,137</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19.54</w:t>
            </w:r>
          </w:p>
        </w:tc>
      </w:tr>
      <w:tr>
        <w:trPr>
          <w:trHeight w:val="178"/>
        </w:trPr>
        <w:tc>
          <w:tcPr>
            <w:tcW w:w="50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Balance, December 31, 2008</w:t>
            </w:r>
          </w:p>
        </w:tc>
        <w:tc>
          <w:tcPr>
            <w:tcW w:w="8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gridSpan w:val="2"/>
            <w:shd w:val="clear" w:color="auto" w:fill="CCEEFF"/>
          </w:tcPr>
          <w:p>
            <w:pPr>
              <w:spacing w:after="0"/>
              <w:rPr>
                <w:sz w:val="15"/>
                <w:szCs w:val="15"/>
                <w:color w:val="auto"/>
              </w:rPr>
            </w:pPr>
          </w:p>
        </w:tc>
        <w:tc>
          <w:tcPr>
            <w:tcW w:w="1220" w:type="dxa"/>
            <w:vAlign w:val="bottom"/>
            <w:tcBorders>
              <w:top w:val="single" w:sz="8" w:color="auto"/>
            </w:tcBorders>
            <w:gridSpan w:val="2"/>
            <w:shd w:val="clear" w:color="auto" w:fill="CCEEFF"/>
          </w:tcPr>
          <w:p>
            <w:pPr>
              <w:jc w:val="right"/>
              <w:ind w:right="441"/>
              <w:spacing w:after="0"/>
              <w:rPr>
                <w:sz w:val="20"/>
                <w:szCs w:val="20"/>
                <w:color w:val="auto"/>
              </w:rPr>
            </w:pPr>
            <w:r>
              <w:rPr>
                <w:rFonts w:ascii="Arial" w:cs="Arial" w:eastAsia="Arial" w:hAnsi="Arial"/>
                <w:sz w:val="12"/>
                <w:szCs w:val="12"/>
                <w:color w:val="auto"/>
              </w:rPr>
              <w:t>2,252,300</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12.71</w:t>
            </w:r>
          </w:p>
        </w:tc>
        <w:tc>
          <w:tcPr>
            <w:tcW w:w="260" w:type="dxa"/>
            <w:vAlign w:val="bottom"/>
          </w:tcPr>
          <w:p>
            <w:pPr>
              <w:spacing w:after="0"/>
              <w:rPr>
                <w:sz w:val="15"/>
                <w:szCs w:val="15"/>
                <w:color w:val="auto"/>
              </w:rPr>
            </w:pPr>
          </w:p>
        </w:tc>
      </w:tr>
      <w:tr>
        <w:trPr>
          <w:trHeight w:val="171"/>
        </w:trPr>
        <w:tc>
          <w:tcPr>
            <w:tcW w:w="5040" w:type="dxa"/>
            <w:vAlign w:val="bottom"/>
          </w:tcPr>
          <w:p>
            <w:pPr>
              <w:ind w:left="400"/>
              <w:spacing w:after="0"/>
              <w:rPr>
                <w:sz w:val="20"/>
                <w:szCs w:val="20"/>
                <w:color w:val="auto"/>
              </w:rPr>
            </w:pPr>
            <w:r>
              <w:rPr>
                <w:rFonts w:ascii="Arial" w:cs="Arial" w:eastAsia="Arial" w:hAnsi="Arial"/>
                <w:sz w:val="12"/>
                <w:szCs w:val="12"/>
                <w:color w:val="auto"/>
              </w:rPr>
              <w:t>Granted</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1,044,000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color w:val="auto"/>
              </w:rPr>
              <w:t>14.06</w:t>
            </w:r>
          </w:p>
        </w:tc>
        <w:tc>
          <w:tcPr>
            <w:tcW w:w="260" w:type="dxa"/>
            <w:vAlign w:val="bottom"/>
          </w:tcPr>
          <w:p>
            <w:pPr>
              <w:spacing w:after="0"/>
              <w:rPr>
                <w:sz w:val="14"/>
                <w:szCs w:val="14"/>
                <w:color w:val="auto"/>
              </w:rPr>
            </w:pPr>
          </w:p>
        </w:tc>
      </w:tr>
      <w:tr>
        <w:trPr>
          <w:trHeight w:val="189"/>
        </w:trPr>
        <w:tc>
          <w:tcPr>
            <w:tcW w:w="50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Cancelled</w:t>
            </w:r>
          </w:p>
        </w:tc>
        <w:tc>
          <w:tcPr>
            <w:tcW w:w="8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(23,833</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17.61</w:t>
            </w:r>
          </w:p>
        </w:tc>
      </w:tr>
      <w:tr>
        <w:trPr>
          <w:trHeight w:val="171"/>
        </w:trPr>
        <w:tc>
          <w:tcPr>
            <w:tcW w:w="504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Vested</w:t>
            </w:r>
          </w:p>
        </w:tc>
        <w:tc>
          <w:tcPr>
            <w:tcW w:w="8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(1,303,927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2"/>
                <w:szCs w:val="12"/>
                <w:color w:val="auto"/>
              </w:rPr>
              <w:t>17.32</w:t>
            </w:r>
          </w:p>
        </w:tc>
      </w:tr>
      <w:tr>
        <w:trPr>
          <w:trHeight w:val="178"/>
        </w:trPr>
        <w:tc>
          <w:tcPr>
            <w:tcW w:w="5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Balance, December 31, 2009</w:t>
            </w:r>
          </w:p>
        </w:tc>
        <w:tc>
          <w:tcPr>
            <w:tcW w:w="8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1,968,540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13.10</w:t>
            </w:r>
          </w:p>
        </w:tc>
      </w:tr>
      <w:tr>
        <w:trPr>
          <w:trHeight w:val="171"/>
        </w:trPr>
        <w:tc>
          <w:tcPr>
            <w:tcW w:w="5040" w:type="dxa"/>
            <w:vAlign w:val="bottom"/>
          </w:tcPr>
          <w:p>
            <w:pPr>
              <w:ind w:left="400"/>
              <w:spacing w:after="0"/>
              <w:rPr>
                <w:sz w:val="20"/>
                <w:szCs w:val="20"/>
                <w:color w:val="auto"/>
              </w:rPr>
            </w:pPr>
            <w:r>
              <w:rPr>
                <w:rFonts w:ascii="Arial" w:cs="Arial" w:eastAsia="Arial" w:hAnsi="Arial"/>
                <w:sz w:val="12"/>
                <w:szCs w:val="12"/>
                <w:color w:val="auto"/>
              </w:rPr>
              <w:t>Granted</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1,600,820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13.73</w:t>
            </w:r>
          </w:p>
        </w:tc>
      </w:tr>
      <w:tr>
        <w:trPr>
          <w:trHeight w:val="189"/>
        </w:trPr>
        <w:tc>
          <w:tcPr>
            <w:tcW w:w="50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Cancelled</w:t>
            </w:r>
          </w:p>
        </w:tc>
        <w:tc>
          <w:tcPr>
            <w:tcW w:w="8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(5,471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13.33</w:t>
            </w:r>
          </w:p>
        </w:tc>
      </w:tr>
      <w:tr>
        <w:trPr>
          <w:trHeight w:val="171"/>
        </w:trPr>
        <w:tc>
          <w:tcPr>
            <w:tcW w:w="504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Vested</w:t>
            </w:r>
          </w:p>
        </w:tc>
        <w:tc>
          <w:tcPr>
            <w:tcW w:w="8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color w:val="auto"/>
              </w:rPr>
              <w:t>(896,988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2"/>
                <w:szCs w:val="12"/>
                <w:color w:val="auto"/>
              </w:rPr>
              <w:t>13.92</w:t>
            </w:r>
          </w:p>
        </w:tc>
      </w:tr>
      <w:tr>
        <w:trPr>
          <w:trHeight w:val="194"/>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Balance, December 31, 2010</w:t>
            </w:r>
          </w:p>
        </w:tc>
        <w:tc>
          <w:tcPr>
            <w:tcW w:w="8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2,666,901</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13.20</w:t>
            </w:r>
          </w:p>
        </w:tc>
      </w:tr>
      <w:tr>
        <w:trPr>
          <w:trHeight w:val="712"/>
        </w:trPr>
        <w:tc>
          <w:tcPr>
            <w:tcW w:w="5040" w:type="dxa"/>
            <w:vAlign w:val="bottom"/>
          </w:tcPr>
          <w:p>
            <w:pPr>
              <w:spacing w:after="0"/>
              <w:rPr>
                <w:sz w:val="24"/>
                <w:szCs w:val="24"/>
                <w:color w:val="auto"/>
              </w:rPr>
            </w:pPr>
          </w:p>
        </w:tc>
        <w:tc>
          <w:tcPr>
            <w:tcW w:w="820" w:type="dxa"/>
            <w:vAlign w:val="bottom"/>
          </w:tcPr>
          <w:p>
            <w:pPr>
              <w:jc w:val="right"/>
              <w:ind w:right="320"/>
              <w:spacing w:after="0"/>
              <w:rPr>
                <w:sz w:val="20"/>
                <w:szCs w:val="20"/>
                <w:color w:val="auto"/>
              </w:rPr>
            </w:pPr>
            <w:r>
              <w:rPr>
                <w:rFonts w:ascii="Arial" w:cs="Arial" w:eastAsia="Arial" w:hAnsi="Arial"/>
                <w:sz w:val="12"/>
                <w:szCs w:val="12"/>
                <w:color w:val="auto"/>
              </w:rPr>
              <w:t>80</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620"/>
          </w:cols>
          <w:pgMar w:left="1080" w:top="127" w:right="199" w:bottom="1440" w:gutter="0" w:footer="0" w:header="0"/>
        </w:sectPr>
      </w:pPr>
    </w:p>
    <w:bookmarkStart w:id="81" w:name="page82"/>
    <w:bookmarkEnd w:id="81"/>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information related to stock options outstanding and exercisable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55245</wp:posOffset>
            </wp:positionV>
            <wp:extent cx="11430" cy="108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30" cy="1085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238125</wp:posOffset>
            </wp:positionV>
            <wp:extent cx="11430" cy="108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30" cy="10858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4"/>
          </w:tcPr>
          <w:p>
            <w:pPr>
              <w:jc w:val="right"/>
              <w:ind w:right="526"/>
              <w:spacing w:after="0"/>
              <w:rPr>
                <w:sz w:val="20"/>
                <w:szCs w:val="20"/>
                <w:color w:val="auto"/>
              </w:rPr>
            </w:pPr>
            <w:r>
              <w:rPr>
                <w:rFonts w:ascii="Arial" w:cs="Arial" w:eastAsia="Arial" w:hAnsi="Arial"/>
                <w:sz w:val="8"/>
                <w:szCs w:val="8"/>
                <w:b w:val="1"/>
                <w:bCs w:val="1"/>
                <w:color w:val="auto"/>
                <w:w w:val="92"/>
              </w:rPr>
              <w:t>Options Outstanding</w:t>
            </w:r>
          </w:p>
        </w:tc>
        <w:tc>
          <w:tcPr>
            <w:tcW w:w="3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4"/>
          </w:tcPr>
          <w:p>
            <w:pPr>
              <w:ind w:left="140"/>
              <w:spacing w:after="0"/>
              <w:rPr>
                <w:sz w:val="20"/>
                <w:szCs w:val="20"/>
                <w:color w:val="auto"/>
              </w:rPr>
            </w:pPr>
            <w:r>
              <w:rPr>
                <w:rFonts w:ascii="Arial" w:cs="Arial" w:eastAsia="Arial" w:hAnsi="Arial"/>
                <w:sz w:val="8"/>
                <w:szCs w:val="8"/>
                <w:b w:val="1"/>
                <w:bCs w:val="1"/>
                <w:color w:val="auto"/>
              </w:rPr>
              <w:t>Options Exercisable</w:t>
            </w:r>
          </w:p>
        </w:tc>
        <w:tc>
          <w:tcPr>
            <w:tcW w:w="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center"/>
              <w:ind w:left="175"/>
              <w:spacing w:after="0"/>
              <w:rPr>
                <w:sz w:val="20"/>
                <w:szCs w:val="20"/>
                <w:color w:val="auto"/>
              </w:rPr>
            </w:pPr>
            <w:r>
              <w:rPr>
                <w:rFonts w:ascii="Arial" w:cs="Arial" w:eastAsia="Arial" w:hAnsi="Arial"/>
                <w:sz w:val="8"/>
                <w:szCs w:val="8"/>
                <w:b w:val="1"/>
                <w:bCs w:val="1"/>
                <w:color w:val="auto"/>
                <w:w w:val="94"/>
              </w:rPr>
              <w:t>Weighted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center"/>
              <w:ind w:left="175"/>
              <w:spacing w:after="0"/>
              <w:rPr>
                <w:sz w:val="20"/>
                <w:szCs w:val="20"/>
                <w:color w:val="auto"/>
              </w:rPr>
            </w:pPr>
            <w:r>
              <w:rPr>
                <w:rFonts w:ascii="Arial" w:cs="Arial" w:eastAsia="Arial" w:hAnsi="Arial"/>
                <w:sz w:val="8"/>
                <w:szCs w:val="8"/>
                <w:b w:val="1"/>
                <w:bCs w:val="1"/>
                <w:color w:val="auto"/>
                <w:w w:val="94"/>
              </w:rPr>
              <w:t>Weighted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center"/>
              <w:ind w:left="175"/>
              <w:spacing w:after="0"/>
              <w:rPr>
                <w:sz w:val="20"/>
                <w:szCs w:val="20"/>
                <w:color w:val="auto"/>
              </w:rPr>
            </w:pPr>
            <w:r>
              <w:rPr>
                <w:rFonts w:ascii="Arial" w:cs="Arial" w:eastAsia="Arial" w:hAnsi="Arial"/>
                <w:sz w:val="8"/>
                <w:szCs w:val="8"/>
                <w:b w:val="1"/>
                <w:bCs w:val="1"/>
                <w:color w:val="auto"/>
                <w:w w:val="94"/>
              </w:rPr>
              <w:t>Average</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jc w:val="center"/>
              <w:ind w:right="106"/>
              <w:spacing w:after="0"/>
              <w:rPr>
                <w:sz w:val="20"/>
                <w:szCs w:val="20"/>
                <w:color w:val="auto"/>
              </w:rPr>
            </w:pPr>
            <w:r>
              <w:rPr>
                <w:rFonts w:ascii="Arial" w:cs="Arial" w:eastAsia="Arial" w:hAnsi="Arial"/>
                <w:sz w:val="8"/>
                <w:szCs w:val="8"/>
                <w:b w:val="1"/>
                <w:bCs w:val="1"/>
                <w:color w:val="auto"/>
                <w:w w:val="94"/>
              </w:rPr>
              <w:t>Weighted</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center"/>
              <w:ind w:left="175"/>
              <w:spacing w:after="0"/>
              <w:rPr>
                <w:sz w:val="20"/>
                <w:szCs w:val="20"/>
                <w:color w:val="auto"/>
              </w:rPr>
            </w:pPr>
            <w:r>
              <w:rPr>
                <w:rFonts w:ascii="Arial" w:cs="Arial" w:eastAsia="Arial" w:hAnsi="Arial"/>
                <w:sz w:val="8"/>
                <w:szCs w:val="8"/>
                <w:b w:val="1"/>
                <w:bCs w:val="1"/>
                <w:color w:val="auto"/>
                <w:w w:val="94"/>
              </w:rPr>
              <w:t>Average</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4"/>
              </w:rPr>
              <w:t>Weighted</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center"/>
              <w:ind w:left="175"/>
              <w:spacing w:after="0"/>
              <w:rPr>
                <w:sz w:val="20"/>
                <w:szCs w:val="20"/>
                <w:color w:val="auto"/>
              </w:rPr>
            </w:pPr>
            <w:r>
              <w:rPr>
                <w:rFonts w:ascii="Arial" w:cs="Arial" w:eastAsia="Arial" w:hAnsi="Arial"/>
                <w:sz w:val="8"/>
                <w:szCs w:val="8"/>
                <w:b w:val="1"/>
                <w:bCs w:val="1"/>
                <w:color w:val="auto"/>
                <w:w w:val="92"/>
              </w:rPr>
              <w:t>Remaining</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jc w:val="center"/>
              <w:ind w:right="126"/>
              <w:spacing w:after="0"/>
              <w:rPr>
                <w:sz w:val="20"/>
                <w:szCs w:val="20"/>
                <w:color w:val="auto"/>
              </w:rPr>
            </w:pPr>
            <w:r>
              <w:rPr>
                <w:rFonts w:ascii="Arial" w:cs="Arial" w:eastAsia="Arial" w:hAnsi="Arial"/>
                <w:sz w:val="8"/>
                <w:szCs w:val="8"/>
                <w:b w:val="1"/>
                <w:bCs w:val="1"/>
                <w:color w:val="auto"/>
                <w:w w:val="88"/>
              </w:rPr>
              <w:t>Average</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center"/>
              <w:ind w:left="155"/>
              <w:spacing w:after="0"/>
              <w:rPr>
                <w:sz w:val="20"/>
                <w:szCs w:val="20"/>
                <w:color w:val="auto"/>
              </w:rPr>
            </w:pPr>
            <w:r>
              <w:rPr>
                <w:rFonts w:ascii="Arial" w:cs="Arial" w:eastAsia="Arial" w:hAnsi="Arial"/>
                <w:sz w:val="8"/>
                <w:szCs w:val="8"/>
                <w:b w:val="1"/>
                <w:bCs w:val="1"/>
                <w:color w:val="auto"/>
                <w:w w:val="97"/>
              </w:rPr>
              <w:t>Remaining</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8"/>
                <w:szCs w:val="8"/>
                <w:color w:val="auto"/>
                <w:w w:val="93"/>
              </w:rPr>
              <w:t>Average</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gridSpan w:val="3"/>
          </w:tcPr>
          <w:p>
            <w:pPr>
              <w:spacing w:after="0"/>
              <w:rPr>
                <w:sz w:val="20"/>
                <w:szCs w:val="20"/>
                <w:color w:val="auto"/>
              </w:rPr>
            </w:pPr>
            <w:r>
              <w:rPr>
                <w:rFonts w:ascii="Arial" w:cs="Arial" w:eastAsia="Arial" w:hAnsi="Arial"/>
                <w:sz w:val="8"/>
                <w:szCs w:val="8"/>
                <w:b w:val="1"/>
                <w:bCs w:val="1"/>
                <w:color w:val="auto"/>
              </w:rPr>
              <w:t>Range of</w:t>
            </w:r>
          </w:p>
        </w:tc>
        <w:tc>
          <w:tcPr>
            <w:tcW w:w="1020" w:type="dxa"/>
            <w:vAlign w:val="bottom"/>
          </w:tcPr>
          <w:p>
            <w:pPr>
              <w:jc w:val="right"/>
              <w:ind w:right="144"/>
              <w:spacing w:after="0"/>
              <w:rPr>
                <w:sz w:val="20"/>
                <w:szCs w:val="20"/>
                <w:color w:val="auto"/>
              </w:rPr>
            </w:pPr>
            <w:r>
              <w:rPr>
                <w:rFonts w:ascii="Arial" w:cs="Arial" w:eastAsia="Arial" w:hAnsi="Arial"/>
                <w:sz w:val="8"/>
                <w:szCs w:val="8"/>
                <w:b w:val="1"/>
                <w:bCs w:val="1"/>
                <w:color w:val="auto"/>
              </w:rPr>
              <w:t>Number of</w:t>
            </w:r>
          </w:p>
        </w:tc>
        <w:tc>
          <w:tcPr>
            <w:tcW w:w="300" w:type="dxa"/>
            <w:vAlign w:val="bottom"/>
          </w:tcPr>
          <w:p>
            <w:pPr>
              <w:spacing w:after="0"/>
              <w:rPr>
                <w:sz w:val="15"/>
                <w:szCs w:val="15"/>
                <w:color w:val="auto"/>
              </w:rPr>
            </w:pPr>
          </w:p>
        </w:tc>
        <w:tc>
          <w:tcPr>
            <w:tcW w:w="760" w:type="dxa"/>
            <w:vAlign w:val="bottom"/>
          </w:tcPr>
          <w:p>
            <w:pPr>
              <w:jc w:val="center"/>
              <w:ind w:left="175"/>
              <w:spacing w:after="0"/>
              <w:rPr>
                <w:sz w:val="20"/>
                <w:szCs w:val="20"/>
                <w:color w:val="auto"/>
              </w:rPr>
            </w:pPr>
            <w:r>
              <w:rPr>
                <w:rFonts w:ascii="Arial" w:cs="Arial" w:eastAsia="Arial" w:hAnsi="Arial"/>
                <w:sz w:val="8"/>
                <w:szCs w:val="8"/>
                <w:b w:val="1"/>
                <w:bCs w:val="1"/>
                <w:color w:val="auto"/>
                <w:w w:val="94"/>
              </w:rPr>
              <w:t>Contractual</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jc w:val="center"/>
              <w:ind w:right="106"/>
              <w:spacing w:after="0"/>
              <w:rPr>
                <w:sz w:val="20"/>
                <w:szCs w:val="20"/>
                <w:color w:val="auto"/>
              </w:rPr>
            </w:pPr>
            <w:r>
              <w:rPr>
                <w:rFonts w:ascii="Arial" w:cs="Arial" w:eastAsia="Arial" w:hAnsi="Arial"/>
                <w:sz w:val="8"/>
                <w:szCs w:val="8"/>
                <w:b w:val="1"/>
                <w:bCs w:val="1"/>
                <w:color w:val="auto"/>
                <w:w w:val="91"/>
              </w:rPr>
              <w:t>Exercise</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8"/>
                <w:szCs w:val="8"/>
                <w:b w:val="1"/>
                <w:bCs w:val="1"/>
                <w:color w:val="auto"/>
              </w:rPr>
              <w:t>Intrinsic</w:t>
            </w:r>
          </w:p>
        </w:tc>
        <w:tc>
          <w:tcPr>
            <w:tcW w:w="1020" w:type="dxa"/>
            <w:vAlign w:val="bottom"/>
          </w:tcPr>
          <w:p>
            <w:pPr>
              <w:jc w:val="right"/>
              <w:ind w:right="144"/>
              <w:spacing w:after="0"/>
              <w:rPr>
                <w:sz w:val="20"/>
                <w:szCs w:val="20"/>
                <w:color w:val="auto"/>
              </w:rPr>
            </w:pPr>
            <w:r>
              <w:rPr>
                <w:rFonts w:ascii="Arial" w:cs="Arial" w:eastAsia="Arial" w:hAnsi="Arial"/>
                <w:sz w:val="8"/>
                <w:szCs w:val="8"/>
                <w:b w:val="1"/>
                <w:bCs w:val="1"/>
                <w:color w:val="auto"/>
              </w:rPr>
              <w:t>Number of</w:t>
            </w:r>
          </w:p>
        </w:tc>
        <w:tc>
          <w:tcPr>
            <w:tcW w:w="300" w:type="dxa"/>
            <w:vAlign w:val="bottom"/>
          </w:tcPr>
          <w:p>
            <w:pPr>
              <w:spacing w:after="0"/>
              <w:rPr>
                <w:sz w:val="15"/>
                <w:szCs w:val="15"/>
                <w:color w:val="auto"/>
              </w:rPr>
            </w:pPr>
          </w:p>
        </w:tc>
        <w:tc>
          <w:tcPr>
            <w:tcW w:w="720" w:type="dxa"/>
            <w:vAlign w:val="bottom"/>
          </w:tcPr>
          <w:p>
            <w:pPr>
              <w:jc w:val="center"/>
              <w:ind w:left="155"/>
              <w:spacing w:after="0"/>
              <w:rPr>
                <w:sz w:val="20"/>
                <w:szCs w:val="20"/>
                <w:color w:val="auto"/>
              </w:rPr>
            </w:pPr>
            <w:r>
              <w:rPr>
                <w:rFonts w:ascii="Arial" w:cs="Arial" w:eastAsia="Arial" w:hAnsi="Arial"/>
                <w:sz w:val="8"/>
                <w:szCs w:val="8"/>
                <w:b w:val="1"/>
                <w:bCs w:val="1"/>
                <w:color w:val="auto"/>
                <w:w w:val="98"/>
              </w:rPr>
              <w:t>Contractual</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1"/>
              </w:rPr>
              <w:t>Exercise</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Intrinsic</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0" w:type="dxa"/>
            <w:vAlign w:val="bottom"/>
            <w:vMerge w:val="restart"/>
          </w:tcPr>
          <w:p>
            <w:pPr>
              <w:spacing w:after="0"/>
              <w:rPr>
                <w:sz w:val="20"/>
                <w:szCs w:val="20"/>
                <w:color w:val="auto"/>
              </w:rPr>
            </w:pPr>
            <w:r>
              <w:rPr>
                <w:rFonts w:ascii="Arial" w:cs="Arial" w:eastAsia="Arial" w:hAnsi="Arial"/>
                <w:sz w:val="8"/>
                <w:szCs w:val="8"/>
                <w:b w:val="1"/>
                <w:bCs w:val="1"/>
                <w:color w:val="auto"/>
                <w:w w:val="83"/>
              </w:rPr>
              <w:t>Prices</w:t>
            </w:r>
          </w:p>
        </w:tc>
        <w:tc>
          <w:tcPr>
            <w:tcW w:w="520" w:type="dxa"/>
            <w:vAlign w:val="bottom"/>
            <w:gridSpan w:val="3"/>
          </w:tcPr>
          <w:p>
            <w:pPr>
              <w:spacing w:after="0"/>
              <w:rPr>
                <w:sz w:val="20"/>
                <w:szCs w:val="20"/>
                <w:color w:val="auto"/>
              </w:rPr>
            </w:pPr>
            <w:r>
              <w:rPr>
                <w:rFonts w:ascii="Arial" w:cs="Arial" w:eastAsia="Arial" w:hAnsi="Arial"/>
                <w:sz w:val="8"/>
                <w:szCs w:val="8"/>
                <w:b w:val="1"/>
                <w:bCs w:val="1"/>
                <w:color w:val="auto"/>
              </w:rPr>
              <w:t>Exercise</w:t>
            </w:r>
          </w:p>
        </w:tc>
        <w:tc>
          <w:tcPr>
            <w:tcW w:w="1020" w:type="dxa"/>
            <w:vAlign w:val="bottom"/>
            <w:vMerge w:val="restart"/>
          </w:tcPr>
          <w:p>
            <w:pPr>
              <w:jc w:val="right"/>
              <w:ind w:right="204"/>
              <w:spacing w:after="0"/>
              <w:rPr>
                <w:sz w:val="20"/>
                <w:szCs w:val="20"/>
                <w:color w:val="auto"/>
              </w:rPr>
            </w:pPr>
            <w:r>
              <w:rPr>
                <w:rFonts w:ascii="Arial" w:cs="Arial" w:eastAsia="Arial" w:hAnsi="Arial"/>
                <w:sz w:val="8"/>
                <w:szCs w:val="8"/>
                <w:b w:val="1"/>
                <w:bCs w:val="1"/>
                <w:color w:val="auto"/>
              </w:rPr>
              <w:t>Options</w:t>
            </w:r>
          </w:p>
        </w:tc>
        <w:tc>
          <w:tcPr>
            <w:tcW w:w="300" w:type="dxa"/>
            <w:vAlign w:val="bottom"/>
          </w:tcPr>
          <w:p>
            <w:pPr>
              <w:spacing w:after="0"/>
              <w:rPr>
                <w:sz w:val="9"/>
                <w:szCs w:val="9"/>
                <w:color w:val="auto"/>
              </w:rPr>
            </w:pPr>
          </w:p>
        </w:tc>
        <w:tc>
          <w:tcPr>
            <w:tcW w:w="760" w:type="dxa"/>
            <w:vAlign w:val="bottom"/>
            <w:vMerge w:val="restart"/>
          </w:tcPr>
          <w:p>
            <w:pPr>
              <w:jc w:val="center"/>
              <w:ind w:left="175"/>
              <w:spacing w:after="0"/>
              <w:rPr>
                <w:sz w:val="20"/>
                <w:szCs w:val="20"/>
                <w:color w:val="auto"/>
              </w:rPr>
            </w:pPr>
            <w:r>
              <w:rPr>
                <w:rFonts w:ascii="Arial" w:cs="Arial" w:eastAsia="Arial" w:hAnsi="Arial"/>
                <w:sz w:val="8"/>
                <w:szCs w:val="8"/>
                <w:b w:val="1"/>
                <w:bCs w:val="1"/>
                <w:color w:val="auto"/>
                <w:w w:val="98"/>
              </w:rPr>
              <w:t>Life</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vMerge w:val="restart"/>
          </w:tcPr>
          <w:p>
            <w:pPr>
              <w:jc w:val="center"/>
              <w:ind w:right="106"/>
              <w:spacing w:after="0"/>
              <w:rPr>
                <w:sz w:val="20"/>
                <w:szCs w:val="20"/>
                <w:color w:val="auto"/>
              </w:rPr>
            </w:pPr>
            <w:r>
              <w:rPr>
                <w:rFonts w:ascii="Arial" w:cs="Arial" w:eastAsia="Arial" w:hAnsi="Arial"/>
                <w:sz w:val="8"/>
                <w:szCs w:val="8"/>
                <w:b w:val="1"/>
                <w:bCs w:val="1"/>
                <w:color w:val="auto"/>
                <w:w w:val="91"/>
              </w:rPr>
              <w:t>Price</w:t>
            </w: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gridSpan w:val="2"/>
            <w:vMerge w:val="restart"/>
          </w:tcPr>
          <w:p>
            <w:pPr>
              <w:jc w:val="center"/>
              <w:ind w:right="440"/>
              <w:spacing w:after="0"/>
              <w:rPr>
                <w:sz w:val="20"/>
                <w:szCs w:val="20"/>
                <w:color w:val="auto"/>
              </w:rPr>
            </w:pPr>
            <w:r>
              <w:rPr>
                <w:rFonts w:ascii="Arial" w:cs="Arial" w:eastAsia="Arial" w:hAnsi="Arial"/>
                <w:sz w:val="8"/>
                <w:szCs w:val="8"/>
                <w:b w:val="1"/>
                <w:bCs w:val="1"/>
                <w:color w:val="auto"/>
                <w:w w:val="93"/>
              </w:rPr>
              <w:t>Value</w:t>
            </w:r>
          </w:p>
        </w:tc>
        <w:tc>
          <w:tcPr>
            <w:tcW w:w="1020" w:type="dxa"/>
            <w:vAlign w:val="bottom"/>
            <w:vMerge w:val="restart"/>
          </w:tcPr>
          <w:p>
            <w:pPr>
              <w:jc w:val="right"/>
              <w:ind w:right="204"/>
              <w:spacing w:after="0"/>
              <w:rPr>
                <w:sz w:val="20"/>
                <w:szCs w:val="20"/>
                <w:color w:val="auto"/>
              </w:rPr>
            </w:pPr>
            <w:r>
              <w:rPr>
                <w:rFonts w:ascii="Arial" w:cs="Arial" w:eastAsia="Arial" w:hAnsi="Arial"/>
                <w:sz w:val="8"/>
                <w:szCs w:val="8"/>
                <w:b w:val="1"/>
                <w:bCs w:val="1"/>
                <w:color w:val="auto"/>
              </w:rPr>
              <w:t>Options</w:t>
            </w:r>
          </w:p>
        </w:tc>
        <w:tc>
          <w:tcPr>
            <w:tcW w:w="300" w:type="dxa"/>
            <w:vAlign w:val="bottom"/>
          </w:tcPr>
          <w:p>
            <w:pPr>
              <w:spacing w:after="0"/>
              <w:rPr>
                <w:sz w:val="9"/>
                <w:szCs w:val="9"/>
                <w:color w:val="auto"/>
              </w:rPr>
            </w:pPr>
          </w:p>
        </w:tc>
        <w:tc>
          <w:tcPr>
            <w:tcW w:w="720" w:type="dxa"/>
            <w:vAlign w:val="bottom"/>
            <w:vMerge w:val="restart"/>
          </w:tcPr>
          <w:p>
            <w:pPr>
              <w:jc w:val="center"/>
              <w:ind w:left="175"/>
              <w:spacing w:after="0"/>
              <w:rPr>
                <w:sz w:val="20"/>
                <w:szCs w:val="20"/>
                <w:color w:val="auto"/>
              </w:rPr>
            </w:pPr>
            <w:r>
              <w:rPr>
                <w:rFonts w:ascii="Arial" w:cs="Arial" w:eastAsia="Arial" w:hAnsi="Arial"/>
                <w:sz w:val="8"/>
                <w:szCs w:val="8"/>
                <w:b w:val="1"/>
                <w:bCs w:val="1"/>
                <w:color w:val="auto"/>
                <w:w w:val="98"/>
              </w:rPr>
              <w:t>Life</w:t>
            </w: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1"/>
              </w:rPr>
              <w:t>Price</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9"/>
                <w:szCs w:val="9"/>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8"/>
                <w:szCs w:val="8"/>
                <w:b w:val="1"/>
                <w:bCs w:val="1"/>
                <w:color w:val="auto"/>
                <w:w w:val="93"/>
              </w:rPr>
              <w:t>Value</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3"/>
          </w:tcPr>
          <w:p>
            <w:pPr>
              <w:ind w:left="220"/>
              <w:spacing w:after="0"/>
              <w:rPr>
                <w:sz w:val="20"/>
                <w:szCs w:val="20"/>
                <w:color w:val="auto"/>
              </w:rPr>
            </w:pPr>
            <w:r>
              <w:rPr>
                <w:rFonts w:ascii="Arial" w:cs="Arial" w:eastAsia="Arial" w:hAnsi="Arial"/>
                <w:sz w:val="8"/>
                <w:szCs w:val="8"/>
                <w:b w:val="1"/>
                <w:bCs w:val="1"/>
                <w:color w:val="auto"/>
              </w:rPr>
              <w:t>(In millions)</w:t>
            </w: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7"/>
              </w:rPr>
              <w:t>(In millions)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2"/>
                <w:szCs w:val="12"/>
                <w:color w:val="auto"/>
              </w:rPr>
              <w:t>$0.00 —</w:t>
            </w: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 w:type="dxa"/>
            <w:vAlign w:val="bottom"/>
            <w:gridSpan w:val="4"/>
          </w:tcPr>
          <w:p>
            <w:pPr>
              <w:ind w:left="20"/>
              <w:spacing w:after="0"/>
              <w:rPr>
                <w:sz w:val="20"/>
                <w:szCs w:val="20"/>
                <w:color w:val="auto"/>
              </w:rPr>
            </w:pPr>
            <w:r>
              <w:rPr>
                <w:rFonts w:ascii="Arial" w:cs="Arial" w:eastAsia="Arial" w:hAnsi="Arial"/>
                <w:sz w:val="12"/>
                <w:szCs w:val="12"/>
                <w:color w:val="auto"/>
              </w:rPr>
              <w:t>$7.09</w:t>
            </w:r>
          </w:p>
        </w:tc>
        <w:tc>
          <w:tcPr>
            <w:tcW w:w="220" w:type="dxa"/>
            <w:vAlign w:val="bottom"/>
          </w:tcPr>
          <w:p>
            <w:pPr>
              <w:spacing w:after="0"/>
              <w:rPr>
                <w:sz w:val="14"/>
                <w:szCs w:val="14"/>
                <w:color w:val="auto"/>
              </w:rPr>
            </w:pPr>
          </w:p>
        </w:tc>
        <w:tc>
          <w:tcPr>
            <w:tcW w:w="102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6,331,397</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5.38</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6.89</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43.0</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4,332,216</w:t>
            </w:r>
          </w:p>
        </w:tc>
        <w:tc>
          <w:tcPr>
            <w:tcW w:w="1020" w:type="dxa"/>
            <w:vAlign w:val="bottom"/>
            <w:gridSpan w:val="2"/>
            <w:shd w:val="clear" w:color="auto" w:fill="CCEEFF"/>
          </w:tcPr>
          <w:p>
            <w:pPr>
              <w:jc w:val="right"/>
              <w:ind w:right="215"/>
              <w:spacing w:after="0"/>
              <w:rPr>
                <w:sz w:val="20"/>
                <w:szCs w:val="20"/>
                <w:color w:val="auto"/>
              </w:rPr>
            </w:pPr>
            <w:r>
              <w:rPr>
                <w:rFonts w:ascii="Arial" w:cs="Arial" w:eastAsia="Arial" w:hAnsi="Arial"/>
                <w:sz w:val="12"/>
                <w:szCs w:val="12"/>
                <w:color w:val="auto"/>
              </w:rPr>
              <w:t>5.18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6.80</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2"/>
                <w:szCs w:val="12"/>
                <w:color w:val="auto"/>
                <w:w w:val="85"/>
              </w:rPr>
              <w:t>29.8</w:t>
            </w:r>
          </w:p>
        </w:tc>
        <w:tc>
          <w:tcPr>
            <w:tcW w:w="44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2"/>
                <w:szCs w:val="12"/>
                <w:color w:val="auto"/>
              </w:rPr>
              <w:t>$7.10 —</w:t>
            </w: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&lt;</w:t>
            </w: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0" w:type="dxa"/>
            <w:vAlign w:val="bottom"/>
            <w:gridSpan w:val="4"/>
          </w:tcPr>
          <w:p>
            <w:pPr>
              <w:ind w:left="20"/>
              <w:spacing w:after="0"/>
              <w:rPr>
                <w:sz w:val="20"/>
                <w:szCs w:val="20"/>
                <w:color w:val="auto"/>
              </w:rPr>
            </w:pPr>
            <w:r>
              <w:rPr>
                <w:rFonts w:ascii="Arial" w:cs="Arial" w:eastAsia="Arial" w:hAnsi="Arial"/>
                <w:sz w:val="12"/>
                <w:szCs w:val="12"/>
                <w:color w:val="auto"/>
              </w:rPr>
              <w:t>$13.64</w:t>
            </w:r>
          </w:p>
        </w:tc>
        <w:tc>
          <w:tcPr>
            <w:tcW w:w="220" w:type="dxa"/>
            <w:vAlign w:val="bottom"/>
          </w:tcPr>
          <w:p>
            <w:pPr>
              <w:spacing w:after="0"/>
              <w:rPr>
                <w:sz w:val="14"/>
                <w:szCs w:val="14"/>
                <w:color w:val="auto"/>
              </w:rPr>
            </w:pPr>
          </w:p>
        </w:tc>
        <w:tc>
          <w:tcPr>
            <w:tcW w:w="1020" w:type="dxa"/>
            <w:vAlign w:val="bottom"/>
          </w:tcPr>
          <w:p>
            <w:pPr>
              <w:jc w:val="right"/>
              <w:ind w:right="184"/>
              <w:spacing w:after="0"/>
              <w:rPr>
                <w:sz w:val="20"/>
                <w:szCs w:val="20"/>
                <w:color w:val="auto"/>
              </w:rPr>
            </w:pPr>
            <w:r>
              <w:rPr>
                <w:rFonts w:ascii="Arial" w:cs="Arial" w:eastAsia="Arial" w:hAnsi="Arial"/>
                <w:sz w:val="12"/>
                <w:szCs w:val="12"/>
                <w:color w:val="auto"/>
              </w:rPr>
              <w:t>6,880,179</w:t>
            </w:r>
          </w:p>
        </w:tc>
        <w:tc>
          <w:tcPr>
            <w:tcW w:w="1060" w:type="dxa"/>
            <w:vAlign w:val="bottom"/>
            <w:gridSpan w:val="2"/>
          </w:tcPr>
          <w:p>
            <w:pPr>
              <w:ind w:left="540"/>
              <w:spacing w:after="0"/>
              <w:rPr>
                <w:sz w:val="20"/>
                <w:szCs w:val="20"/>
                <w:color w:val="auto"/>
              </w:rPr>
            </w:pPr>
            <w:r>
              <w:rPr>
                <w:rFonts w:ascii="Arial" w:cs="Arial" w:eastAsia="Arial" w:hAnsi="Arial"/>
                <w:sz w:val="12"/>
                <w:szCs w:val="12"/>
                <w:color w:val="auto"/>
              </w:rPr>
              <w:t>3.98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Arial" w:cs="Arial" w:eastAsia="Arial" w:hAnsi="Arial"/>
                <w:sz w:val="12"/>
                <w:szCs w:val="12"/>
                <w:color w:val="auto"/>
              </w:rPr>
              <w:t>13.19</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184"/>
              <w:spacing w:after="0"/>
              <w:rPr>
                <w:sz w:val="20"/>
                <w:szCs w:val="20"/>
                <w:color w:val="auto"/>
              </w:rPr>
            </w:pPr>
            <w:r>
              <w:rPr>
                <w:rFonts w:ascii="Arial" w:cs="Arial" w:eastAsia="Arial" w:hAnsi="Arial"/>
                <w:sz w:val="12"/>
                <w:szCs w:val="12"/>
                <w:color w:val="auto"/>
              </w:rPr>
              <w:t>3.4</w:t>
            </w:r>
          </w:p>
        </w:tc>
        <w:tc>
          <w:tcPr>
            <w:tcW w:w="300" w:type="dxa"/>
            <w:vAlign w:val="bottom"/>
          </w:tcPr>
          <w:p>
            <w:pPr>
              <w:spacing w:after="0"/>
              <w:rPr>
                <w:sz w:val="14"/>
                <w:szCs w:val="14"/>
                <w:color w:val="auto"/>
              </w:rPr>
            </w:pPr>
          </w:p>
        </w:tc>
        <w:tc>
          <w:tcPr>
            <w:tcW w:w="1020" w:type="dxa"/>
            <w:vAlign w:val="bottom"/>
          </w:tcPr>
          <w:p>
            <w:pPr>
              <w:jc w:val="right"/>
              <w:ind w:right="184"/>
              <w:spacing w:after="0"/>
              <w:rPr>
                <w:sz w:val="20"/>
                <w:szCs w:val="20"/>
                <w:color w:val="auto"/>
              </w:rPr>
            </w:pPr>
            <w:r>
              <w:rPr>
                <w:rFonts w:ascii="Arial" w:cs="Arial" w:eastAsia="Arial" w:hAnsi="Arial"/>
                <w:sz w:val="12"/>
                <w:szCs w:val="12"/>
                <w:color w:val="auto"/>
              </w:rPr>
              <w:t>5,578,356</w:t>
            </w:r>
          </w:p>
        </w:tc>
        <w:tc>
          <w:tcPr>
            <w:tcW w:w="1020" w:type="dxa"/>
            <w:vAlign w:val="bottom"/>
            <w:gridSpan w:val="2"/>
          </w:tcPr>
          <w:p>
            <w:pPr>
              <w:jc w:val="right"/>
              <w:ind w:right="215"/>
              <w:spacing w:after="0"/>
              <w:rPr>
                <w:sz w:val="20"/>
                <w:szCs w:val="20"/>
                <w:color w:val="auto"/>
              </w:rPr>
            </w:pPr>
            <w:r>
              <w:rPr>
                <w:rFonts w:ascii="Arial" w:cs="Arial" w:eastAsia="Arial" w:hAnsi="Arial"/>
                <w:sz w:val="12"/>
                <w:szCs w:val="12"/>
                <w:color w:val="auto"/>
              </w:rPr>
              <w:t>3.77</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13.09</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/div&gt;</w:t>
            </w:r>
          </w:p>
        </w:tc>
        <w:tc>
          <w:tcPr>
            <w:tcW w:w="44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spacing w:after="0"/>
              <w:rPr>
                <w:sz w:val="20"/>
                <w:szCs w:val="20"/>
                <w:color w:val="auto"/>
              </w:rPr>
            </w:pPr>
            <w:r>
              <w:rPr>
                <w:rFonts w:ascii="Arial" w:cs="Arial" w:eastAsia="Arial" w:hAnsi="Arial"/>
                <w:sz w:val="12"/>
                <w:szCs w:val="12"/>
                <w:color w:val="auto"/>
                <w:w w:val="95"/>
              </w:rPr>
              <w:t>$13.65 —</w:t>
            </w: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$14.06</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1,129,250;</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5.98</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14.05</w:t>
            </w: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344,430</w:t>
            </w:r>
          </w:p>
        </w:tc>
        <w:tc>
          <w:tcPr>
            <w:tcW w:w="1020" w:type="dxa"/>
            <w:vAlign w:val="bottom"/>
            <w:gridSpan w:val="2"/>
            <w:shd w:val="clear" w:color="auto" w:fill="CCEEFF"/>
          </w:tcPr>
          <w:p>
            <w:pPr>
              <w:jc w:val="right"/>
              <w:ind w:right="215"/>
              <w:spacing w:after="0"/>
              <w:rPr>
                <w:sz w:val="20"/>
                <w:szCs w:val="20"/>
                <w:color w:val="auto"/>
              </w:rPr>
            </w:pPr>
            <w:r>
              <w:rPr>
                <w:rFonts w:ascii="Arial" w:cs="Arial" w:eastAsia="Arial" w:hAnsi="Arial"/>
                <w:sz w:val="12"/>
                <w:szCs w:val="12"/>
                <w:color w:val="auto"/>
              </w:rPr>
              <w:t>5.98</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14.06</w:t>
            </w: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2"/>
                <w:szCs w:val="12"/>
                <w:color w:val="auto"/>
                <w:w w:val="95"/>
              </w:rPr>
              <w:t>$14.07 —</w:t>
            </w: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184"/>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40" w:type="dxa"/>
            <w:vAlign w:val="bottom"/>
            <w:gridSpan w:val="4"/>
            <w:vMerge w:val="restart"/>
          </w:tcPr>
          <w:p>
            <w:pPr>
              <w:ind w:left="20"/>
              <w:spacing w:after="0"/>
              <w:rPr>
                <w:sz w:val="20"/>
                <w:szCs w:val="20"/>
                <w:color w:val="auto"/>
              </w:rPr>
            </w:pPr>
            <w:r>
              <w:rPr>
                <w:rFonts w:ascii="Arial" w:cs="Arial" w:eastAsia="Arial" w:hAnsi="Arial"/>
                <w:sz w:val="12"/>
                <w:szCs w:val="12"/>
                <w:color w:val="auto"/>
              </w:rPr>
              <w:t>$16.16</w:t>
            </w:r>
          </w:p>
        </w:tc>
        <w:tc>
          <w:tcPr>
            <w:tcW w:w="220" w:type="dxa"/>
            <w:vAlign w:val="bottom"/>
          </w:tcPr>
          <w:p>
            <w:pPr>
              <w:spacing w:after="0"/>
              <w:rPr>
                <w:sz w:val="7"/>
                <w:szCs w:val="7"/>
                <w:color w:val="auto"/>
              </w:rPr>
            </w:pPr>
          </w:p>
        </w:tc>
        <w:tc>
          <w:tcPr>
            <w:tcW w:w="1020" w:type="dxa"/>
            <w:vAlign w:val="bottom"/>
            <w:vMerge w:val="restart"/>
          </w:tcPr>
          <w:p>
            <w:pPr>
              <w:jc w:val="right"/>
              <w:ind w:right="184"/>
              <w:spacing w:after="0"/>
              <w:rPr>
                <w:sz w:val="20"/>
                <w:szCs w:val="20"/>
                <w:color w:val="auto"/>
              </w:rPr>
            </w:pPr>
            <w:r>
              <w:rPr>
                <w:rFonts w:ascii="Arial" w:cs="Arial" w:eastAsia="Arial" w:hAnsi="Arial"/>
                <w:sz w:val="12"/>
                <w:szCs w:val="12"/>
                <w:color w:val="auto"/>
              </w:rPr>
              <w:t>1,500,000</w:t>
            </w:r>
          </w:p>
        </w:tc>
        <w:tc>
          <w:tcPr>
            <w:tcW w:w="1060" w:type="dxa"/>
            <w:vAlign w:val="bottom"/>
            <w:gridSpan w:val="2"/>
            <w:vMerge w:val="restart"/>
          </w:tcPr>
          <w:p>
            <w:pPr>
              <w:ind w:left="540"/>
              <w:spacing w:after="0"/>
              <w:rPr>
                <w:sz w:val="20"/>
                <w:szCs w:val="20"/>
                <w:color w:val="auto"/>
              </w:rPr>
            </w:pPr>
            <w:r>
              <w:rPr>
                <w:rFonts w:ascii="Arial" w:cs="Arial" w:eastAsia="Arial" w:hAnsi="Arial"/>
                <w:sz w:val="12"/>
                <w:szCs w:val="12"/>
                <w:color w:val="auto"/>
              </w:rPr>
              <w:t>8.05</w:t>
            </w: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color w:val="auto"/>
              </w:rPr>
              <w:t>16.16</w:t>
            </w: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2"/>
                <w:szCs w:val="12"/>
                <w:color w:val="auto"/>
              </w:rPr>
              <w:t>—</w:t>
            </w:r>
          </w:p>
        </w:tc>
        <w:tc>
          <w:tcPr>
            <w:tcW w:w="10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1"/>
        </w:trPr>
        <w:tc>
          <w:tcPr>
            <w:tcW w:w="54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spacing w:after="0"/>
              <w:rPr>
                <w:sz w:val="20"/>
                <w:szCs w:val="20"/>
                <w:color w:val="auto"/>
              </w:rPr>
            </w:pPr>
            <w:r>
              <w:rPr>
                <w:rFonts w:ascii="Arial" w:cs="Arial" w:eastAsia="Arial" w:hAnsi="Arial"/>
                <w:sz w:val="12"/>
                <w:szCs w:val="12"/>
                <w:color w:val="auto"/>
                <w:w w:val="95"/>
              </w:rPr>
              <w:t>$16.17 —</w:t>
            </w: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$20.60</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2,691,335</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2.21</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17.08</w:t>
            </w:r>
          </w:p>
        </w:tc>
        <w:tc>
          <w:tcPr>
            <w:tcW w:w="30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2,691,335</w:t>
            </w:r>
          </w:p>
        </w:tc>
        <w:tc>
          <w:tcPr>
            <w:tcW w:w="1020" w:type="dxa"/>
            <w:vAlign w:val="bottom"/>
            <w:gridSpan w:val="2"/>
            <w:shd w:val="clear" w:color="auto" w:fill="CCEEFF"/>
          </w:tcPr>
          <w:p>
            <w:pPr>
              <w:jc w:val="right"/>
              <w:ind w:right="215"/>
              <w:spacing w:after="0"/>
              <w:rPr>
                <w:sz w:val="20"/>
                <w:szCs w:val="20"/>
                <w:color w:val="auto"/>
              </w:rPr>
            </w:pPr>
            <w:r>
              <w:rPr>
                <w:rFonts w:ascii="Arial" w:cs="Arial" w:eastAsia="Arial" w:hAnsi="Arial"/>
                <w:sz w:val="12"/>
                <w:szCs w:val="12"/>
                <w:color w:val="auto"/>
              </w:rPr>
              <w:t>2.21</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17.08</w:t>
            </w: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2"/>
                <w:szCs w:val="12"/>
                <w:color w:val="auto"/>
                <w:w w:val="95"/>
              </w:rPr>
              <w:t>$20.61 —</w:t>
            </w: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0" w:type="dxa"/>
            <w:vAlign w:val="bottom"/>
            <w:gridSpan w:val="4"/>
          </w:tcPr>
          <w:p>
            <w:pPr>
              <w:ind w:left="20"/>
              <w:spacing w:after="0"/>
              <w:rPr>
                <w:sz w:val="20"/>
                <w:szCs w:val="20"/>
                <w:color w:val="auto"/>
              </w:rPr>
            </w:pPr>
            <w:r>
              <w:rPr>
                <w:rFonts w:ascii="Arial" w:cs="Arial" w:eastAsia="Arial" w:hAnsi="Arial"/>
                <w:sz w:val="12"/>
                <w:szCs w:val="12"/>
                <w:color w:val="auto"/>
              </w:rPr>
              <w:t>$21.90</w:t>
            </w:r>
          </w:p>
        </w:tc>
        <w:tc>
          <w:tcPr>
            <w:tcW w:w="220" w:type="dxa"/>
            <w:vAlign w:val="bottom"/>
          </w:tcPr>
          <w:p>
            <w:pPr>
              <w:spacing w:after="0"/>
              <w:rPr>
                <w:sz w:val="14"/>
                <w:szCs w:val="14"/>
                <w:color w:val="auto"/>
              </w:rPr>
            </w:pPr>
          </w:p>
        </w:tc>
        <w:tc>
          <w:tcPr>
            <w:tcW w:w="1020" w:type="dxa"/>
            <w:vAlign w:val="bottom"/>
          </w:tcPr>
          <w:p>
            <w:pPr>
              <w:jc w:val="right"/>
              <w:ind w:right="184"/>
              <w:spacing w:after="0"/>
              <w:rPr>
                <w:sz w:val="20"/>
                <w:szCs w:val="20"/>
                <w:color w:val="auto"/>
              </w:rPr>
            </w:pPr>
            <w:r>
              <w:rPr>
                <w:rFonts w:ascii="Arial" w:cs="Arial" w:eastAsia="Arial" w:hAnsi="Arial"/>
                <w:sz w:val="12"/>
                <w:szCs w:val="12"/>
                <w:color w:val="auto"/>
              </w:rPr>
              <w:t>1,680,793</w:t>
            </w:r>
          </w:p>
        </w:tc>
        <w:tc>
          <w:tcPr>
            <w:tcW w:w="1060" w:type="dxa"/>
            <w:vAlign w:val="bottom"/>
            <w:gridSpan w:val="2"/>
          </w:tcPr>
          <w:p>
            <w:pPr>
              <w:ind w:left="540"/>
              <w:spacing w:after="0"/>
              <w:rPr>
                <w:sz w:val="20"/>
                <w:szCs w:val="20"/>
                <w:color w:val="auto"/>
              </w:rPr>
            </w:pPr>
            <w:r>
              <w:rPr>
                <w:rFonts w:ascii="Arial" w:cs="Arial" w:eastAsia="Arial" w:hAnsi="Arial"/>
                <w:sz w:val="12"/>
                <w:szCs w:val="12"/>
                <w:color w:val="auto"/>
              </w:rPr>
              <w:t>4.81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Arial" w:cs="Arial" w:eastAsia="Arial" w:hAnsi="Arial"/>
                <w:sz w:val="12"/>
                <w:szCs w:val="12"/>
                <w:color w:val="auto"/>
              </w:rPr>
              <w:t>21.89</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84"/>
              <w:spacing w:after="0"/>
              <w:rPr>
                <w:sz w:val="20"/>
                <w:szCs w:val="20"/>
                <w:color w:val="auto"/>
              </w:rPr>
            </w:pPr>
            <w:r>
              <w:rPr>
                <w:rFonts w:ascii="Arial" w:cs="Arial" w:eastAsia="Arial" w:hAnsi="Arial"/>
                <w:sz w:val="12"/>
                <w:szCs w:val="12"/>
                <w:color w:val="auto"/>
              </w:rPr>
              <w:t>1,680,793</w:t>
            </w:r>
          </w:p>
        </w:tc>
        <w:tc>
          <w:tcPr>
            <w:tcW w:w="1020" w:type="dxa"/>
            <w:vAlign w:val="bottom"/>
            <w:gridSpan w:val="2"/>
          </w:tcPr>
          <w:p>
            <w:pPr>
              <w:jc w:val="right"/>
              <w:ind w:right="215"/>
              <w:spacing w:after="0"/>
              <w:rPr>
                <w:sz w:val="20"/>
                <w:szCs w:val="20"/>
                <w:color w:val="auto"/>
              </w:rPr>
            </w:pPr>
            <w:r>
              <w:rPr>
                <w:rFonts w:ascii="Arial" w:cs="Arial" w:eastAsia="Arial" w:hAnsi="Arial"/>
                <w:sz w:val="12"/>
                <w:szCs w:val="12"/>
                <w:color w:val="auto"/>
              </w:rPr>
              <w:t>4.81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21.89</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spacing w:after="0"/>
              <w:rPr>
                <w:sz w:val="20"/>
                <w:szCs w:val="20"/>
                <w:color w:val="auto"/>
              </w:rPr>
            </w:pPr>
            <w:r>
              <w:rPr>
                <w:rFonts w:ascii="Arial" w:cs="Arial" w:eastAsia="Arial" w:hAnsi="Arial"/>
                <w:sz w:val="12"/>
                <w:szCs w:val="12"/>
                <w:color w:val="auto"/>
                <w:w w:val="95"/>
              </w:rPr>
              <w:t>$21.91 —</w:t>
            </w:r>
          </w:p>
        </w:tc>
        <w:tc>
          <w:tcPr>
            <w:tcW w:w="10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&amp;</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$23.44</w:t>
            </w:r>
          </w:p>
        </w:tc>
        <w:tc>
          <w:tcPr>
            <w:tcW w:w="2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2"/>
                <w:szCs w:val="12"/>
                <w:color w:val="auto"/>
              </w:rPr>
              <w:t>1,614,000</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ind w:left="240"/>
              <w:spacing w:after="0"/>
              <w:rPr>
                <w:sz w:val="20"/>
                <w:szCs w:val="20"/>
                <w:color w:val="auto"/>
              </w:rPr>
            </w:pPr>
            <w:r>
              <w:rPr>
                <w:rFonts w:ascii="Arial" w:cs="Arial" w:eastAsia="Arial" w:hAnsi="Arial"/>
                <w:sz w:val="12"/>
                <w:szCs w:val="12"/>
                <w:color w:val="auto"/>
                <w:w w:val="94"/>
              </w:rPr>
              <w:t>5.96nbsp;</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2"/>
                <w:szCs w:val="12"/>
                <w:color w:val="auto"/>
              </w:rPr>
              <w:t>23.42</w:t>
            </w:r>
          </w:p>
        </w:tc>
        <w:tc>
          <w:tcPr>
            <w:tcW w:w="3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2"/>
                <w:szCs w:val="12"/>
                <w:color w:val="auto"/>
              </w:rPr>
              <w:t>1,614,000</w:t>
            </w:r>
          </w:p>
        </w:tc>
        <w:tc>
          <w:tcPr>
            <w:tcW w:w="1020" w:type="dxa"/>
            <w:vAlign w:val="bottom"/>
            <w:gridSpan w:val="2"/>
            <w:shd w:val="clear" w:color="auto" w:fill="CCEEFF"/>
          </w:tcPr>
          <w:p>
            <w:pPr>
              <w:jc w:val="right"/>
              <w:ind w:right="215"/>
              <w:spacing w:after="0"/>
              <w:rPr>
                <w:sz w:val="20"/>
                <w:szCs w:val="20"/>
                <w:color w:val="auto"/>
              </w:rPr>
            </w:pPr>
            <w:r>
              <w:rPr>
                <w:rFonts w:ascii="Arial" w:cs="Arial" w:eastAsia="Arial" w:hAnsi="Arial"/>
                <w:sz w:val="12"/>
                <w:szCs w:val="12"/>
                <w:color w:val="auto"/>
              </w:rPr>
              <w:t>5.96</w:t>
            </w:r>
          </w:p>
        </w:tc>
        <w:tc>
          <w:tcPr>
            <w:tcW w:w="28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23.42</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2"/>
                <w:szCs w:val="12"/>
                <w:color w:val="auto"/>
              </w:rPr>
              <w:t>21,826,954</w:t>
            </w:r>
          </w:p>
        </w:tc>
        <w:tc>
          <w:tcPr>
            <w:tcW w:w="1060" w:type="dxa"/>
            <w:vAlign w:val="bottom"/>
            <w:gridSpan w:val="2"/>
          </w:tcPr>
          <w:p>
            <w:pPr>
              <w:jc w:val="right"/>
              <w:ind w:right="275"/>
              <w:spacing w:after="0"/>
              <w:rPr>
                <w:sz w:val="20"/>
                <w:szCs w:val="20"/>
                <w:color w:val="auto"/>
              </w:rPr>
            </w:pPr>
            <w:r>
              <w:rPr>
                <w:rFonts w:ascii="Arial" w:cs="Arial" w:eastAsia="Arial" w:hAnsi="Arial"/>
                <w:sz w:val="12"/>
                <w:szCs w:val="12"/>
                <w:color w:val="auto"/>
              </w:rPr>
              <w:t>4.76</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86"/>
              <w:spacing w:after="0"/>
              <w:rPr>
                <w:sz w:val="20"/>
                <w:szCs w:val="20"/>
                <w:color w:val="auto"/>
              </w:rPr>
            </w:pPr>
            <w:r>
              <w:rPr>
                <w:rFonts w:ascii="Arial" w:cs="Arial" w:eastAsia="Arial" w:hAnsi="Arial"/>
                <w:sz w:val="12"/>
                <w:szCs w:val="12"/>
                <w:color w:val="auto"/>
              </w:rPr>
              <w:t>13.52</w:t>
            </w:r>
          </w:p>
        </w:tc>
        <w:tc>
          <w:tcPr>
            <w:tcW w:w="300" w:type="dxa"/>
            <w:vAlign w:val="bottom"/>
          </w:tcPr>
          <w:p>
            <w:pPr>
              <w:spacing w:after="0"/>
              <w:rPr>
                <w:sz w:val="15"/>
                <w:szCs w:val="15"/>
                <w:color w:val="auto"/>
              </w:rPr>
            </w:pP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184"/>
              <w:spacing w:after="0"/>
              <w:rPr>
                <w:sz w:val="20"/>
                <w:szCs w:val="20"/>
                <w:color w:val="auto"/>
              </w:rPr>
            </w:pPr>
            <w:r>
              <w:rPr>
                <w:rFonts w:ascii="Arial" w:cs="Arial" w:eastAsia="Arial" w:hAnsi="Arial"/>
                <w:sz w:val="12"/>
                <w:szCs w:val="12"/>
                <w:color w:val="auto"/>
              </w:rPr>
              <w:t>46.4</w:t>
            </w:r>
          </w:p>
        </w:tc>
        <w:tc>
          <w:tcPr>
            <w:tcW w:w="300" w:type="dxa"/>
            <w:vAlign w:val="bottom"/>
          </w:tcPr>
          <w:p>
            <w:pPr>
              <w:spacing w:after="0"/>
              <w:rPr>
                <w:sz w:val="15"/>
                <w:szCs w:val="15"/>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2"/>
                <w:szCs w:val="12"/>
                <w:color w:val="auto"/>
              </w:rPr>
              <w:t>16,241,130</w:t>
            </w:r>
          </w:p>
        </w:tc>
        <w:tc>
          <w:tcPr>
            <w:tcW w:w="1020" w:type="dxa"/>
            <w:vAlign w:val="bottom"/>
            <w:gridSpan w:val="2"/>
          </w:tcPr>
          <w:p>
            <w:pPr>
              <w:jc w:val="right"/>
              <w:ind w:right="215"/>
              <w:spacing w:after="0"/>
              <w:rPr>
                <w:sz w:val="20"/>
                <w:szCs w:val="20"/>
                <w:color w:val="auto"/>
              </w:rPr>
            </w:pPr>
            <w:r>
              <w:rPr>
                <w:rFonts w:ascii="Arial" w:cs="Arial" w:eastAsia="Arial" w:hAnsi="Arial"/>
                <w:sz w:val="12"/>
                <w:szCs w:val="12"/>
                <w:color w:val="auto"/>
              </w:rPr>
              <w:t>4.26</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14.03</w:t>
            </w:r>
          </w:p>
        </w:tc>
        <w:tc>
          <w:tcPr>
            <w:tcW w:w="360" w:type="dxa"/>
            <w:vAlign w:val="bottom"/>
          </w:tcPr>
          <w:p>
            <w:pPr>
              <w:spacing w:after="0"/>
              <w:rPr>
                <w:sz w:val="15"/>
                <w:szCs w:val="15"/>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33.1</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account for stock-based compensation plans in accordance with the FASB standard on share-based payments, which requires that compensation cost relating to shar e-based payments be recognized in the consolidated financial statements based on the fair value of each award. Using the fair value method of accounting, compensation cost is measured based on the fair value of the award at the grant date and recognized over the service period. Net earnings reflects stock-based compensation expense amounts of $25.1 million, $33.7 million, and $32.7 million, for the years end ed December 31, 2010, 2009, and 2008, respectively, which are included in personnel costs in the reported financial results of each period.</w:t>
      </w:r>
    </w:p>
    <w:p>
      <w:pPr>
        <w:spacing w:after="0" w:line="125" w:lineRule="exact"/>
        <w:rPr>
          <w:sz w:val="20"/>
          <w:szCs w:val="20"/>
          <w:color w:val="auto"/>
        </w:rPr>
      </w:pPr>
    </w:p>
    <w:p>
      <w:pPr>
        <w:jc w:val="both"/>
        <w:ind w:firstLine="216"/>
        <w:spacing w:after="0" w:line="327" w:lineRule="auto"/>
        <w:rPr>
          <w:sz w:val="20"/>
          <w:szCs w:val="20"/>
          <w:color w:val="auto"/>
        </w:rPr>
      </w:pPr>
      <w:r>
        <w:rPr>
          <w:rFonts w:ascii="Arial" w:cs="Arial" w:eastAsia="Arial" w:hAnsi="Arial"/>
          <w:sz w:val="10"/>
          <w:szCs w:val="10"/>
          <w:color w:val="auto"/>
        </w:rPr>
        <w:t>The risk free interest rates used in the calculation of compensation cost are the rates that correspond to the weighted average expected life of an option. The volatility was estimated based on the historical volatility of FNF’s stock price over a term equal to the weighted average expected life of the options. For options granted in the years ended December 31, 2010, 2009, and 2008, we u sed risk free interest rates of 2.0%, 2.5%, and 2.5%, respectively; volatility factors for the expected market price of the common stock of 57%, 53%, and 40%, respectively; expected dividend yields of 5.0%, 3.9%, and 4.0%, respectively; and weighted avera ge expected lives of 4.4 years, 4.8 years, and 5.0 years, respectively. The weighted average fair value of each option granted in the years ended December 31, 2010, 2009, and 2008, were $4.57, $5.32, and $1.87, respectively.</w:t>
      </w:r>
    </w:p>
    <w:p>
      <w:pPr>
        <w:spacing w:after="0" w:line="9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At December 31, 2010, the total unrecognized compensation cost related to non-vested stock option grants and restricted stock grants is $45.5 million, which is expected to be recognized in pre-tax income over a weighted average period of 1.58 years.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Pension Plans</w:t>
      </w:r>
    </w:p>
    <w:p>
      <w:pPr>
        <w:spacing w:after="0" w:line="15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In connection with the Chicago Title merger, we assumed Chicago Title’s noncontributory defined contribution plan and noncontributory defined benefit pension plan (the “Pension Plan”). 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 nefit obligation due to the pension plan being frozen as of December 31, 2000. Pursuant to the FASB standard on employers’ accounting for defined benefit pension and other post retirement plans, the measurement date is December 31.</w:t>
      </w:r>
    </w:p>
    <w:p>
      <w:pPr>
        <w:spacing w:after="0" w:line="126"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The net pension liability included in accounts payable and accrued liabilities as of December 31, 2010, and 2009 is $22.0 million and $27.6 million, respectively. The discount rate used to determine the benefit obligation as of the years ending December 31, 2010 and 2009 was 5.04% and 5.61%, respectively. As of the years ending December 31, 2010 and 2009 the net benefit obligation was $158.1 million and $152.2 million, respectively, and the fair value of plan assets was $136.1 million and $124.6 million, respectively. The net periodic expense included in the results of operations relating to these plans was $7.4 million, $5.6 million, and $3.8 million for the years ending December 31, 2010, 2009, and 2008, respectively.</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620"/>
          </w:cols>
          <w:pgMar w:left="1080" w:top="126" w:right="199" w:bottom="1440" w:gutter="0" w:footer="0" w:header="0"/>
        </w:sectPr>
      </w:pPr>
    </w:p>
    <w:bookmarkStart w:id="82" w:name="page83"/>
    <w:bookmarkEnd w:id="82"/>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Postretirement and Other Nonqualified Employee Benefit Plans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We assumed certain health care and life insurance benefits for retired Chicago Title employees in connection with the Chicago Title merger. Beginning on January 1, 2001, these benefits were offered to all employees who met specific eligibility requirements. Additionally, in connection with the acquisition of the LFG Underwriters, we assumed certain of the LFG Underwriters nonqualified benefit plans, which provide various postretirement benefits to certain executives and retirees. The costs of these benefit plans are accrued during the periods the employees render service. We are both self-insured and fully insured for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 The aggregate benefit obligation for these plans was $26.0 million and $35.9 million at December 31, 2010 and 2009, respectively. The net (benefit) costs included in the results of operations relating to these plans were $(1. 3) million, $1.7 million, and $1.5 million for the years ending December 31, 2010, 2009, and 2008, respectively.</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Note O.</w:t>
      </w:r>
      <w:r>
        <w:rPr>
          <w:sz w:val="20"/>
          <w:szCs w:val="20"/>
          <w:color w:val="auto"/>
        </w:rPr>
        <w:tab/>
      </w:r>
      <w:r>
        <w:rPr>
          <w:rFonts w:ascii="Arial" w:cs="Arial" w:eastAsia="Arial" w:hAnsi="Arial"/>
          <w:sz w:val="10"/>
          <w:szCs w:val="10"/>
          <w:b w:val="1"/>
          <w:bCs w:val="1"/>
          <w:color w:val="auto"/>
        </w:rPr>
        <w:t>Supplementary Cash Flow Information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supplemental cash flow information is provided with respect to interest and tax payments , as well as certain non-cash investing and financing activities.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3"/>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35"/>
        </w:trPr>
        <w:tc>
          <w:tcPr>
            <w:tcW w:w="56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165"/>
        </w:trPr>
        <w:tc>
          <w:tcPr>
            <w:tcW w:w="56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2010</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2009</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2008</w:t>
            </w:r>
          </w:p>
        </w:tc>
        <w:tc>
          <w:tcPr>
            <w:tcW w:w="160" w:type="dxa"/>
            <w:vAlign w:val="bottom"/>
            <w:tcBorders>
              <w:bottom w:val="single" w:sz="8" w:color="auto"/>
            </w:tcBorders>
          </w:tcPr>
          <w:p>
            <w:pPr>
              <w:spacing w:after="0"/>
              <w:rPr>
                <w:sz w:val="14"/>
                <w:szCs w:val="14"/>
                <w:color w:val="auto"/>
              </w:rPr>
            </w:pPr>
          </w:p>
        </w:tc>
      </w:tr>
      <w:tr>
        <w:trPr>
          <w:trHeight w:val="160"/>
        </w:trPr>
        <w:tc>
          <w:tcPr>
            <w:tcW w:w="5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(Dollars 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4"/>
        </w:trPr>
        <w:tc>
          <w:tcPr>
            <w:tcW w:w="5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paid (received) during the year:</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71"/>
        </w:trPr>
        <w:tc>
          <w:tcPr>
            <w:tcW w:w="5640" w:type="dxa"/>
            <w:vAlign w:val="bottom"/>
          </w:tcPr>
          <w:p>
            <w:pPr>
              <w:ind w:left="240"/>
              <w:spacing w:after="0"/>
              <w:rPr>
                <w:sz w:val="20"/>
                <w:szCs w:val="20"/>
                <w:color w:val="auto"/>
              </w:rPr>
            </w:pPr>
            <w:r>
              <w:rPr>
                <w:rFonts w:ascii="Arial" w:cs="Arial" w:eastAsia="Arial" w:hAnsi="Arial"/>
                <w:sz w:val="12"/>
                <w:szCs w:val="12"/>
                <w:color w:val="auto"/>
              </w:rPr>
              <w:t>Interest</w:t>
            </w:r>
          </w:p>
        </w:tc>
        <w:tc>
          <w:tcPr>
            <w:tcW w:w="4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82"/>
              <w:spacing w:after="0"/>
              <w:rPr>
                <w:sz w:val="20"/>
                <w:szCs w:val="20"/>
                <w:color w:val="auto"/>
              </w:rPr>
            </w:pPr>
            <w:r>
              <w:rPr>
                <w:rFonts w:ascii="Arial" w:cs="Arial" w:eastAsia="Arial" w:hAnsi="Arial"/>
                <w:sz w:val="12"/>
                <w:szCs w:val="12"/>
                <w:color w:val="auto"/>
              </w:rPr>
              <w:t>41.5</w:t>
            </w:r>
          </w:p>
        </w:tc>
        <w:tc>
          <w:tcPr>
            <w:tcW w:w="3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44"/>
              <w:spacing w:after="0"/>
              <w:rPr>
                <w:sz w:val="20"/>
                <w:szCs w:val="20"/>
                <w:color w:val="auto"/>
              </w:rPr>
            </w:pPr>
            <w:r>
              <w:rPr>
                <w:rFonts w:ascii="Arial" w:cs="Arial" w:eastAsia="Arial" w:hAnsi="Arial"/>
                <w:sz w:val="12"/>
                <w:szCs w:val="12"/>
                <w:color w:val="auto"/>
              </w:rPr>
              <w:t>51.3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64.4</w:t>
            </w:r>
          </w:p>
        </w:tc>
        <w:tc>
          <w:tcPr>
            <w:tcW w:w="160" w:type="dxa"/>
            <w:vAlign w:val="bottom"/>
          </w:tcPr>
          <w:p>
            <w:pPr>
              <w:spacing w:after="0"/>
              <w:rPr>
                <w:sz w:val="14"/>
                <w:szCs w:val="14"/>
                <w:color w:val="auto"/>
              </w:rPr>
            </w:pPr>
          </w:p>
        </w:tc>
      </w:tr>
      <w:tr>
        <w:trPr>
          <w:trHeight w:val="189"/>
        </w:trPr>
        <w:tc>
          <w:tcPr>
            <w:tcW w:w="5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taxes</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33.8</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(37.4</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640" w:type="dxa"/>
            <w:vAlign w:val="bottom"/>
          </w:tcPr>
          <w:p>
            <w:pPr>
              <w:ind w:left="240"/>
              <w:spacing w:after="0"/>
              <w:rPr>
                <w:sz w:val="20"/>
                <w:szCs w:val="20"/>
                <w:color w:val="auto"/>
              </w:rPr>
            </w:pPr>
            <w:r>
              <w:rPr>
                <w:rFonts w:ascii="Arial" w:cs="Arial" w:eastAsia="Arial" w:hAnsi="Arial"/>
                <w:sz w:val="12"/>
                <w:szCs w:val="12"/>
                <w:color w:val="auto"/>
              </w:rPr>
              <w:t>Non-cash investing and financing activities: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9"/>
        </w:trPr>
        <w:tc>
          <w:tcPr>
            <w:tcW w:w="5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Liabilities assumed in connection with acquisitions:</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97"/>
        </w:trPr>
        <w:tc>
          <w:tcPr>
            <w:tcW w:w="5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2"/>
                <w:szCs w:val="12"/>
                <w:color w:val="auto"/>
              </w:rPr>
              <w:t>&lt;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1"/>
        </w:trPr>
        <w:tc>
          <w:tcPr>
            <w:tcW w:w="5640" w:type="dxa"/>
            <w:vAlign w:val="bottom"/>
          </w:tcPr>
          <w:p>
            <w:pPr>
              <w:ind w:left="240"/>
              <w:spacing w:after="0"/>
              <w:rPr>
                <w:sz w:val="20"/>
                <w:szCs w:val="20"/>
                <w:color w:val="auto"/>
              </w:rPr>
            </w:pPr>
            <w:r>
              <w:rPr>
                <w:rFonts w:ascii="Arial" w:cs="Arial" w:eastAsia="Arial" w:hAnsi="Arial"/>
                <w:sz w:val="12"/>
                <w:szCs w:val="12"/>
                <w:color w:val="auto"/>
              </w:rPr>
              <w:t>Fair value of assets acquired</w:t>
            </w:r>
          </w:p>
        </w:tc>
        <w:tc>
          <w:tcPr>
            <w:tcW w:w="4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82"/>
              <w:spacing w:after="0"/>
              <w:rPr>
                <w:sz w:val="20"/>
                <w:szCs w:val="20"/>
                <w:color w:val="auto"/>
              </w:rPr>
            </w:pPr>
            <w:r>
              <w:rPr>
                <w:rFonts w:ascii="Arial" w:cs="Arial" w:eastAsia="Arial" w:hAnsi="Arial"/>
                <w:sz w:val="12"/>
                <w:szCs w:val="12"/>
                <w:color w:val="auto"/>
              </w:rPr>
              <w:t>16.7</w:t>
            </w:r>
          </w:p>
        </w:tc>
        <w:tc>
          <w:tcPr>
            <w:tcW w:w="320" w:type="dxa"/>
            <w:vAlign w:val="bottom"/>
          </w:tcPr>
          <w:p>
            <w:pPr>
              <w:ind w:left="20"/>
              <w:spacing w:after="0"/>
              <w:rPr>
                <w:sz w:val="20"/>
                <w:szCs w:val="20"/>
                <w:color w:val="auto"/>
              </w:rPr>
            </w:pPr>
            <w:r>
              <w:rPr>
                <w:rFonts w:ascii="Arial" w:cs="Arial" w:eastAsia="Arial" w:hAnsi="Arial"/>
                <w:sz w:val="12"/>
                <w:szCs w:val="12"/>
                <w:color w:val="auto"/>
              </w:rPr>
              <w:t>/td&gt;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44"/>
              <w:spacing w:after="0"/>
              <w:rPr>
                <w:sz w:val="20"/>
                <w:szCs w:val="20"/>
                <w:color w:val="auto"/>
              </w:rPr>
            </w:pPr>
            <w:r>
              <w:rPr>
                <w:rFonts w:ascii="Arial" w:cs="Arial" w:eastAsia="Arial" w:hAnsi="Arial"/>
                <w:sz w:val="12"/>
                <w:szCs w:val="12"/>
                <w:color w:val="auto"/>
              </w:rPr>
              <w:t>77.4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2"/>
              <w:spacing w:after="0"/>
              <w:rPr>
                <w:sz w:val="20"/>
                <w:szCs w:val="20"/>
                <w:color w:val="auto"/>
              </w:rPr>
            </w:pPr>
            <w:r>
              <w:rPr>
                <w:rFonts w:ascii="Arial" w:cs="Arial" w:eastAsia="Arial" w:hAnsi="Arial"/>
                <w:sz w:val="12"/>
                <w:szCs w:val="12"/>
                <w:color w:val="auto"/>
              </w:rPr>
              <w:t>1,645.4</w:t>
            </w:r>
          </w:p>
        </w:tc>
        <w:tc>
          <w:tcPr>
            <w:tcW w:w="160" w:type="dxa"/>
            <w:vAlign w:val="bottom"/>
          </w:tcPr>
          <w:p>
            <w:pPr>
              <w:spacing w:after="0"/>
              <w:rPr>
                <w:sz w:val="14"/>
                <w:szCs w:val="14"/>
                <w:color w:val="auto"/>
              </w:rPr>
            </w:pPr>
          </w:p>
        </w:tc>
      </w:tr>
      <w:tr>
        <w:trPr>
          <w:trHeight w:val="171"/>
        </w:trPr>
        <w:tc>
          <w:tcPr>
            <w:tcW w:w="56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Less: Total purchase price</w:t>
            </w:r>
          </w:p>
        </w:tc>
        <w:tc>
          <w:tcPr>
            <w:tcW w:w="4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rPr>
              <w:t>11.0</w:t>
            </w:r>
          </w:p>
        </w:tc>
        <w:tc>
          <w:tcPr>
            <w:tcW w:w="3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2"/>
                <w:szCs w:val="12"/>
                <w:color w:val="auto"/>
              </w:rPr>
              <w:t>47.9</w:t>
            </w:r>
          </w:p>
        </w:tc>
        <w:tc>
          <w:tcPr>
            <w:tcW w:w="8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243.2</w:t>
            </w:r>
          </w:p>
        </w:tc>
        <w:tc>
          <w:tcPr>
            <w:tcW w:w="160" w:type="dxa"/>
            <w:vAlign w:val="bottom"/>
            <w:tcBorders>
              <w:bottom w:val="single" w:sz="8" w:color="auto"/>
            </w:tcBorders>
            <w:shd w:val="clear" w:color="auto" w:fill="CCEEFF"/>
          </w:tcPr>
          <w:p>
            <w:pPr>
              <w:spacing w:after="0"/>
              <w:rPr>
                <w:sz w:val="14"/>
                <w:szCs w:val="14"/>
                <w:color w:val="auto"/>
              </w:rPr>
            </w:pPr>
          </w:p>
        </w:tc>
      </w:tr>
      <w:tr>
        <w:trPr>
          <w:trHeight w:val="185"/>
        </w:trPr>
        <w:tc>
          <w:tcPr>
            <w:tcW w:w="5640" w:type="dxa"/>
            <w:vAlign w:val="bottom"/>
          </w:tcPr>
          <w:p>
            <w:pPr>
              <w:ind w:left="240"/>
              <w:spacing w:after="0"/>
              <w:rPr>
                <w:sz w:val="20"/>
                <w:szCs w:val="20"/>
                <w:color w:val="auto"/>
              </w:rPr>
            </w:pPr>
            <w:r>
              <w:rPr>
                <w:rFonts w:ascii="Arial" w:cs="Arial" w:eastAsia="Arial" w:hAnsi="Arial"/>
                <w:sz w:val="12"/>
                <w:szCs w:val="12"/>
                <w:color w:val="auto"/>
              </w:rPr>
              <w:t>Liabilities assumed</w:t>
            </w:r>
          </w:p>
        </w:tc>
        <w:tc>
          <w:tcPr>
            <w:tcW w:w="4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5.7</w:t>
            </w:r>
          </w:p>
        </w:tc>
        <w:tc>
          <w:tcPr>
            <w:tcW w:w="32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color w:val="auto"/>
              </w:rPr>
              <w:t>29.5</w:t>
            </w:r>
          </w:p>
        </w:tc>
        <w:tc>
          <w:tcPr>
            <w:tcW w:w="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1,402.2</w:t>
            </w:r>
          </w:p>
        </w:tc>
        <w:tc>
          <w:tcPr>
            <w:tcW w:w="16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Note P.</w:t>
      </w:r>
      <w:r>
        <w:rPr>
          <w:sz w:val="20"/>
          <w:szCs w:val="20"/>
          <w:color w:val="auto"/>
        </w:rPr>
        <w:tab/>
      </w:r>
      <w:r>
        <w:rPr>
          <w:rFonts w:ascii="Arial" w:cs="Arial" w:eastAsia="Arial" w:hAnsi="Arial"/>
          <w:sz w:val="10"/>
          <w:szCs w:val="10"/>
          <w:b w:val="1"/>
          <w:bCs w:val="1"/>
          <w:color w:val="auto"/>
        </w:rPr>
        <w:t>Financial Instruments with Off-Balance Sheet Risk and Concentration of Risk</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 the normal course of business we and certain of our subsidiaries enter into off-balance sheet credit arrangements associated with certain aspects of the title insurance business and other activities.</w:t>
      </w:r>
    </w:p>
    <w:p>
      <w:pPr>
        <w:spacing w:after="0" w:line="23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generate a sig nificant amount of title insurance premiums in California, Texas, New York and Florida. Title insurance premiums as a percentage of the total title insurance premiums written from those four states are detailed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34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2010</w:t>
            </w: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2009</w:t>
            </w: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2008</w:t>
            </w:r>
          </w:p>
        </w:tc>
        <w:tc>
          <w:tcPr>
            <w:tcW w:w="240" w:type="dxa"/>
            <w:vAlign w:val="bottom"/>
            <w:tcBorders>
              <w:bottom w:val="single" w:sz="8" w:color="auto"/>
            </w:tcBorders>
          </w:tcPr>
          <w:p>
            <w:pPr>
              <w:spacing w:after="0"/>
              <w:rPr>
                <w:sz w:val="11"/>
                <w:szCs w:val="11"/>
                <w:color w:val="auto"/>
              </w:rPr>
            </w:pPr>
          </w:p>
        </w:tc>
      </w:tr>
      <w:tr>
        <w:trPr>
          <w:trHeight w:val="173"/>
        </w:trPr>
        <w:tc>
          <w:tcPr>
            <w:tcW w:w="69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California</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15.7</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17.6</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17.6</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6900" w:type="dxa"/>
            <w:vAlign w:val="bottom"/>
            <w:gridSpan w:val="2"/>
          </w:tcPr>
          <w:p>
            <w:pPr>
              <w:ind w:left="240"/>
              <w:spacing w:after="0"/>
              <w:rPr>
                <w:sz w:val="20"/>
                <w:szCs w:val="20"/>
                <w:color w:val="auto"/>
              </w:rPr>
            </w:pPr>
            <w:r>
              <w:rPr>
                <w:rFonts w:ascii="Arial" w:cs="Arial" w:eastAsia="Arial" w:hAnsi="Arial"/>
                <w:sz w:val="12"/>
                <w:szCs w:val="12"/>
                <w:color w:val="auto"/>
              </w:rPr>
              <w:t>Texas</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11.3</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10.3</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12.5</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69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New York</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6.9</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7.4</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6900" w:type="dxa"/>
            <w:vAlign w:val="bottom"/>
            <w:gridSpan w:val="2"/>
          </w:tcPr>
          <w:p>
            <w:pPr>
              <w:ind w:left="240"/>
              <w:spacing w:after="0"/>
              <w:rPr>
                <w:sz w:val="20"/>
                <w:szCs w:val="20"/>
                <w:color w:val="auto"/>
              </w:rPr>
            </w:pPr>
            <w:r>
              <w:rPr>
                <w:rFonts w:ascii="Arial" w:cs="Arial" w:eastAsia="Arial" w:hAnsi="Arial"/>
                <w:sz w:val="12"/>
                <w:szCs w:val="12"/>
                <w:color w:val="auto"/>
              </w:rPr>
              <w:t>Florida</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6.2</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5.7</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7.7</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5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Financial instruments that potentially subject us to concentrations of credit risk consist primarily of cash equivalents, short-term investments, and trade receivables.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place cash equivalents and short-term investments with high credit quality financial institutions and, by policy, limit the</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620"/>
          </w:cols>
          <w:pgMar w:left="1080" w:top="127" w:right="199" w:bottom="1440" w:gutter="0" w:footer="0" w:header="0"/>
        </w:sectPr>
      </w:pPr>
    </w:p>
    <w:bookmarkStart w:id="83" w:name="page84"/>
    <w:bookmarkEnd w:id="83"/>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amount of credit exposure with any one financial institution. Investments in commercial paper of industrial firms and financial institutions are rated investment grade by nationally recognized rating agencies.</w:t>
      </w:r>
    </w:p>
    <w:p>
      <w:pPr>
        <w:spacing w:after="0" w:line="162"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111"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Note Q.</w:t>
      </w:r>
      <w:r>
        <w:rPr>
          <w:sz w:val="20"/>
          <w:szCs w:val="20"/>
          <w:color w:val="auto"/>
        </w:rPr>
        <w:tab/>
      </w:r>
      <w:r>
        <w:rPr>
          <w:rFonts w:ascii="Arial" w:cs="Arial" w:eastAsia="Arial" w:hAnsi="Arial"/>
          <w:sz w:val="10"/>
          <w:szCs w:val="10"/>
          <w:b w:val="1"/>
          <w:bCs w:val="1"/>
          <w:color w:val="auto"/>
        </w:rPr>
        <w:t>Segment Information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Summarized financial information concerning our reportable segments is shown in the following table.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and for the year ended December 31, 2010: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740" w:type="dxa"/>
            <w:vAlign w:val="bottom"/>
            <w:gridSpan w:val="4"/>
          </w:tcPr>
          <w:p>
            <w:pPr>
              <w:ind w:left="240"/>
              <w:spacing w:after="0"/>
              <w:rPr>
                <w:sz w:val="20"/>
                <w:szCs w:val="20"/>
                <w:color w:val="auto"/>
              </w:rPr>
            </w:pPr>
            <w:r>
              <w:rPr>
                <w:rFonts w:ascii="Arial" w:cs="Arial" w:eastAsia="Arial" w:hAnsi="Arial"/>
                <w:sz w:val="10"/>
                <w:szCs w:val="10"/>
                <w:b w:val="1"/>
                <w:bCs w:val="1"/>
                <w:color w:val="auto"/>
              </w:rPr>
              <w:t>Fidelity National</w:t>
            </w:r>
          </w:p>
        </w:tc>
        <w:tc>
          <w:tcPr>
            <w:tcW w:w="440" w:type="dxa"/>
            <w:vAlign w:val="bottom"/>
          </w:tcPr>
          <w:p>
            <w:pPr>
              <w:spacing w:after="0"/>
              <w:rPr>
                <w:sz w:val="10"/>
                <w:szCs w:val="1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Specialty</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Corporate</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8"/>
        </w:trPr>
        <w:tc>
          <w:tcPr>
            <w:tcW w:w="4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Title Group</w:t>
            </w: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Insurance</w:t>
            </w: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and Other</w:t>
            </w: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auto"/>
            </w:tcBorders>
          </w:tcPr>
          <w:p>
            <w:pPr>
              <w:spacing w:after="0"/>
              <w:rPr>
                <w:sz w:val="11"/>
                <w:szCs w:val="11"/>
                <w:color w:val="auto"/>
              </w:rPr>
            </w:pPr>
          </w:p>
        </w:tc>
      </w:tr>
      <w:tr>
        <w:trPr>
          <w:trHeight w:val="124"/>
        </w:trPr>
        <w:tc>
          <w:tcPr>
            <w:tcW w:w="4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ind w:left="120"/>
              <w:spacing w:after="0"/>
              <w:rPr>
                <w:sz w:val="20"/>
                <w:szCs w:val="20"/>
                <w:color w:val="auto"/>
              </w:rPr>
            </w:pPr>
            <w:r>
              <w:rPr>
                <w:rFonts w:ascii="Arial" w:cs="Arial" w:eastAsia="Arial" w:hAnsi="Arial"/>
                <w:sz w:val="10"/>
                <w:szCs w:val="10"/>
                <w:b w:val="1"/>
                <w:bCs w:val="1"/>
                <w:color w:val="auto"/>
                <w:w w:val="89"/>
              </w:rPr>
              <w:t>(In millions)</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4"/>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Title premiums</w:t>
            </w: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3,641.2</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3,641.2</w:t>
            </w:r>
          </w:p>
        </w:tc>
        <w:tc>
          <w:tcPr>
            <w:tcW w:w="180" w:type="dxa"/>
            <w:vAlign w:val="bottom"/>
            <w:shd w:val="clear" w:color="auto" w:fill="CCEEFF"/>
          </w:tcPr>
          <w:p>
            <w:pPr>
              <w:spacing w:after="0"/>
              <w:rPr>
                <w:sz w:val="16"/>
                <w:szCs w:val="16"/>
                <w:color w:val="auto"/>
              </w:rPr>
            </w:pPr>
          </w:p>
        </w:tc>
      </w:tr>
      <w:tr>
        <w:trPr>
          <w:trHeight w:val="171"/>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revenues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1,269.7</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391.6</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56.6</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1,717.9</w:t>
            </w:r>
          </w:p>
        </w:tc>
        <w:tc>
          <w:tcPr>
            <w:tcW w:w="180" w:type="dxa"/>
            <w:vAlign w:val="bottom"/>
            <w:tcBorders>
              <w:bottom w:val="single" w:sz="8" w:color="auto"/>
            </w:tcBorders>
          </w:tcPr>
          <w:p>
            <w:pPr>
              <w:spacing w:after="0"/>
              <w:rPr>
                <w:sz w:val="14"/>
                <w:szCs w:val="14"/>
                <w:color w:val="auto"/>
              </w:rPr>
            </w:pPr>
          </w:p>
        </w:tc>
      </w:tr>
      <w:tr>
        <w:trPr>
          <w:trHeight w:val="178"/>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Revenues from external customers</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4,910.9</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5,359.1</w:t>
            </w:r>
          </w:p>
        </w:tc>
        <w:tc>
          <w:tcPr>
            <w:tcW w:w="180" w:type="dxa"/>
            <w:vAlign w:val="bottom"/>
            <w:shd w:val="clear" w:color="auto" w:fill="CCEEFF"/>
          </w:tcPr>
          <w:p>
            <w:pPr>
              <w:spacing w:after="0"/>
              <w:rPr>
                <w:sz w:val="15"/>
                <w:szCs w:val="15"/>
                <w:color w:val="auto"/>
              </w:rPr>
            </w:pPr>
          </w:p>
        </w:tc>
      </w:tr>
      <w:tr>
        <w:trPr>
          <w:trHeight w:val="171"/>
        </w:trPr>
        <w:tc>
          <w:tcPr>
            <w:tcW w:w="4320" w:type="dxa"/>
            <w:vAlign w:val="bottom"/>
          </w:tcPr>
          <w:p>
            <w:pPr>
              <w:ind w:left="240"/>
              <w:spacing w:after="0"/>
              <w:rPr>
                <w:sz w:val="20"/>
                <w:szCs w:val="20"/>
                <w:color w:val="auto"/>
              </w:rPr>
            </w:pPr>
            <w:r>
              <w:rPr>
                <w:rFonts w:ascii="Arial" w:cs="Arial" w:eastAsia="Arial" w:hAnsi="Arial"/>
                <w:sz w:val="12"/>
                <w:szCs w:val="12"/>
                <w:color w:val="auto"/>
              </w:rPr>
              <w:t>Interest and investment income, including realized gains and losses</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242.5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12.7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126.0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381.2</w:t>
            </w:r>
          </w:p>
        </w:tc>
        <w:tc>
          <w:tcPr>
            <w:tcW w:w="180" w:type="dxa"/>
            <w:vAlign w:val="bottom"/>
          </w:tcPr>
          <w:p>
            <w:pPr>
              <w:spacing w:after="0"/>
              <w:rPr>
                <w:sz w:val="14"/>
                <w:szCs w:val="14"/>
                <w:color w:val="auto"/>
              </w:rPr>
            </w:pPr>
          </w:p>
        </w:tc>
      </w:tr>
      <w:tr>
        <w:trPr>
          <w:trHeight w:val="169"/>
        </w:trPr>
        <w:tc>
          <w:tcPr>
            <w:tcW w:w="4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Total revenues</w:t>
            </w:r>
          </w:p>
        </w:tc>
        <w:tc>
          <w:tcPr>
            <w:tcW w:w="3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5,153.4</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404.3</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182.6</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2"/>
                <w:szCs w:val="12"/>
                <w:color w:val="auto"/>
              </w:rPr>
              <w:t>5,740.3</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r>
      <w:tr>
        <w:trPr>
          <w:trHeight w:val="169"/>
        </w:trPr>
        <w:tc>
          <w:tcPr>
            <w:tcW w:w="432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3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2"/>
                <w:szCs w:val="12"/>
                <w:color w:val="auto"/>
              </w:rPr>
              <w:t>83.8</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90.4</w:t>
            </w:r>
          </w:p>
        </w:tc>
        <w:tc>
          <w:tcPr>
            <w:tcW w:w="180" w:type="dxa"/>
            <w:vAlign w:val="bottom"/>
          </w:tcPr>
          <w:p>
            <w:pPr>
              <w:spacing w:after="0"/>
              <w:rPr>
                <w:sz w:val="14"/>
                <w:szCs w:val="14"/>
                <w:color w:val="auto"/>
              </w:rPr>
            </w:pPr>
          </w:p>
        </w:tc>
      </w:tr>
      <w:tr>
        <w:trPr>
          <w:trHeight w:val="189"/>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expense</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45.9</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46.2</w:t>
            </w:r>
          </w:p>
        </w:tc>
        <w:tc>
          <w:tcPr>
            <w:tcW w:w="180" w:type="dxa"/>
            <w:vAlign w:val="bottom"/>
            <w:shd w:val="clear" w:color="auto" w:fill="CCEEFF"/>
          </w:tcPr>
          <w:p>
            <w:pPr>
              <w:spacing w:after="0"/>
              <w:rPr>
                <w:sz w:val="16"/>
                <w:szCs w:val="16"/>
                <w:color w:val="auto"/>
              </w:rPr>
            </w:pPr>
          </w:p>
        </w:tc>
      </w:tr>
      <w:tr>
        <w:trPr>
          <w:trHeight w:val="153"/>
        </w:trPr>
        <w:tc>
          <w:tcPr>
            <w:tcW w:w="4320" w:type="dxa"/>
            <w:vAlign w:val="bottom"/>
          </w:tcPr>
          <w:p>
            <w:pPr>
              <w:ind w:left="240"/>
              <w:spacing w:after="0"/>
              <w:rPr>
                <w:sz w:val="20"/>
                <w:szCs w:val="20"/>
                <w:color w:val="auto"/>
              </w:rPr>
            </w:pPr>
            <w:r>
              <w:rPr>
                <w:rFonts w:ascii="Arial" w:cs="Arial" w:eastAsia="Arial" w:hAnsi="Arial"/>
                <w:sz w:val="12"/>
                <w:szCs w:val="12"/>
                <w:color w:val="auto"/>
                <w:w w:val="94"/>
              </w:rPr>
              <w:t>Earnings from continuing operations, before income taxes and equity in earnings</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4320" w:type="dxa"/>
            <w:vAlign w:val="bottom"/>
          </w:tcPr>
          <w:p>
            <w:pPr>
              <w:ind w:left="20"/>
              <w:spacing w:after="0"/>
              <w:rPr>
                <w:sz w:val="20"/>
                <w:szCs w:val="20"/>
                <w:color w:val="auto"/>
              </w:rPr>
            </w:pPr>
            <w:r>
              <w:rPr>
                <w:rFonts w:ascii="Arial" w:cs="Arial" w:eastAsia="Arial" w:hAnsi="Arial"/>
                <w:sz w:val="12"/>
                <w:szCs w:val="12"/>
                <w:color w:val="auto"/>
              </w:rPr>
              <w:t>(loss) of unconsolidated affiliates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1440" w:type="dxa"/>
            <w:vAlign w:val="bottom"/>
            <w:gridSpan w:val="3"/>
          </w:tcPr>
          <w:p>
            <w:pPr>
              <w:jc w:val="right"/>
              <w:ind w:right="540"/>
              <w:spacing w:after="0"/>
              <w:rPr>
                <w:sz w:val="20"/>
                <w:szCs w:val="20"/>
                <w:color w:val="auto"/>
              </w:rPr>
            </w:pPr>
            <w:r>
              <w:rPr>
                <w:rFonts w:ascii="Arial" w:cs="Arial" w:eastAsia="Arial" w:hAnsi="Arial"/>
                <w:sz w:val="12"/>
                <w:szCs w:val="12"/>
                <w:color w:val="auto"/>
              </w:rPr>
              <w:t>491.0&lt; /div&gt;</w:t>
            </w: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27.3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44.1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562.4</w:t>
            </w:r>
          </w:p>
        </w:tc>
        <w:tc>
          <w:tcPr>
            <w:tcW w:w="180" w:type="dxa"/>
            <w:vAlign w:val="bottom"/>
          </w:tcPr>
          <w:p>
            <w:pPr>
              <w:spacing w:after="0"/>
              <w:rPr>
                <w:sz w:val="14"/>
                <w:szCs w:val="14"/>
                <w:color w:val="auto"/>
              </w:rPr>
            </w:pPr>
          </w:p>
        </w:tc>
      </w:tr>
      <w:tr>
        <w:trPr>
          <w:trHeight w:val="189"/>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 expense (benefit)</w:t>
            </w:r>
          </w:p>
        </w:tc>
        <w:tc>
          <w:tcPr>
            <w:tcW w:w="3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162.0</w:t>
            </w:r>
          </w:p>
        </w:tc>
        <w:tc>
          <w:tcPr>
            <w:tcW w:w="26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w w:val="98"/>
              </w:rPr>
              <w:t>)</w:t>
            </w:r>
          </w:p>
        </w:tc>
        <w:tc>
          <w:tcPr>
            <w:tcW w:w="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24.6</w:t>
            </w: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185.6</w:t>
            </w:r>
          </w:p>
        </w:tc>
        <w:tc>
          <w:tcPr>
            <w:tcW w:w="180" w:type="dxa"/>
            <w:vAlign w:val="bottom"/>
            <w:tcBorders>
              <w:bottom w:val="single" w:sz="8" w:color="auto"/>
            </w:tcBorders>
            <w:shd w:val="clear" w:color="auto" w:fill="CCEEFF"/>
          </w:tcPr>
          <w:p>
            <w:pPr>
              <w:spacing w:after="0"/>
              <w:rPr>
                <w:sz w:val="16"/>
                <w:szCs w:val="16"/>
                <w:color w:val="auto"/>
              </w:rPr>
            </w:pPr>
          </w:p>
        </w:tc>
      </w:tr>
      <w:tr>
        <w:trPr>
          <w:trHeight w:val="133"/>
        </w:trPr>
        <w:tc>
          <w:tcPr>
            <w:tcW w:w="4320" w:type="dxa"/>
            <w:vAlign w:val="bottom"/>
          </w:tcPr>
          <w:p>
            <w:pPr>
              <w:ind w:left="240"/>
              <w:spacing w:after="0" w:line="133" w:lineRule="exact"/>
              <w:rPr>
                <w:sz w:val="20"/>
                <w:szCs w:val="20"/>
                <w:color w:val="auto"/>
              </w:rPr>
            </w:pPr>
            <w:r>
              <w:rPr>
                <w:rFonts w:ascii="Arial" w:cs="Arial" w:eastAsia="Arial" w:hAnsi="Arial"/>
                <w:sz w:val="12"/>
                <w:szCs w:val="12"/>
                <w:color w:val="auto"/>
              </w:rPr>
              <w:t>Earnings from continuing operations, before equity in earnings (loss) of</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2"/>
        </w:trPr>
        <w:tc>
          <w:tcPr>
            <w:tcW w:w="4320" w:type="dxa"/>
            <w:vAlign w:val="bottom"/>
          </w:tcPr>
          <w:p>
            <w:pPr>
              <w:ind w:left="20"/>
              <w:spacing w:after="0"/>
              <w:rPr>
                <w:sz w:val="20"/>
                <w:szCs w:val="20"/>
                <w:color w:val="auto"/>
              </w:rPr>
            </w:pPr>
            <w:r>
              <w:rPr>
                <w:rFonts w:ascii="Arial" w:cs="Arial" w:eastAsia="Arial" w:hAnsi="Arial"/>
                <w:sz w:val="12"/>
                <w:szCs w:val="12"/>
                <w:color w:val="auto"/>
              </w:rPr>
              <w:t>unconsolidated affiliates</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329.0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19.5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376.8</w:t>
            </w:r>
          </w:p>
        </w:tc>
        <w:tc>
          <w:tcPr>
            <w:tcW w:w="180" w:type="dxa"/>
            <w:vAlign w:val="bottom"/>
          </w:tcPr>
          <w:p>
            <w:pPr>
              <w:spacing w:after="0"/>
              <w:rPr>
                <w:sz w:val="14"/>
                <w:szCs w:val="14"/>
                <w:color w:val="auto"/>
              </w:rPr>
            </w:pPr>
          </w:p>
        </w:tc>
      </w:tr>
      <w:tr>
        <w:trPr>
          <w:trHeight w:val="180"/>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Equity in earnings (loss) of unconsolidated affiliates</w:t>
            </w: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6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4320" w:type="dxa"/>
            <w:vAlign w:val="bottom"/>
          </w:tcPr>
          <w:p>
            <w:pPr>
              <w:ind w:left="240"/>
              <w:spacing w:after="0"/>
              <w:rPr>
                <w:sz w:val="20"/>
                <w:szCs w:val="20"/>
                <w:color w:val="auto"/>
              </w:rPr>
            </w:pPr>
            <w:r>
              <w:rPr>
                <w:rFonts w:ascii="Arial" w:cs="Arial" w:eastAsia="Arial" w:hAnsi="Arial"/>
                <w:sz w:val="12"/>
                <w:szCs w:val="12"/>
                <w:color w:val="auto"/>
              </w:rPr>
              <w:t>Earnings from continuing operations</w:t>
            </w:r>
          </w:p>
        </w:tc>
        <w:tc>
          <w:tcPr>
            <w:tcW w:w="300" w:type="dxa"/>
            <w:vAlign w:val="bottom"/>
            <w:tcBorders>
              <w:bottom w:val="single" w:sz="8" w:color="auto"/>
            </w:tcBorders>
          </w:tcPr>
          <w:p>
            <w:pPr>
              <w:ind w:left="24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330.1</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28.3</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17.2</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375.6</w:t>
            </w:r>
          </w:p>
        </w:tc>
        <w:tc>
          <w:tcPr>
            <w:tcW w:w="180" w:type="dxa"/>
            <w:vAlign w:val="bottom"/>
            <w:tcBorders>
              <w:bottom w:val="single" w:sz="8" w:color="auto"/>
            </w:tcBorders>
          </w:tcPr>
          <w:p>
            <w:pPr>
              <w:spacing w:after="0"/>
              <w:rPr>
                <w:sz w:val="16"/>
                <w:szCs w:val="16"/>
                <w:color w:val="auto"/>
              </w:rPr>
            </w:pPr>
          </w:p>
        </w:tc>
      </w:tr>
      <w:tr>
        <w:trPr>
          <w:trHeight w:val="180"/>
        </w:trPr>
        <w:tc>
          <w:tcPr>
            <w:tcW w:w="4320" w:type="dxa"/>
            <w:vAlign w:val="bottom"/>
          </w:tcPr>
          <w:p>
            <w:pPr>
              <w:ind w:left="220"/>
              <w:spacing w:after="0"/>
              <w:rPr>
                <w:sz w:val="20"/>
                <w:szCs w:val="20"/>
                <w:color w:val="auto"/>
              </w:rPr>
            </w:pPr>
            <w:r>
              <w:rPr>
                <w:rFonts w:ascii="Arial" w:cs="Arial" w:eastAsia="Arial" w:hAnsi="Arial"/>
                <w:sz w:val="12"/>
                <w:szCs w:val="12"/>
                <w:color w:val="auto"/>
              </w:rPr>
              <w:t>Assets</w:t>
            </w:r>
          </w:p>
        </w:tc>
        <w:tc>
          <w:tcPr>
            <w:tcW w:w="3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6,608.4</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833.9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7,887.5</w:t>
            </w:r>
          </w:p>
        </w:tc>
        <w:tc>
          <w:tcPr>
            <w:tcW w:w="180" w:type="dxa"/>
            <w:vAlign w:val="bottom"/>
            <w:shd w:val="clear" w:color="auto" w:fill="CCEEFF"/>
          </w:tcPr>
          <w:p>
            <w:pPr>
              <w:spacing w:after="0"/>
              <w:rPr>
                <w:sz w:val="15"/>
                <w:szCs w:val="15"/>
                <w:color w:val="auto"/>
              </w:rPr>
            </w:pPr>
          </w:p>
        </w:tc>
      </w:tr>
      <w:tr>
        <w:trPr>
          <w:trHeight w:val="162"/>
        </w:trPr>
        <w:tc>
          <w:tcPr>
            <w:tcW w:w="4320" w:type="dxa"/>
            <w:vAlign w:val="bottom"/>
          </w:tcPr>
          <w:p>
            <w:pPr>
              <w:ind w:left="240"/>
              <w:spacing w:after="0"/>
              <w:rPr>
                <w:sz w:val="20"/>
                <w:szCs w:val="20"/>
                <w:color w:val="auto"/>
              </w:rPr>
            </w:pPr>
            <w:r>
              <w:rPr>
                <w:rFonts w:ascii="Arial" w:cs="Arial" w:eastAsia="Arial" w:hAnsi="Arial"/>
                <w:sz w:val="12"/>
                <w:szCs w:val="12"/>
                <w:color w:val="auto"/>
              </w:rPr>
              <w:t>Goodwill</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1,419.9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28.7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22.1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2"/>
                <w:szCs w:val="12"/>
                <w:color w:val="auto"/>
              </w:rPr>
              <w:t>1,470.7</w:t>
            </w:r>
          </w:p>
        </w:tc>
        <w:tc>
          <w:tcPr>
            <w:tcW w:w="1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620"/>
          </w:cols>
          <w:pgMar w:left="1080" w:top="127" w:right="199" w:bottom="1440" w:gutter="0" w:footer="0" w:header="0"/>
        </w:sectPr>
      </w:pPr>
    </w:p>
    <w:bookmarkStart w:id="84" w:name="page85"/>
    <w:bookmarkEnd w:id="84"/>
    <w:p>
      <w:pPr>
        <w:jc w:val="center"/>
        <w:ind w:right="-179"/>
        <w:spacing w:after="0"/>
        <w:rPr>
          <w:sz w:val="20"/>
          <w:szCs w:val="20"/>
          <w:color w:val="auto"/>
        </w:rPr>
      </w:pPr>
      <w:r>
        <w:rPr>
          <w:rFonts w:ascii="Arial" w:cs="Arial" w:eastAsia="Arial" w:hAnsi="Arial"/>
          <w:sz w:val="12"/>
          <w:szCs w:val="12"/>
          <w:color w:val="auto"/>
        </w:rPr>
        <w:t>FIDELITY NATIONAL FINANCIAL, INC. AND SUBSIDIARIES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and for the year ended December 31, 2009: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Fidelity National</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tcPr>
          <w:p>
            <w:pPr>
              <w:jc w:val="center"/>
              <w:ind w:right="620"/>
              <w:spacing w:after="0"/>
              <w:rPr>
                <w:sz w:val="20"/>
                <w:szCs w:val="20"/>
                <w:color w:val="auto"/>
              </w:rPr>
            </w:pPr>
            <w:r>
              <w:rPr>
                <w:rFonts w:ascii="Arial" w:cs="Arial" w:eastAsia="Arial" w:hAnsi="Arial"/>
                <w:sz w:val="10"/>
                <w:szCs w:val="10"/>
                <w:b w:val="1"/>
                <w:bCs w:val="1"/>
                <w:color w:val="auto"/>
                <w:w w:val="86"/>
              </w:rPr>
              <w:t>Specialty</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0"/>
                <w:szCs w:val="10"/>
                <w:b w:val="1"/>
                <w:bCs w:val="1"/>
                <w:color w:val="auto"/>
              </w:rPr>
              <w:t>Corporate</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32"/>
        </w:trPr>
        <w:tc>
          <w:tcPr>
            <w:tcW w:w="30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Title Group</w:t>
            </w: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0"/>
                <w:szCs w:val="10"/>
                <w:b w:val="1"/>
                <w:bCs w:val="1"/>
                <w:color w:val="auto"/>
                <w:w w:val="84"/>
              </w:rPr>
              <w:t>Insurance</w:t>
            </w: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and Other</w:t>
            </w: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auto"/>
            </w:tcBorders>
          </w:tcPr>
          <w:p>
            <w:pPr>
              <w:spacing w:after="0"/>
              <w:rPr>
                <w:sz w:val="11"/>
                <w:szCs w:val="11"/>
                <w:color w:val="auto"/>
              </w:rPr>
            </w:pPr>
          </w:p>
        </w:tc>
      </w:tr>
      <w:tr>
        <w:trPr>
          <w:trHeight w:val="120"/>
        </w:trPr>
        <w:tc>
          <w:tcPr>
            <w:tcW w:w="3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3"/>
          </w:tcPr>
          <w:p>
            <w:pPr>
              <w:jc w:val="right"/>
              <w:ind w:right="530"/>
              <w:spacing w:after="0"/>
              <w:rPr>
                <w:sz w:val="20"/>
                <w:szCs w:val="20"/>
                <w:color w:val="auto"/>
              </w:rPr>
            </w:pPr>
            <w:r>
              <w:rPr>
                <w:rFonts w:ascii="Arial" w:cs="Arial" w:eastAsia="Arial" w:hAnsi="Arial"/>
                <w:sz w:val="10"/>
                <w:szCs w:val="10"/>
                <w:b w:val="1"/>
                <w:bCs w:val="1"/>
                <w:color w:val="auto"/>
              </w:rPr>
              <w:t>(In millions)</w:t>
            </w: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4"/>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Title premiums</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3,927.6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3,927.6</w:t>
            </w:r>
          </w:p>
        </w:tc>
        <w:tc>
          <w:tcPr>
            <w:tcW w:w="180" w:type="dxa"/>
            <w:vAlign w:val="bottom"/>
            <w:shd w:val="clear" w:color="auto" w:fill="CCEEFF"/>
          </w:tcPr>
          <w:p>
            <w:pPr>
              <w:spacing w:after="0"/>
              <w:rPr>
                <w:sz w:val="16"/>
                <w:szCs w:val="16"/>
                <w:color w:val="auto"/>
              </w:rPr>
            </w:pPr>
          </w:p>
        </w:tc>
      </w:tr>
      <w:tr>
        <w:trPr>
          <w:trHeight w:val="171"/>
        </w:trPr>
        <w:tc>
          <w:tcPr>
            <w:tcW w:w="30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revenues</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1,317.3</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2"/>
                <w:szCs w:val="12"/>
                <w:color w:val="auto"/>
              </w:rPr>
              <w:t>366.0</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35.6</w:t>
            </w: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1,718.9</w:t>
            </w:r>
          </w:p>
        </w:tc>
        <w:tc>
          <w:tcPr>
            <w:tcW w:w="180" w:type="dxa"/>
            <w:vAlign w:val="bottom"/>
            <w:tcBorders>
              <w:bottom w:val="single" w:sz="8" w:color="auto"/>
            </w:tcBorders>
          </w:tcPr>
          <w:p>
            <w:pPr>
              <w:spacing w:after="0"/>
              <w:rPr>
                <w:sz w:val="14"/>
                <w:szCs w:val="14"/>
                <w:color w:val="auto"/>
              </w:rPr>
            </w:pPr>
          </w:p>
        </w:tc>
      </w:tr>
      <w:tr>
        <w:trPr>
          <w:trHeight w:val="151"/>
        </w:trPr>
        <w:tc>
          <w:tcPr>
            <w:tcW w:w="3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&lt; font style="font-</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44"/>
        </w:trPr>
        <w:tc>
          <w:tcPr>
            <w:tcW w:w="3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family:inherit;font-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Revenues from external customers</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1"/>
              </w:rPr>
              <w:t>size:10pt;"&gt;5,244.9</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192"/>
              <w:spacing w:after="0"/>
              <w:rPr>
                <w:sz w:val="20"/>
                <w:szCs w:val="20"/>
                <w:color w:val="auto"/>
              </w:rPr>
            </w:pPr>
            <w:r>
              <w:rPr>
                <w:rFonts w:ascii="Arial" w:cs="Arial" w:eastAsia="Arial" w:hAnsi="Arial"/>
                <w:sz w:val="12"/>
                <w:szCs w:val="12"/>
                <w:color w:val="auto"/>
              </w:rPr>
              <w:t>366.0</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35.6</w:t>
            </w: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5,646.5</w:t>
            </w:r>
          </w:p>
        </w:tc>
        <w:tc>
          <w:tcPr>
            <w:tcW w:w="180" w:type="dxa"/>
            <w:vAlign w:val="bottom"/>
            <w:shd w:val="clear" w:color="auto" w:fill="CCEEFF"/>
          </w:tcPr>
          <w:p>
            <w:pPr>
              <w:spacing w:after="0"/>
              <w:rPr>
                <w:sz w:val="14"/>
                <w:szCs w:val="14"/>
                <w:color w:val="auto"/>
              </w:rPr>
            </w:pPr>
          </w:p>
        </w:tc>
      </w:tr>
      <w:tr>
        <w:trPr>
          <w:trHeight w:val="153"/>
        </w:trPr>
        <w:tc>
          <w:tcPr>
            <w:tcW w:w="3000" w:type="dxa"/>
            <w:vAlign w:val="bottom"/>
          </w:tcPr>
          <w:p>
            <w:pPr>
              <w:ind w:left="240"/>
              <w:spacing w:after="0"/>
              <w:rPr>
                <w:sz w:val="20"/>
                <w:szCs w:val="20"/>
                <w:color w:val="auto"/>
              </w:rPr>
            </w:pPr>
            <w:r>
              <w:rPr>
                <w:rFonts w:ascii="Arial" w:cs="Arial" w:eastAsia="Arial" w:hAnsi="Arial"/>
                <w:sz w:val="12"/>
                <w:szCs w:val="12"/>
                <w:color w:val="auto"/>
                <w:w w:val="91"/>
              </w:rPr>
              <w:t>Interest and investment income, including realized gains</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3000" w:type="dxa"/>
            <w:vAlign w:val="bottom"/>
          </w:tcPr>
          <w:p>
            <w:pPr>
              <w:ind w:left="20"/>
              <w:spacing w:after="0"/>
              <w:rPr>
                <w:sz w:val="20"/>
                <w:szCs w:val="20"/>
                <w:color w:val="auto"/>
              </w:rPr>
            </w:pPr>
            <w:r>
              <w:rPr>
                <w:rFonts w:ascii="Arial" w:cs="Arial" w:eastAsia="Arial" w:hAnsi="Arial"/>
                <w:sz w:val="12"/>
                <w:szCs w:val="12"/>
                <w:color w:val="auto"/>
              </w:rPr>
              <w:t>and losses</w:t>
            </w:r>
          </w:p>
        </w:tc>
        <w:tc>
          <w:tcPr>
            <w:tcW w:w="3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165.9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right"/>
              <w:ind w:right="192"/>
              <w:spacing w:after="0"/>
              <w:rPr>
                <w:sz w:val="20"/>
                <w:szCs w:val="20"/>
                <w:color w:val="auto"/>
              </w:rPr>
            </w:pPr>
            <w:r>
              <w:rPr>
                <w:rFonts w:ascii="Arial" w:cs="Arial" w:eastAsia="Arial" w:hAnsi="Arial"/>
                <w:sz w:val="12"/>
                <w:szCs w:val="12"/>
                <w:color w:val="auto"/>
              </w:rPr>
              <w:t>14.2</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1.8</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181.9</w:t>
            </w:r>
          </w:p>
        </w:tc>
        <w:tc>
          <w:tcPr>
            <w:tcW w:w="180" w:type="dxa"/>
            <w:vAlign w:val="bottom"/>
          </w:tcPr>
          <w:p>
            <w:pPr>
              <w:spacing w:after="0"/>
              <w:rPr>
                <w:sz w:val="14"/>
                <w:szCs w:val="14"/>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78"/>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revenues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5,410.8</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4"/>
            <w:shd w:val="clear" w:color="auto" w:fill="CCEEFF"/>
          </w:tcPr>
          <w:p>
            <w:pPr>
              <w:jc w:val="right"/>
              <w:ind w:right="192"/>
              <w:spacing w:after="0"/>
              <w:rPr>
                <w:sz w:val="20"/>
                <w:szCs w:val="20"/>
                <w:color w:val="auto"/>
              </w:rPr>
            </w:pPr>
            <w:r>
              <w:rPr>
                <w:rFonts w:ascii="Arial" w:cs="Arial" w:eastAsia="Arial" w:hAnsi="Arial"/>
                <w:sz w:val="12"/>
                <w:szCs w:val="12"/>
                <w:color w:val="auto"/>
              </w:rPr>
              <w:t>380.2</w:t>
            </w:r>
          </w:p>
        </w:tc>
        <w:tc>
          <w:tcPr>
            <w:tcW w:w="3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37.4</w:t>
            </w:r>
          </w:p>
        </w:tc>
        <w:tc>
          <w:tcPr>
            <w:tcW w:w="5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5,828.4</w:t>
            </w:r>
          </w:p>
        </w:tc>
        <w:tc>
          <w:tcPr>
            <w:tcW w:w="180" w:type="dxa"/>
            <w:vAlign w:val="bottom"/>
            <w:tcBorders>
              <w:bottom w:val="single" w:sz="8" w:color="auto"/>
            </w:tcBorders>
            <w:shd w:val="clear" w:color="auto" w:fill="CCEEFF"/>
          </w:tcPr>
          <w:p>
            <w:pPr>
              <w:spacing w:after="0"/>
              <w:rPr>
                <w:sz w:val="15"/>
                <w:szCs w:val="15"/>
                <w:color w:val="auto"/>
              </w:rPr>
            </w:pPr>
          </w:p>
        </w:tc>
      </w:tr>
      <w:tr>
        <w:trPr>
          <w:trHeight w:val="160"/>
        </w:trPr>
        <w:tc>
          <w:tcPr>
            <w:tcW w:w="30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30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101.3</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tcPr>
          <w:p>
            <w:pPr>
              <w:jc w:val="right"/>
              <w:ind w:right="192"/>
              <w:spacing w:after="0"/>
              <w:rPr>
                <w:sz w:val="20"/>
                <w:szCs w:val="20"/>
                <w:color w:val="auto"/>
              </w:rPr>
            </w:pPr>
            <w:r>
              <w:rPr>
                <w:rFonts w:ascii="Arial" w:cs="Arial" w:eastAsia="Arial" w:hAnsi="Arial"/>
                <w:sz w:val="12"/>
                <w:szCs w:val="12"/>
                <w:color w:val="auto"/>
              </w:rPr>
              <w:t>5.1</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2.8</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109.2</w:t>
            </w:r>
          </w:p>
        </w:tc>
        <w:tc>
          <w:tcPr>
            <w:tcW w:w="180" w:type="dxa"/>
            <w:vAlign w:val="bottom"/>
          </w:tcPr>
          <w:p>
            <w:pPr>
              <w:spacing w:after="0"/>
              <w:rPr>
                <w:sz w:val="13"/>
                <w:szCs w:val="13"/>
                <w:color w:val="auto"/>
              </w:rPr>
            </w:pPr>
          </w:p>
        </w:tc>
      </w:tr>
      <w:tr>
        <w:trPr>
          <w:trHeight w:val="189"/>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expense</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35.9</w:t>
            </w: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36.7</w:t>
            </w:r>
          </w:p>
        </w:tc>
        <w:tc>
          <w:tcPr>
            <w:tcW w:w="180" w:type="dxa"/>
            <w:vAlign w:val="bottom"/>
            <w:shd w:val="clear" w:color="auto" w:fill="CCEEFF"/>
          </w:tcPr>
          <w:p>
            <w:pPr>
              <w:spacing w:after="0"/>
              <w:rPr>
                <w:sz w:val="16"/>
                <w:szCs w:val="16"/>
                <w:color w:val="auto"/>
              </w:rPr>
            </w:pPr>
          </w:p>
        </w:tc>
      </w:tr>
      <w:tr>
        <w:trPr>
          <w:trHeight w:val="153"/>
        </w:trPr>
        <w:tc>
          <w:tcPr>
            <w:tcW w:w="3000" w:type="dxa"/>
            <w:vAlign w:val="bottom"/>
          </w:tcPr>
          <w:p>
            <w:pPr>
              <w:ind w:left="240"/>
              <w:spacing w:after="0"/>
              <w:rPr>
                <w:sz w:val="20"/>
                <w:szCs w:val="20"/>
                <w:color w:val="auto"/>
              </w:rPr>
            </w:pPr>
            <w:r>
              <w:rPr>
                <w:rFonts w:ascii="Arial" w:cs="Arial" w:eastAsia="Arial" w:hAnsi="Arial"/>
                <w:sz w:val="12"/>
                <w:szCs w:val="12"/>
                <w:color w:val="auto"/>
              </w:rPr>
              <w:t>Earnings (loss) from continuing operations, before</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4"/>
        </w:trPr>
        <w:tc>
          <w:tcPr>
            <w:tcW w:w="3000" w:type="dxa"/>
            <w:vAlign w:val="bottom"/>
          </w:tcPr>
          <w:p>
            <w:pPr>
              <w:ind w:left="20"/>
              <w:spacing w:after="0"/>
              <w:rPr>
                <w:sz w:val="20"/>
                <w:szCs w:val="20"/>
                <w:color w:val="auto"/>
              </w:rPr>
            </w:pPr>
            <w:r>
              <w:rPr>
                <w:rFonts w:ascii="Arial" w:cs="Arial" w:eastAsia="Arial" w:hAnsi="Arial"/>
                <w:sz w:val="12"/>
                <w:szCs w:val="12"/>
                <w:color w:val="auto"/>
                <w:w w:val="92"/>
              </w:rPr>
              <w:t>income taxes and equity in earnings (loss) of unconsolidated</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ind w:left="220"/>
              <w:spacing w:after="0"/>
              <w:rPr>
                <w:sz w:val="20"/>
                <w:szCs w:val="20"/>
                <w:color w:val="auto"/>
              </w:rPr>
            </w:pPr>
            <w:r>
              <w:rPr>
                <w:rFonts w:ascii="Arial" w:cs="Arial" w:eastAsia="Arial" w:hAnsi="Arial"/>
                <w:sz w:val="12"/>
                <w:szCs w:val="12"/>
                <w:color w:val="auto"/>
                <w:w w:val="99"/>
              </w:rPr>
              <w:t>&amp;</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3000" w:type="dxa"/>
            <w:vAlign w:val="bottom"/>
          </w:tcPr>
          <w:p>
            <w:pPr>
              <w:ind w:left="20"/>
              <w:spacing w:after="0"/>
              <w:rPr>
                <w:sz w:val="20"/>
                <w:szCs w:val="20"/>
                <w:color w:val="auto"/>
              </w:rPr>
            </w:pPr>
            <w:r>
              <w:rPr>
                <w:rFonts w:ascii="Arial" w:cs="Arial" w:eastAsia="Arial" w:hAnsi="Arial"/>
                <w:sz w:val="12"/>
                <w:szCs w:val="12"/>
                <w:color w:val="auto"/>
              </w:rPr>
              <w:t>affiliates</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372.9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80" w:type="dxa"/>
            <w:vAlign w:val="bottom"/>
            <w:gridSpan w:val="4"/>
          </w:tcPr>
          <w:p>
            <w:pPr>
              <w:jc w:val="right"/>
              <w:ind w:right="192"/>
              <w:spacing w:after="0"/>
              <w:rPr>
                <w:sz w:val="20"/>
                <w:szCs w:val="20"/>
                <w:color w:val="auto"/>
              </w:rPr>
            </w:pPr>
            <w:r>
              <w:rPr>
                <w:rFonts w:ascii="Arial" w:cs="Arial" w:eastAsia="Arial" w:hAnsi="Arial"/>
                <w:sz w:val="12"/>
                <w:szCs w:val="12"/>
                <w:color w:val="auto"/>
              </w:rPr>
              <w:t>43.6</w:t>
            </w:r>
          </w:p>
        </w:tc>
        <w:tc>
          <w:tcPr>
            <w:tcW w:w="300" w:type="dxa"/>
            <w:vAlign w:val="bottom"/>
          </w:tcPr>
          <w:p>
            <w:pPr>
              <w:spacing w:after="0"/>
              <w:rPr>
                <w:sz w:val="14"/>
                <w:szCs w:val="14"/>
                <w:color w:val="auto"/>
              </w:rPr>
            </w:pPr>
          </w:p>
        </w:tc>
        <w:tc>
          <w:tcPr>
            <w:tcW w:w="640" w:type="dxa"/>
            <w:vAlign w:val="bottom"/>
          </w:tcPr>
          <w:p>
            <w:pPr>
              <w:jc w:val="right"/>
              <w:ind w:right="281"/>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(71.6</w:t>
            </w:r>
          </w:p>
        </w:tc>
        <w:tc>
          <w:tcPr>
            <w:tcW w:w="580" w:type="dxa"/>
            <w:vAlign w:val="bottom"/>
          </w:tcPr>
          <w:p>
            <w:pPr>
              <w:ind w:left="2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right"/>
              <w:ind w:right="20"/>
              <w:spacing w:after="0"/>
              <w:rPr>
                <w:sz w:val="20"/>
                <w:szCs w:val="20"/>
                <w:color w:val="auto"/>
              </w:rPr>
            </w:pPr>
            <w:r>
              <w:rPr>
                <w:rFonts w:ascii="Arial" w:cs="Arial" w:eastAsia="Arial" w:hAnsi="Arial"/>
                <w:sz w:val="12"/>
                <w:szCs w:val="12"/>
                <w:color w:val="auto"/>
                <w:w w:val="81"/>
              </w:rPr>
              <w:t>nbsp;</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344.9</w:t>
            </w:r>
          </w:p>
        </w:tc>
        <w:tc>
          <w:tcPr>
            <w:tcW w:w="180" w:type="dxa"/>
            <w:vAlign w:val="bottom"/>
          </w:tcPr>
          <w:p>
            <w:pPr>
              <w:spacing w:after="0"/>
              <w:rPr>
                <w:sz w:val="14"/>
                <w:szCs w:val="14"/>
                <w:color w:val="auto"/>
              </w:rPr>
            </w:pPr>
          </w:p>
        </w:tc>
      </w:tr>
      <w:tr>
        <w:trPr>
          <w:trHeight w:val="180"/>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 expense (benefit)</w:t>
            </w: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115.8</w:t>
            </w: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4"/>
            <w:shd w:val="clear" w:color="auto" w:fill="CCEEFF"/>
          </w:tcPr>
          <w:p>
            <w:pPr>
              <w:jc w:val="right"/>
              <w:ind w:right="192"/>
              <w:spacing w:after="0"/>
              <w:rPr>
                <w:sz w:val="20"/>
                <w:szCs w:val="20"/>
                <w:color w:val="auto"/>
              </w:rPr>
            </w:pPr>
            <w:r>
              <w:rPr>
                <w:rFonts w:ascii="Arial" w:cs="Arial" w:eastAsia="Arial" w:hAnsi="Arial"/>
                <w:sz w:val="12"/>
                <w:szCs w:val="12"/>
                <w:color w:val="auto"/>
              </w:rPr>
              <w:t>14.5</w:t>
            </w:r>
          </w:p>
        </w:tc>
        <w:tc>
          <w:tcPr>
            <w:tcW w:w="3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106.8</w:t>
            </w:r>
          </w:p>
        </w:tc>
        <w:tc>
          <w:tcPr>
            <w:tcW w:w="180" w:type="dxa"/>
            <w:vAlign w:val="bottom"/>
            <w:tcBorders>
              <w:bottom w:val="single" w:sz="8" w:color="auto"/>
            </w:tcBorders>
            <w:shd w:val="clear" w:color="auto" w:fill="CCEEFF"/>
          </w:tcPr>
          <w:p>
            <w:pPr>
              <w:spacing w:after="0"/>
              <w:rPr>
                <w:sz w:val="15"/>
                <w:szCs w:val="15"/>
                <w:color w:val="auto"/>
              </w:rPr>
            </w:pPr>
          </w:p>
        </w:tc>
      </w:tr>
      <w:tr>
        <w:trPr>
          <w:trHeight w:val="133"/>
        </w:trPr>
        <w:tc>
          <w:tcPr>
            <w:tcW w:w="3000" w:type="dxa"/>
            <w:vAlign w:val="bottom"/>
          </w:tcPr>
          <w:p>
            <w:pPr>
              <w:ind w:left="240"/>
              <w:spacing w:after="0" w:line="133" w:lineRule="exact"/>
              <w:rPr>
                <w:sz w:val="20"/>
                <w:szCs w:val="20"/>
                <w:color w:val="auto"/>
              </w:rPr>
            </w:pPr>
            <w:r>
              <w:rPr>
                <w:rFonts w:ascii="Arial" w:cs="Arial" w:eastAsia="Arial" w:hAnsi="Arial"/>
                <w:sz w:val="12"/>
                <w:szCs w:val="12"/>
                <w:color w:val="auto"/>
              </w:rPr>
              <w:t>Earnings (loss) from continuing operations, before</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2"/>
        </w:trPr>
        <w:tc>
          <w:tcPr>
            <w:tcW w:w="3000" w:type="dxa"/>
            <w:vAlign w:val="bottom"/>
          </w:tcPr>
          <w:p>
            <w:pPr>
              <w:ind w:left="20"/>
              <w:spacing w:after="0"/>
              <w:rPr>
                <w:sz w:val="20"/>
                <w:szCs w:val="20"/>
                <w:color w:val="auto"/>
              </w:rPr>
            </w:pPr>
            <w:r>
              <w:rPr>
                <w:rFonts w:ascii="Arial" w:cs="Arial" w:eastAsia="Arial" w:hAnsi="Arial"/>
                <w:sz w:val="12"/>
                <w:szCs w:val="12"/>
                <w:color w:val="auto"/>
              </w:rPr>
              <w:t>equity in earnings (loss) of unconsolidated affiliates</w:t>
            </w:r>
          </w:p>
        </w:tc>
        <w:tc>
          <w:tcPr>
            <w:tcW w:w="3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257.1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right"/>
              <w:ind w:right="192"/>
              <w:spacing w:after="0"/>
              <w:rPr>
                <w:sz w:val="20"/>
                <w:szCs w:val="20"/>
                <w:color w:val="auto"/>
              </w:rPr>
            </w:pPr>
            <w:r>
              <w:rPr>
                <w:rFonts w:ascii="Arial" w:cs="Arial" w:eastAsia="Arial" w:hAnsi="Arial"/>
                <w:sz w:val="12"/>
                <w:szCs w:val="12"/>
                <w:color w:val="auto"/>
              </w:rPr>
              <w:t>29.1</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(48.1</w:t>
            </w:r>
          </w:p>
        </w:tc>
        <w:tc>
          <w:tcPr>
            <w:tcW w:w="580" w:type="dxa"/>
            <w:vAlign w:val="bottom"/>
          </w:tcPr>
          <w:p>
            <w:pPr>
              <w:ind w:left="2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238.1</w:t>
            </w:r>
          </w:p>
        </w:tc>
        <w:tc>
          <w:tcPr>
            <w:tcW w:w="180" w:type="dxa"/>
            <w:vAlign w:val="bottom"/>
          </w:tcPr>
          <w:p>
            <w:pPr>
              <w:spacing w:after="0"/>
              <w:rPr>
                <w:sz w:val="14"/>
                <w:szCs w:val="14"/>
                <w:color w:val="auto"/>
              </w:rPr>
            </w:pPr>
          </w:p>
        </w:tc>
      </w:tr>
      <w:tr>
        <w:trPr>
          <w:trHeight w:val="180"/>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Equity in earnings (loss) of unconsolidated affiliates</w:t>
            </w: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3.8</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30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Earnings (loss) from continuing operations</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260.9</w:t>
            </w:r>
          </w:p>
        </w:tc>
        <w:tc>
          <w:tcPr>
            <w:tcW w:w="160" w:type="dxa"/>
            <w:vAlign w:val="bottom"/>
            <w:tcBorders>
              <w:top w:val="single" w:sz="8" w:color="auto"/>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4"/>
          </w:tcPr>
          <w:p>
            <w:pPr>
              <w:jc w:val="right"/>
              <w:ind w:right="192"/>
              <w:spacing w:after="0"/>
              <w:rPr>
                <w:sz w:val="20"/>
                <w:szCs w:val="20"/>
                <w:color w:val="auto"/>
              </w:rPr>
            </w:pPr>
            <w:r>
              <w:rPr>
                <w:rFonts w:ascii="Arial" w:cs="Arial" w:eastAsia="Arial" w:hAnsi="Arial"/>
                <w:sz w:val="12"/>
                <w:szCs w:val="12"/>
                <w:color w:val="auto"/>
              </w:rPr>
              <w:t>29.1</w:t>
            </w:r>
          </w:p>
        </w:tc>
        <w:tc>
          <w:tcPr>
            <w:tcW w:w="30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(63.6</w:t>
            </w:r>
          </w:p>
        </w:tc>
        <w:tc>
          <w:tcPr>
            <w:tcW w:w="5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226.4</w:t>
            </w:r>
          </w:p>
        </w:tc>
        <w:tc>
          <w:tcPr>
            <w:tcW w:w="180" w:type="dxa"/>
            <w:vAlign w:val="bottom"/>
            <w:tcBorders>
              <w:top w:val="single" w:sz="8" w:color="auto"/>
              <w:bottom w:val="single" w:sz="8" w:color="auto"/>
            </w:tcBorders>
          </w:tcPr>
          <w:p>
            <w:pPr>
              <w:spacing w:after="0"/>
              <w:rPr>
                <w:sz w:val="16"/>
                <w:szCs w:val="16"/>
                <w:color w:val="auto"/>
              </w:rPr>
            </w:pPr>
          </w:p>
        </w:tc>
      </w:tr>
      <w:tr>
        <w:trPr>
          <w:trHeight w:val="153"/>
        </w:trPr>
        <w:tc>
          <w:tcPr>
            <w:tcW w:w="3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&lt; font</w:t>
            </w: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4"/>
        </w:trPr>
        <w:tc>
          <w:tcPr>
            <w:tcW w:w="3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2"/>
                <w:szCs w:val="12"/>
                <w:color w:val="auto"/>
                <w:w w:val="93"/>
              </w:rPr>
              <w:t>style="font-</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4"/>
        </w:trPr>
        <w:tc>
          <w:tcPr>
            <w:tcW w:w="3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3"/>
            <w:shd w:val="clear" w:color="auto" w:fill="CCEEFF"/>
          </w:tcPr>
          <w:p>
            <w:pPr>
              <w:spacing w:after="0"/>
              <w:rPr>
                <w:sz w:val="20"/>
                <w:szCs w:val="20"/>
                <w:color w:val="auto"/>
              </w:rPr>
            </w:pPr>
            <w:r>
              <w:rPr>
                <w:rFonts w:ascii="Arial" w:cs="Arial" w:eastAsia="Arial" w:hAnsi="Arial"/>
                <w:sz w:val="12"/>
                <w:szCs w:val="12"/>
                <w:color w:val="auto"/>
                <w:w w:val="99"/>
              </w:rPr>
              <w:t>family:inherit;font-</w:t>
            </w:r>
          </w:p>
        </w:tc>
        <w:tc>
          <w:tcPr>
            <w:tcW w:w="3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Assets</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6,385.3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1,092.9</w:t>
            </w:r>
          </w:p>
        </w:tc>
        <w:tc>
          <w:tcPr>
            <w:tcW w:w="22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2"/>
                <w:szCs w:val="12"/>
                <w:color w:val="auto"/>
                <w:w w:val="89"/>
              </w:rPr>
              <w:t>size:10pt;"&gt;</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7,934.4</w:t>
            </w:r>
          </w:p>
        </w:tc>
        <w:tc>
          <w:tcPr>
            <w:tcW w:w="6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3000" w:type="dxa"/>
            <w:vAlign w:val="bottom"/>
          </w:tcPr>
          <w:p>
            <w:pPr>
              <w:ind w:left="240"/>
              <w:spacing w:after="0"/>
              <w:rPr>
                <w:sz w:val="20"/>
                <w:szCs w:val="20"/>
                <w:color w:val="auto"/>
              </w:rPr>
            </w:pPr>
            <w:r>
              <w:rPr>
                <w:rFonts w:ascii="Arial" w:cs="Arial" w:eastAsia="Arial" w:hAnsi="Arial"/>
                <w:sz w:val="12"/>
                <w:szCs w:val="12"/>
                <w:color w:val="auto"/>
              </w:rPr>
              <w:t>Goodwill</w:t>
            </w:r>
          </w:p>
        </w:tc>
        <w:tc>
          <w:tcPr>
            <w:tcW w:w="3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1,401.2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right"/>
              <w:ind w:right="192"/>
              <w:spacing w:after="0"/>
              <w:rPr>
                <w:sz w:val="20"/>
                <w:szCs w:val="20"/>
                <w:color w:val="auto"/>
              </w:rPr>
            </w:pPr>
            <w:r>
              <w:rPr>
                <w:rFonts w:ascii="Arial" w:cs="Arial" w:eastAsia="Arial" w:hAnsi="Arial"/>
                <w:sz w:val="12"/>
                <w:szCs w:val="12"/>
                <w:color w:val="auto"/>
              </w:rPr>
              <w:t>28.7</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25.3</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1,455.2</w:t>
            </w:r>
          </w:p>
        </w:tc>
        <w:tc>
          <w:tcPr>
            <w:tcW w:w="180" w:type="dxa"/>
            <w:vAlign w:val="bottom"/>
          </w:tcPr>
          <w:p>
            <w:pPr>
              <w:spacing w:after="0"/>
              <w:rPr>
                <w:sz w:val="14"/>
                <w:szCs w:val="14"/>
                <w:color w:val="auto"/>
              </w:rPr>
            </w:pPr>
          </w:p>
        </w:tc>
      </w:tr>
      <w:tr>
        <w:trPr>
          <w:trHeight w:val="306"/>
        </w:trPr>
        <w:tc>
          <w:tcPr>
            <w:tcW w:w="3000" w:type="dxa"/>
            <w:vAlign w:val="bottom"/>
          </w:tcPr>
          <w:p>
            <w:pPr>
              <w:ind w:left="220"/>
              <w:spacing w:after="0"/>
              <w:rPr>
                <w:sz w:val="20"/>
                <w:szCs w:val="20"/>
                <w:color w:val="auto"/>
              </w:rPr>
            </w:pPr>
            <w:r>
              <w:rPr>
                <w:rFonts w:ascii="Arial" w:cs="Arial" w:eastAsia="Arial" w:hAnsi="Arial"/>
                <w:sz w:val="12"/>
                <w:szCs w:val="12"/>
                <w:color w:val="auto"/>
              </w:rPr>
              <w:t>As of and for the year ended December 31, 2008:</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3"/>
        </w:trPr>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Fidelity National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rPr>
              <w:t>Specialty</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Corporate</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28"/>
        </w:trPr>
        <w:tc>
          <w:tcPr>
            <w:tcW w:w="3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w w:val="97"/>
              </w:rPr>
              <w:t>Title Group</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Insurance</w:t>
            </w: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color w:val="auto"/>
                <w:w w:val="85"/>
              </w:rPr>
              <w:t>and Other</w:t>
            </w: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124"/>
        </w:trPr>
        <w:tc>
          <w:tcPr>
            <w:tcW w:w="3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0"/>
                <w:szCs w:val="10"/>
                <w:b w:val="1"/>
                <w:bCs w:val="1"/>
                <w:color w:val="auto"/>
                <w:w w:val="89"/>
              </w:rPr>
              <w:t>(In millions)</w:t>
            </w: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4"/>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Title premiums</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2,695.0</w:t>
            </w:r>
          </w:p>
        </w:tc>
        <w:tc>
          <w:tcPr>
            <w:tcW w:w="80" w:type="dxa"/>
            <w:vAlign w:val="bottom"/>
            <w:shd w:val="clear" w:color="auto" w:fill="CCEEFF"/>
          </w:tcPr>
          <w:p>
            <w:pPr>
              <w:spacing w:after="0"/>
              <w:rPr>
                <w:sz w:val="16"/>
                <w:szCs w:val="16"/>
                <w:color w:val="auto"/>
              </w:rPr>
            </w:pPr>
          </w:p>
        </w:tc>
        <w:tc>
          <w:tcPr>
            <w:tcW w:w="780" w:type="dxa"/>
            <w:vAlign w:val="bottom"/>
            <w:gridSpan w:val="4"/>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2,695.0</w:t>
            </w:r>
          </w:p>
        </w:tc>
        <w:tc>
          <w:tcPr>
            <w:tcW w:w="180" w:type="dxa"/>
            <w:vAlign w:val="bottom"/>
            <w:shd w:val="clear" w:color="auto" w:fill="CCEEFF"/>
          </w:tcPr>
          <w:p>
            <w:pPr>
              <w:spacing w:after="0"/>
              <w:rPr>
                <w:sz w:val="16"/>
                <w:szCs w:val="16"/>
                <w:color w:val="auto"/>
              </w:rPr>
            </w:pPr>
          </w:p>
        </w:tc>
      </w:tr>
      <w:tr>
        <w:trPr>
          <w:trHeight w:val="171"/>
        </w:trPr>
        <w:tc>
          <w:tcPr>
            <w:tcW w:w="30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revenues</w:t>
            </w: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color w:val="auto"/>
              </w:rPr>
              <w:t>1,034.3</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373.4</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37.0</w:t>
            </w: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1,444.7</w:t>
            </w:r>
          </w:p>
        </w:tc>
        <w:tc>
          <w:tcPr>
            <w:tcW w:w="180" w:type="dxa"/>
            <w:vAlign w:val="bottom"/>
            <w:tcBorders>
              <w:bottom w:val="single" w:sz="8" w:color="auto"/>
            </w:tcBorders>
          </w:tcPr>
          <w:p>
            <w:pPr>
              <w:spacing w:after="0"/>
              <w:rPr>
                <w:sz w:val="14"/>
                <w:szCs w:val="14"/>
                <w:color w:val="auto"/>
              </w:rPr>
            </w:pPr>
          </w:p>
        </w:tc>
      </w:tr>
      <w:tr>
        <w:trPr>
          <w:trHeight w:val="178"/>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Revenues from external customers</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3,729.3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373.4</w:t>
            </w:r>
          </w:p>
        </w:tc>
        <w:tc>
          <w:tcPr>
            <w:tcW w:w="22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37.0</w:t>
            </w:r>
          </w:p>
        </w:tc>
        <w:tc>
          <w:tcPr>
            <w:tcW w:w="3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4,139.7</w:t>
            </w:r>
          </w:p>
        </w:tc>
        <w:tc>
          <w:tcPr>
            <w:tcW w:w="180" w:type="dxa"/>
            <w:vAlign w:val="bottom"/>
            <w:shd w:val="clear" w:color="auto" w:fill="CCEEFF"/>
          </w:tcPr>
          <w:p>
            <w:pPr>
              <w:spacing w:after="0"/>
              <w:rPr>
                <w:sz w:val="15"/>
                <w:szCs w:val="15"/>
                <w:color w:val="auto"/>
              </w:rPr>
            </w:pPr>
          </w:p>
        </w:tc>
      </w:tr>
      <w:tr>
        <w:trPr>
          <w:trHeight w:val="171"/>
        </w:trPr>
        <w:tc>
          <w:tcPr>
            <w:tcW w:w="4000" w:type="dxa"/>
            <w:vAlign w:val="bottom"/>
            <w:tcBorders>
              <w:bottom w:val="single" w:sz="8" w:color="CCEEFF"/>
            </w:tcBorders>
            <w:gridSpan w:val="3"/>
          </w:tcPr>
          <w:p>
            <w:pPr>
              <w:ind w:left="240"/>
              <w:spacing w:after="0"/>
              <w:rPr>
                <w:sz w:val="20"/>
                <w:szCs w:val="20"/>
                <w:color w:val="auto"/>
              </w:rPr>
            </w:pPr>
            <w:r>
              <w:rPr>
                <w:rFonts w:ascii="Arial" w:cs="Arial" w:eastAsia="Arial" w:hAnsi="Arial"/>
                <w:sz w:val="12"/>
                <w:szCs w:val="12"/>
                <w:color w:val="auto"/>
              </w:rPr>
              <w:t>Interest and investment income, including realized gains and losses</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87.3</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2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14.3</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111.5</w:t>
            </w:r>
          </w:p>
        </w:tc>
        <w:tc>
          <w:tcPr>
            <w:tcW w:w="180" w:type="dxa"/>
            <w:vAlign w:val="bottom"/>
            <w:tcBorders>
              <w:bottom w:val="single" w:sz="8" w:color="auto"/>
            </w:tcBorders>
          </w:tcPr>
          <w:p>
            <w:pPr>
              <w:spacing w:after="0"/>
              <w:rPr>
                <w:sz w:val="14"/>
                <w:szCs w:val="14"/>
                <w:color w:val="auto"/>
              </w:rPr>
            </w:pPr>
          </w:p>
        </w:tc>
      </w:tr>
      <w:tr>
        <w:trPr>
          <w:trHeight w:val="169"/>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revenues</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3,816.6</w:t>
            </w:r>
          </w:p>
        </w:tc>
        <w:tc>
          <w:tcPr>
            <w:tcW w:w="80" w:type="dxa"/>
            <w:vAlign w:val="bottom"/>
            <w:shd w:val="clear" w:color="auto" w:fill="CCEEFF"/>
          </w:tcPr>
          <w:p>
            <w:pPr>
              <w:spacing w:after="0"/>
              <w:rPr>
                <w:sz w:val="14"/>
                <w:szCs w:val="14"/>
                <w:color w:val="auto"/>
              </w:rPr>
            </w:pPr>
          </w:p>
        </w:tc>
        <w:tc>
          <w:tcPr>
            <w:tcW w:w="780" w:type="dxa"/>
            <w:vAlign w:val="bottom"/>
            <w:gridSpan w:val="4"/>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383.3</w:t>
            </w:r>
          </w:p>
        </w:tc>
        <w:tc>
          <w:tcPr>
            <w:tcW w:w="220" w:type="dxa"/>
            <w:vAlign w:val="bottom"/>
            <w:shd w:val="clear" w:color="auto" w:fill="CCEEFF"/>
          </w:tcPr>
          <w:p>
            <w:pPr>
              <w:spacing w:after="0"/>
              <w:rPr>
                <w:sz w:val="14"/>
                <w:szCs w:val="14"/>
                <w:color w:val="auto"/>
              </w:rPr>
            </w:pPr>
          </w:p>
        </w:tc>
        <w:tc>
          <w:tcPr>
            <w:tcW w:w="380" w:type="dxa"/>
            <w:vAlign w:val="bottom"/>
            <w:tcBorders>
              <w:right w:val="single" w:sz="8" w:color="CCEEFF"/>
            </w:tcBorders>
          </w:tcPr>
          <w:p>
            <w:pPr>
              <w:spacing w:after="0"/>
              <w:rPr>
                <w:sz w:val="14"/>
                <w:szCs w:val="14"/>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51.3</w:t>
            </w:r>
          </w:p>
        </w:tc>
        <w:tc>
          <w:tcPr>
            <w:tcW w:w="34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4,251.2</w:t>
            </w:r>
          </w:p>
        </w:tc>
        <w:tc>
          <w:tcPr>
            <w:tcW w:w="180" w:type="dxa"/>
            <w:vAlign w:val="bottom"/>
            <w:shd w:val="clear" w:color="auto" w:fill="CCEEFF"/>
          </w:tcPr>
          <w:p>
            <w:pPr>
              <w:spacing w:after="0"/>
              <w:rPr>
                <w:sz w:val="14"/>
                <w:szCs w:val="14"/>
                <w:color w:val="auto"/>
              </w:rPr>
            </w:pPr>
          </w:p>
        </w:tc>
      </w:tr>
      <w:tr>
        <w:trPr>
          <w:trHeight w:val="169"/>
        </w:trPr>
        <w:tc>
          <w:tcPr>
            <w:tcW w:w="30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rPr>
              <w:t>115.0</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2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2.2</w:t>
            </w:r>
          </w:p>
        </w:tc>
        <w:tc>
          <w:tcPr>
            <w:tcW w:w="3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122.1</w:t>
            </w:r>
          </w:p>
        </w:tc>
        <w:tc>
          <w:tcPr>
            <w:tcW w:w="180" w:type="dxa"/>
            <w:vAlign w:val="bottom"/>
            <w:tcBorders>
              <w:top w:val="single" w:sz="8" w:color="auto"/>
            </w:tcBorders>
          </w:tcPr>
          <w:p>
            <w:pPr>
              <w:spacing w:after="0"/>
              <w:rPr>
                <w:sz w:val="14"/>
                <w:szCs w:val="14"/>
                <w:color w:val="auto"/>
              </w:rPr>
            </w:pPr>
          </w:p>
        </w:tc>
      </w:tr>
      <w:tr>
        <w:trPr>
          <w:trHeight w:val="189"/>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expense</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22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52.4</w:t>
            </w:r>
          </w:p>
        </w:tc>
        <w:tc>
          <w:tcPr>
            <w:tcW w:w="340" w:type="dxa"/>
            <w:vAlign w:val="bottom"/>
            <w:tcBorders>
              <w:right w:val="single" w:sz="8" w:color="CCEEFF"/>
            </w:tcBorders>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58.6</w:t>
            </w:r>
          </w:p>
        </w:tc>
        <w:tc>
          <w:tcPr>
            <w:tcW w:w="180" w:type="dxa"/>
            <w:vAlign w:val="bottom"/>
            <w:shd w:val="clear" w:color="auto" w:fill="CCEEFF"/>
          </w:tcPr>
          <w:p>
            <w:pPr>
              <w:spacing w:after="0"/>
              <w:rPr>
                <w:sz w:val="16"/>
                <w:szCs w:val="16"/>
                <w:color w:val="auto"/>
              </w:rPr>
            </w:pPr>
          </w:p>
        </w:tc>
      </w:tr>
      <w:tr>
        <w:trPr>
          <w:trHeight w:val="153"/>
        </w:trPr>
        <w:tc>
          <w:tcPr>
            <w:tcW w:w="4380" w:type="dxa"/>
            <w:vAlign w:val="bottom"/>
            <w:gridSpan w:val="4"/>
          </w:tcPr>
          <w:p>
            <w:pPr>
              <w:ind w:left="240"/>
              <w:spacing w:after="0"/>
              <w:rPr>
                <w:sz w:val="20"/>
                <w:szCs w:val="20"/>
                <w:color w:val="auto"/>
              </w:rPr>
            </w:pPr>
            <w:r>
              <w:rPr>
                <w:rFonts w:ascii="Arial" w:cs="Arial" w:eastAsia="Arial" w:hAnsi="Arial"/>
                <w:sz w:val="12"/>
                <w:szCs w:val="12"/>
                <w:color w:val="auto"/>
              </w:rPr>
              <w:t>(Loss) earnings from continuing operations, be fore income taxes and equity</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3000" w:type="dxa"/>
            <w:vAlign w:val="bottom"/>
          </w:tcPr>
          <w:p>
            <w:pPr>
              <w:ind w:left="20"/>
              <w:spacing w:after="0"/>
              <w:rPr>
                <w:sz w:val="20"/>
                <w:szCs w:val="20"/>
                <w:color w:val="auto"/>
              </w:rPr>
            </w:pPr>
            <w:r>
              <w:rPr>
                <w:rFonts w:ascii="Arial" w:cs="Arial" w:eastAsia="Arial" w:hAnsi="Arial"/>
                <w:sz w:val="12"/>
                <w:szCs w:val="12"/>
                <w:color w:val="auto"/>
              </w:rPr>
              <w:t>in earnings (loss) of unconsolidated affiliates</w:t>
            </w: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120"/>
              <w:spacing w:after="0"/>
              <w:rPr>
                <w:sz w:val="20"/>
                <w:szCs w:val="20"/>
                <w:color w:val="auto"/>
              </w:rPr>
            </w:pPr>
            <w:r>
              <w:rPr>
                <w:rFonts w:ascii="Arial" w:cs="Arial" w:eastAsia="Arial" w:hAnsi="Arial"/>
                <w:sz w:val="12"/>
                <w:szCs w:val="12"/>
                <w:color w:val="auto"/>
                <w:w w:val="93"/>
              </w:rPr>
              <w:t>(231.0</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4"/>
          </w:tcPr>
          <w:p>
            <w:pPr>
              <w:ind w:left="5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35.0</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(83.7</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(279.7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 (benefit) expense</w:t>
            </w: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(98.2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2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(33.4</w:t>
            </w:r>
          </w:p>
        </w:tc>
        <w:tc>
          <w:tcPr>
            <w:tcW w:w="34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380" w:type="dxa"/>
            <w:vAlign w:val="bottom"/>
            <w:gridSpan w:val="4"/>
          </w:tcPr>
          <w:p>
            <w:pPr>
              <w:ind w:left="240"/>
              <w:spacing w:after="0"/>
              <w:rPr>
                <w:sz w:val="20"/>
                <w:szCs w:val="20"/>
                <w:color w:val="auto"/>
              </w:rPr>
            </w:pPr>
            <w:r>
              <w:rPr>
                <w:rFonts w:ascii="Arial" w:cs="Arial" w:eastAsia="Arial" w:hAnsi="Arial"/>
                <w:sz w:val="12"/>
                <w:szCs w:val="12"/>
                <w:color w:val="auto"/>
              </w:rPr>
              <w:t>(Loss) earnings from continuing operations, before equity in earnings (loss)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2"/>
        </w:trPr>
        <w:tc>
          <w:tcPr>
            <w:tcW w:w="3000" w:type="dxa"/>
            <w:vAlign w:val="bottom"/>
          </w:tcPr>
          <w:p>
            <w:pPr>
              <w:ind w:left="20"/>
              <w:spacing w:after="0"/>
              <w:rPr>
                <w:sz w:val="20"/>
                <w:szCs w:val="20"/>
                <w:color w:val="auto"/>
              </w:rPr>
            </w:pPr>
            <w:r>
              <w:rPr>
                <w:rFonts w:ascii="Arial" w:cs="Arial" w:eastAsia="Arial" w:hAnsi="Arial"/>
                <w:sz w:val="12"/>
                <w:szCs w:val="12"/>
                <w:color w:val="auto"/>
              </w:rPr>
              <w:t>of unconsolidated affiliates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120"/>
              <w:spacing w:after="0"/>
              <w:rPr>
                <w:sz w:val="20"/>
                <w:szCs w:val="20"/>
                <w:color w:val="auto"/>
              </w:rPr>
            </w:pPr>
            <w:r>
              <w:rPr>
                <w:rFonts w:ascii="Arial" w:cs="Arial" w:eastAsia="Arial" w:hAnsi="Arial"/>
                <w:sz w:val="12"/>
                <w:szCs w:val="12"/>
                <w:color w:val="auto"/>
                <w:w w:val="93"/>
              </w:rPr>
              <w:t>(132.8</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23.3</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(50.3</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(159.8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Equity in earnings (loss) of unconsolidated affiliates</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1.1</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34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30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(Loss) earnings from continuing operations</w:t>
            </w:r>
          </w:p>
        </w:tc>
        <w:tc>
          <w:tcPr>
            <w:tcW w:w="3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93"/>
              </w:rPr>
              <w:t>(131.7</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w:t>
            </w: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(64.8</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(173.2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3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Assets</w:t>
            </w: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6,766.2</w:t>
            </w:r>
          </w:p>
        </w:tc>
        <w:tc>
          <w:tcPr>
            <w:tcW w:w="80" w:type="dxa"/>
            <w:vAlign w:val="bottom"/>
            <w:shd w:val="clear" w:color="auto" w:fill="CCEEFF"/>
          </w:tcPr>
          <w:p>
            <w:pPr>
              <w:spacing w:after="0"/>
              <w:rPr>
                <w:sz w:val="15"/>
                <w:szCs w:val="15"/>
                <w:color w:val="auto"/>
              </w:rPr>
            </w:pPr>
          </w:p>
        </w:tc>
        <w:tc>
          <w:tcPr>
            <w:tcW w:w="780" w:type="dxa"/>
            <w:vAlign w:val="bottom"/>
            <w:gridSpan w:val="4"/>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422.6</w:t>
            </w:r>
          </w:p>
        </w:tc>
        <w:tc>
          <w:tcPr>
            <w:tcW w:w="22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1,179.4</w:t>
            </w:r>
          </w:p>
        </w:tc>
        <w:tc>
          <w:tcPr>
            <w:tcW w:w="3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8,368.2</w:t>
            </w:r>
          </w:p>
        </w:tc>
        <w:tc>
          <w:tcPr>
            <w:tcW w:w="180" w:type="dxa"/>
            <w:vAlign w:val="bottom"/>
            <w:shd w:val="clear" w:color="auto" w:fill="CCEEFF"/>
          </w:tcPr>
          <w:p>
            <w:pPr>
              <w:spacing w:after="0"/>
              <w:rPr>
                <w:sz w:val="15"/>
                <w:szCs w:val="15"/>
                <w:color w:val="auto"/>
              </w:rPr>
            </w:pPr>
          </w:p>
        </w:tc>
      </w:tr>
      <w:tr>
        <w:trPr>
          <w:trHeight w:val="162"/>
        </w:trPr>
        <w:tc>
          <w:tcPr>
            <w:tcW w:w="3000" w:type="dxa"/>
            <w:vAlign w:val="bottom"/>
          </w:tcPr>
          <w:p>
            <w:pPr>
              <w:ind w:left="240"/>
              <w:spacing w:after="0"/>
              <w:rPr>
                <w:sz w:val="20"/>
                <w:szCs w:val="20"/>
                <w:color w:val="auto"/>
              </w:rPr>
            </w:pPr>
            <w:r>
              <w:rPr>
                <w:rFonts w:ascii="Arial" w:cs="Arial" w:eastAsia="Arial" w:hAnsi="Arial"/>
                <w:sz w:val="12"/>
                <w:szCs w:val="12"/>
                <w:color w:val="auto"/>
              </w:rPr>
              <w:t>Goodwill</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2"/>
                <w:szCs w:val="12"/>
                <w:color w:val="auto"/>
              </w:rPr>
              <w:t>1,484.3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28.7</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68.7</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1,581.7</w:t>
            </w:r>
          </w:p>
        </w:tc>
        <w:tc>
          <w:tcPr>
            <w:tcW w:w="180" w:type="dxa"/>
            <w:vAlign w:val="bottom"/>
          </w:tcPr>
          <w:p>
            <w:pPr>
              <w:spacing w:after="0"/>
              <w:rPr>
                <w:sz w:val="14"/>
                <w:szCs w:val="14"/>
                <w:color w:val="auto"/>
              </w:rPr>
            </w:pPr>
          </w:p>
        </w:tc>
      </w:tr>
    </w:tbl>
    <w:p>
      <w:pPr>
        <w:spacing w:after="0" w:line="15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activities of the reportable segments include the following:</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Fidelity National Title Group</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620"/>
          </w:cols>
          <w:pgMar w:left="1080" w:top="131" w:right="199" w:bottom="1440" w:gutter="0" w:footer="0" w:header="0"/>
        </w:sectPr>
      </w:pPr>
    </w:p>
    <w:bookmarkStart w:id="85" w:name="page86"/>
    <w:bookmarkEnd w:id="85"/>
    <w:p>
      <w:pPr>
        <w:ind w:left="368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5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auto"/>
        </w:rPr>
        <w:t>Specialty Insurance</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This segment consists of certain subsidiaries that issue flood, home warranty, homeowners’, automobile, and other personal lines insurance policies.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Corporate and Other</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corporate and other segment consists of the operations of the parent holding company, certain other unallocated corporate overhead expenses, other smaller operations, and our share in the operations of certain equity method investments, including Ceridian and Remy and our former investment in Sedgwick. During the year ended December 31, 2008, we recorded a $4.0 million impairment charge to an intangible asset in the corporate and other segment.</w:t>
      </w:r>
    </w:p>
    <w:p>
      <w:pPr>
        <w:spacing w:after="0" w:line="119" w:lineRule="exact"/>
        <w:rPr>
          <w:sz w:val="20"/>
          <w:szCs w:val="20"/>
          <w:color w:val="auto"/>
        </w:rPr>
      </w:pPr>
    </w:p>
    <w:p>
      <w:pPr>
        <w:ind w:left="1080"/>
        <w:spacing w:after="0"/>
        <w:tabs>
          <w:tab w:leader="none" w:pos="1620" w:val="left"/>
        </w:tabs>
        <w:rPr>
          <w:sz w:val="20"/>
          <w:szCs w:val="20"/>
          <w:color w:val="auto"/>
        </w:rPr>
      </w:pPr>
      <w:r>
        <w:rPr>
          <w:rFonts w:ascii="Arial" w:cs="Arial" w:eastAsia="Arial" w:hAnsi="Arial"/>
          <w:sz w:val="12"/>
          <w:szCs w:val="12"/>
          <w:b w:val="1"/>
          <w:bCs w:val="1"/>
          <w:color w:val="auto"/>
        </w:rPr>
        <w:t>Note R.</w:t>
      </w:r>
      <w:r>
        <w:rPr>
          <w:sz w:val="20"/>
          <w:szCs w:val="20"/>
          <w:color w:val="auto"/>
        </w:rPr>
        <w:tab/>
      </w:r>
      <w:r>
        <w:rPr>
          <w:rFonts w:ascii="Arial" w:cs="Arial" w:eastAsia="Arial" w:hAnsi="Arial"/>
          <w:sz w:val="10"/>
          <w:szCs w:val="10"/>
          <w:b w:val="1"/>
          <w:bCs w:val="1"/>
          <w:color w:val="auto"/>
        </w:rPr>
        <w:t>Recent Accounting Pronouncements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December 2010, the FASB updated ASC Topic 805, to clarify disclosure requirements related to comparative financial statements presented as a result of a business combination. This update is effective prospectively for business combinations occurring during the first annual reporting period beginning on or after December 15, 2010. We do not expect this update to have a material impact on our financial condition or results of operations.</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December 2010, the FASB updated ASC Topic 350, expanding requirements over goodwill impairment testing. Under the modified guidance, all companies must assess the existence and extent of impairment on all reporting units whose carrying amounts are zero or negative considering both quantitative and qualitative factors. This update is effective for interim and annual periods beginning after December 15, 2010. We do not expect this update to have a material impact on our financial condition or results of operations.</w:t>
      </w:r>
    </w:p>
    <w:p>
      <w:pPr>
        <w:spacing w:after="0" w:line="123"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In January 2010, the FASB updated ASC Topic 820, to require a dditional disclosures about fair value measurements regarding transfers between fair value categories as well as purchases, sales, issuances and settlements related to fair value measurements of financial instruments with non-observable inputs. This update is effective for interim and annual periods beginning after December 15, 2009 except for disclosures about purchases, sales, issuances and settlements of financial instruments with non-observable inputs, which are effective for years beginning after December 15, 2010. These additional disclosure requirements required for the year ended December 31, 2010 have not impacted our disclosures on fair value measurements. We do not expect the update effective for the year ending December 31, 2011 to have a material impact on our financial condition or results of operations.</w:t>
      </w:r>
    </w:p>
    <w:p>
      <w:pPr>
        <w:spacing w:after="0" w:line="200" w:lineRule="exact"/>
        <w:rPr>
          <w:sz w:val="20"/>
          <w:szCs w:val="20"/>
          <w:color w:val="auto"/>
        </w:rPr>
      </w:pPr>
    </w:p>
    <w:p>
      <w:pPr>
        <w:spacing w:after="0" w:line="214"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620"/>
          </w:cols>
          <w:pgMar w:left="1080" w:top="126" w:right="199" w:bottom="1440" w:gutter="0" w:footer="0" w:header="0"/>
        </w:sectPr>
      </w:pPr>
    </w:p>
    <w:bookmarkStart w:id="86" w:name="page87"/>
    <w:bookmarkEnd w:id="86"/>
    <w:p>
      <w:pPr>
        <w:ind w:left="2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i w:val="1"/>
          <w:iCs w:val="1"/>
          <w:color w:val="auto"/>
        </w:rPr>
        <w:t>Changes in and Disagreements with Accountants on Accounting and Financial Disclosure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0"/>
          <w:szCs w:val="10"/>
          <w:b w:val="1"/>
          <w:bCs w:val="1"/>
          <w:i w:val="1"/>
          <w:iCs w:val="1"/>
          <w:color w:val="auto"/>
        </w:rPr>
        <w:t>Controls and Procedures</w:t>
      </w:r>
    </w:p>
    <w:p>
      <w:pPr>
        <w:spacing w:after="0" w:line="15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12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There were no changes in our internal control over financial reporting that occurred during the quarter ended December 31, 2010 that have materially affected, or are reasonably likely to materially affect, our internal control over financial reporting.</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MANAGEMENT’S REPORT ON INTERNAL CONTROL OVER FINANCIAL REPORTING</w:t>
      </w:r>
    </w:p>
    <w:p>
      <w:pPr>
        <w:spacing w:after="0" w:line="15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 xml:space="preserve">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 Treadway Commission (COSO). Based on our evaluation under this framework, our management concluded that our internal control over financial reporting was effective as of December 31, 2010. The effectiveness of our internal control over financial reporting as of December 31, 2010 has been audited by KPMG LLP, an independent registered public accounting firm, as stated in their report which is included herein.</w:t>
      </w:r>
    </w:p>
    <w:p>
      <w:pPr>
        <w:spacing w:after="0" w:line="122"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0"/>
          <w:szCs w:val="10"/>
          <w:b w:val="1"/>
          <w:bCs w:val="1"/>
          <w:i w:val="1"/>
          <w:iCs w:val="1"/>
          <w:color w:val="auto"/>
        </w:rPr>
        <w:t>Other Information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Items 10-14.</w:t>
      </w:r>
    </w:p>
    <w:p>
      <w:pPr>
        <w:spacing w:after="0" w:line="154" w:lineRule="exact"/>
        <w:rPr>
          <w:sz w:val="20"/>
          <w:szCs w:val="20"/>
          <w:color w:val="auto"/>
        </w:rPr>
      </w:pPr>
    </w:p>
    <w:p>
      <w:pPr>
        <w:jc w:val="both"/>
        <w:ind w:firstLine="246"/>
        <w:spacing w:after="0" w:line="276" w:lineRule="auto"/>
        <w:rPr>
          <w:sz w:val="20"/>
          <w:szCs w:val="20"/>
          <w:color w:val="auto"/>
        </w:rPr>
      </w:pPr>
      <w:r>
        <w:rPr>
          <w:rFonts w:ascii="Arial" w:cs="Arial" w:eastAsia="Arial" w:hAnsi="Arial"/>
          <w:sz w:val="12"/>
          <w:szCs w:val="12"/>
          <w:color w:val="auto"/>
        </w:rPr>
        <w:t>Within 120 days after the close of our fiscal year, we intend to file with the Securities and Exchange Commission a definitive proxy statement pursuant to Regulation 14A of the Securities Exchange Act of 1934 as amended, which will include the matters required by these items.</w:t>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0" w:type="dxa"/>
            <w:vAlign w:val="bottom"/>
            <w:gridSpan w:val="3"/>
          </w:tcPr>
          <w:p>
            <w:pPr>
              <w:jc w:val="center"/>
              <w:ind w:right="3440"/>
              <w:spacing w:after="0"/>
              <w:rPr>
                <w:sz w:val="20"/>
                <w:szCs w:val="20"/>
                <w:color w:val="auto"/>
              </w:rPr>
            </w:pPr>
            <w:r>
              <w:rPr>
                <w:rFonts w:ascii="Arial" w:cs="Arial" w:eastAsia="Arial" w:hAnsi="Arial"/>
                <w:sz w:val="12"/>
                <w:szCs w:val="12"/>
                <w:b w:val="1"/>
                <w:bCs w:val="1"/>
                <w:color w:val="auto"/>
              </w:rPr>
              <w:t>PART IV</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100" w:type="dxa"/>
            <w:vAlign w:val="bottom"/>
            <w:gridSpan w:val="7"/>
          </w:tcPr>
          <w:p>
            <w:pPr>
              <w:ind w:left="40"/>
              <w:spacing w:after="0"/>
              <w:rPr>
                <w:sz w:val="20"/>
                <w:szCs w:val="20"/>
                <w:color w:val="auto"/>
              </w:rPr>
            </w:pPr>
            <w:r>
              <w:rPr>
                <w:rFonts w:ascii="Arial" w:cs="Arial" w:eastAsia="Arial" w:hAnsi="Arial"/>
                <w:sz w:val="12"/>
                <w:szCs w:val="12"/>
                <w:b w:val="1"/>
                <w:bCs w:val="1"/>
                <w:color w:val="auto"/>
              </w:rPr>
              <w:t xml:space="preserve">Item 15.  </w:t>
            </w:r>
            <w:r>
              <w:rPr>
                <w:rFonts w:ascii="Arial" w:cs="Arial" w:eastAsia="Arial" w:hAnsi="Arial"/>
                <w:sz w:val="12"/>
                <w:szCs w:val="12"/>
                <w:b w:val="1"/>
                <w:bCs w:val="1"/>
                <w:i w:val="1"/>
                <w:iCs w:val="1"/>
                <w:color w:val="auto"/>
              </w:rPr>
              <w:t>Exhibits, Financial Statement Schedules and Reports on Form 8-K</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9220" w:type="dxa"/>
            <w:vAlign w:val="bottom"/>
            <w:gridSpan w:val="10"/>
          </w:tcPr>
          <w:p>
            <w:pPr>
              <w:spacing w:after="0"/>
              <w:rPr>
                <w:sz w:val="20"/>
                <w:szCs w:val="20"/>
                <w:color w:val="auto"/>
              </w:rPr>
            </w:pPr>
            <w:r>
              <w:rPr>
                <w:rFonts w:ascii="Arial" w:cs="Arial" w:eastAsia="Arial" w:hAnsi="Arial"/>
                <w:sz w:val="12"/>
                <w:szCs w:val="12"/>
                <w:color w:val="auto"/>
                <w:w w:val="99"/>
              </w:rPr>
              <w:t>(a) (1) Financial Statements. The following is a list of the Consolidated Financial Statements of Fidelity National Financial, Inc. and its subsidiaries included in Item 8 of Part II: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5820" w:type="dxa"/>
            <w:vAlign w:val="bottom"/>
            <w:gridSpan w:val="8"/>
          </w:tcPr>
          <w:p>
            <w:pPr>
              <w:spacing w:after="0"/>
              <w:rPr>
                <w:rFonts w:ascii="Arial" w:cs="Arial" w:eastAsia="Arial" w:hAnsi="Arial"/>
                <w:sz w:val="12"/>
                <w:szCs w:val="12"/>
                <w:color w:val="0000FF"/>
                <w:w w:val="91"/>
              </w:rPr>
            </w:pPr>
            <w:hyperlink w:anchor="page47">
              <w:r>
                <w:rPr>
                  <w:rFonts w:ascii="Arial" w:cs="Arial" w:eastAsia="Arial" w:hAnsi="Arial"/>
                  <w:sz w:val="12"/>
                  <w:szCs w:val="12"/>
                  <w:color w:val="0000FF"/>
                  <w:w w:val="91"/>
                </w:rPr>
                <w:t>Report of Independent Registered Public Accounting Firm on Effectiveness of Intern al Control over Financial Reporting</w:t>
              </w:r>
            </w:hyperlink>
          </w:p>
        </w:tc>
        <w:tc>
          <w:tcPr>
            <w:tcW w:w="3380" w:type="dxa"/>
            <w:vAlign w:val="bottom"/>
          </w:tcPr>
          <w:p>
            <w:pPr>
              <w:spacing w:after="0"/>
              <w:rPr>
                <w:sz w:val="19"/>
                <w:szCs w:val="19"/>
                <w:color w:val="auto"/>
              </w:rPr>
            </w:pPr>
          </w:p>
        </w:tc>
        <w:tc>
          <w:tcPr>
            <w:tcW w:w="820" w:type="dxa"/>
            <w:vAlign w:val="bottom"/>
            <w:gridSpan w:val="2"/>
          </w:tcPr>
          <w:p>
            <w:pPr>
              <w:jc w:val="right"/>
              <w:spacing w:after="0"/>
              <w:rPr>
                <w:rFonts w:ascii="Arial" w:cs="Arial" w:eastAsia="Arial" w:hAnsi="Arial"/>
                <w:sz w:val="12"/>
                <w:szCs w:val="12"/>
                <w:color w:val="0000FF"/>
              </w:rPr>
            </w:pPr>
            <w:hyperlink w:anchor="page47">
              <w:r>
                <w:rPr>
                  <w:rFonts w:ascii="Arial" w:cs="Arial" w:eastAsia="Arial" w:hAnsi="Arial"/>
                  <w:sz w:val="12"/>
                  <w:szCs w:val="12"/>
                  <w:color w:val="0000FF"/>
                </w:rPr>
                <w:t>48</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820" w:type="dxa"/>
            <w:vAlign w:val="bottom"/>
            <w:gridSpan w:val="8"/>
          </w:tcPr>
          <w:p>
            <w:pPr>
              <w:spacing w:after="0"/>
              <w:rPr>
                <w:rFonts w:ascii="Arial" w:cs="Arial" w:eastAsia="Arial" w:hAnsi="Arial"/>
                <w:sz w:val="12"/>
                <w:szCs w:val="12"/>
                <w:color w:val="0000FF"/>
              </w:rPr>
            </w:pPr>
            <w:hyperlink w:anchor="page48">
              <w:r>
                <w:rPr>
                  <w:rFonts w:ascii="Arial" w:cs="Arial" w:eastAsia="Arial" w:hAnsi="Arial"/>
                  <w:sz w:val="12"/>
                  <w:szCs w:val="12"/>
                  <w:color w:val="0000FF"/>
                </w:rPr>
                <w:t>Report of Independent Registered Public Accounting Firm on Financial Statements</w:t>
              </w:r>
            </w:hyperlink>
          </w:p>
        </w:tc>
        <w:tc>
          <w:tcPr>
            <w:tcW w:w="3380" w:type="dxa"/>
            <w:vAlign w:val="bottom"/>
          </w:tcPr>
          <w:p>
            <w:pPr>
              <w:spacing w:after="0"/>
              <w:rPr>
                <w:sz w:val="13"/>
                <w:szCs w:val="13"/>
                <w:color w:val="auto"/>
              </w:rPr>
            </w:pPr>
          </w:p>
        </w:tc>
        <w:tc>
          <w:tcPr>
            <w:tcW w:w="820" w:type="dxa"/>
            <w:vAlign w:val="bottom"/>
            <w:gridSpan w:val="2"/>
          </w:tcPr>
          <w:p>
            <w:pPr>
              <w:jc w:val="right"/>
              <w:spacing w:after="0"/>
              <w:rPr>
                <w:rFonts w:ascii="Arial" w:cs="Arial" w:eastAsia="Arial" w:hAnsi="Arial"/>
                <w:sz w:val="12"/>
                <w:szCs w:val="12"/>
                <w:color w:val="0000FF"/>
              </w:rPr>
            </w:pPr>
            <w:hyperlink w:anchor="page48">
              <w:r>
                <w:rPr>
                  <w:rFonts w:ascii="Arial" w:cs="Arial" w:eastAsia="Arial" w:hAnsi="Arial"/>
                  <w:sz w:val="12"/>
                  <w:szCs w:val="12"/>
                  <w:color w:val="0000FF"/>
                </w:rPr>
                <w:t>49</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100" w:type="dxa"/>
            <w:vAlign w:val="bottom"/>
            <w:gridSpan w:val="2"/>
          </w:tcPr>
          <w:p>
            <w:pPr>
              <w:spacing w:after="0"/>
              <w:rPr>
                <w:rFonts w:ascii="Arial" w:cs="Arial" w:eastAsia="Arial" w:hAnsi="Arial"/>
                <w:sz w:val="12"/>
                <w:szCs w:val="12"/>
                <w:color w:val="0000FF"/>
                <w:w w:val="88"/>
              </w:rPr>
            </w:pPr>
            <w:hyperlink w:anchor="page49">
              <w:r>
                <w:rPr>
                  <w:rFonts w:ascii="Arial" w:cs="Arial" w:eastAsia="Arial" w:hAnsi="Arial"/>
                  <w:sz w:val="12"/>
                  <w:szCs w:val="12"/>
                  <w:color w:val="0000FF"/>
                  <w:w w:val="88"/>
                </w:rPr>
                <w:t>Consolidated Balance Sheets as of December 31, 2010 and 2009</w:t>
              </w:r>
            </w:hyperlink>
          </w:p>
        </w:tc>
        <w:tc>
          <w:tcPr>
            <w:tcW w:w="880" w:type="dxa"/>
            <w:vAlign w:val="bottom"/>
          </w:tcPr>
          <w:p>
            <w:pPr>
              <w:spacing w:after="0"/>
              <w:rPr>
                <w:sz w:val="13"/>
                <w:szCs w:val="13"/>
                <w:color w:val="auto"/>
              </w:rPr>
            </w:pPr>
          </w:p>
        </w:tc>
        <w:tc>
          <w:tcPr>
            <w:tcW w:w="5220" w:type="dxa"/>
            <w:vAlign w:val="bottom"/>
            <w:gridSpan w:val="6"/>
          </w:tcPr>
          <w:p>
            <w:pPr>
              <w:spacing w:after="0"/>
              <w:rPr>
                <w:sz w:val="13"/>
                <w:szCs w:val="13"/>
                <w:color w:val="auto"/>
              </w:rPr>
            </w:pPr>
          </w:p>
        </w:tc>
        <w:tc>
          <w:tcPr>
            <w:tcW w:w="820" w:type="dxa"/>
            <w:vAlign w:val="bottom"/>
            <w:gridSpan w:val="2"/>
          </w:tcPr>
          <w:p>
            <w:pPr>
              <w:jc w:val="right"/>
              <w:spacing w:after="0"/>
              <w:rPr>
                <w:rFonts w:ascii="Arial" w:cs="Arial" w:eastAsia="Arial" w:hAnsi="Arial"/>
                <w:sz w:val="12"/>
                <w:szCs w:val="12"/>
                <w:color w:val="0000FF"/>
              </w:rPr>
            </w:pPr>
            <w:hyperlink w:anchor="page49">
              <w:r>
                <w:rPr>
                  <w:rFonts w:ascii="Arial" w:cs="Arial" w:eastAsia="Arial" w:hAnsi="Arial"/>
                  <w:sz w:val="12"/>
                  <w:szCs w:val="12"/>
                  <w:color w:val="0000FF"/>
                </w:rPr>
                <w:t>50</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200" w:type="dxa"/>
            <w:vAlign w:val="bottom"/>
            <w:gridSpan w:val="9"/>
          </w:tcPr>
          <w:p>
            <w:pPr>
              <w:spacing w:after="0"/>
              <w:rPr>
                <w:rFonts w:ascii="Arial" w:cs="Arial" w:eastAsia="Arial" w:hAnsi="Arial"/>
                <w:sz w:val="12"/>
                <w:szCs w:val="12"/>
                <w:color w:val="0000FF"/>
              </w:rPr>
            </w:pPr>
            <w:hyperlink w:anchor="page50">
              <w:r>
                <w:rPr>
                  <w:rFonts w:ascii="Arial" w:cs="Arial" w:eastAsia="Arial" w:hAnsi="Arial"/>
                  <w:sz w:val="12"/>
                  <w:szCs w:val="12"/>
                  <w:color w:val="0000FF"/>
                </w:rPr>
                <w:t>Consolidated Statements of Operations for the years ended December 31, 2010, 2009 and 2008</w:t>
              </w:r>
            </w:hyperlink>
          </w:p>
        </w:tc>
        <w:tc>
          <w:tcPr>
            <w:tcW w:w="820" w:type="dxa"/>
            <w:vAlign w:val="bottom"/>
            <w:gridSpan w:val="2"/>
          </w:tcPr>
          <w:p>
            <w:pPr>
              <w:jc w:val="right"/>
              <w:spacing w:after="0"/>
              <w:rPr>
                <w:rFonts w:ascii="Arial" w:cs="Arial" w:eastAsia="Arial" w:hAnsi="Arial"/>
                <w:sz w:val="12"/>
                <w:szCs w:val="12"/>
                <w:color w:val="0000FF"/>
              </w:rPr>
            </w:pPr>
            <w:hyperlink w:anchor="page50">
              <w:r>
                <w:rPr>
                  <w:rFonts w:ascii="Arial" w:cs="Arial" w:eastAsia="Arial" w:hAnsi="Arial"/>
                  <w:sz w:val="12"/>
                  <w:szCs w:val="12"/>
                  <w:color w:val="0000FF"/>
                </w:rPr>
                <w:t>51</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9200" w:type="dxa"/>
            <w:vAlign w:val="bottom"/>
            <w:gridSpan w:val="9"/>
          </w:tcPr>
          <w:p>
            <w:pPr>
              <w:spacing w:after="0"/>
              <w:rPr>
                <w:rFonts w:ascii="Arial" w:cs="Arial" w:eastAsia="Arial" w:hAnsi="Arial"/>
                <w:sz w:val="12"/>
                <w:szCs w:val="12"/>
                <w:color w:val="0000FF"/>
              </w:rPr>
            </w:pPr>
            <w:hyperlink w:anchor="page51">
              <w:r>
                <w:rPr>
                  <w:rFonts w:ascii="Arial" w:cs="Arial" w:eastAsia="Arial" w:hAnsi="Arial"/>
                  <w:sz w:val="12"/>
                  <w:szCs w:val="12"/>
                  <w:color w:val="0000FF"/>
                </w:rPr>
                <w:t>Consolidated Statements of Comprehensive Earnings for the years ended December 31, 2010, 2009 and 2008</w:t>
              </w:r>
            </w:hyperlink>
          </w:p>
        </w:tc>
        <w:tc>
          <w:tcPr>
            <w:tcW w:w="820" w:type="dxa"/>
            <w:vAlign w:val="bottom"/>
            <w:gridSpan w:val="2"/>
          </w:tcPr>
          <w:p>
            <w:pPr>
              <w:jc w:val="right"/>
              <w:spacing w:after="0"/>
              <w:rPr>
                <w:rFonts w:ascii="Arial" w:cs="Arial" w:eastAsia="Arial" w:hAnsi="Arial"/>
                <w:sz w:val="12"/>
                <w:szCs w:val="12"/>
                <w:color w:val="0000FF"/>
              </w:rPr>
            </w:pPr>
            <w:hyperlink w:anchor="page51">
              <w:r>
                <w:rPr>
                  <w:rFonts w:ascii="Arial" w:cs="Arial" w:eastAsia="Arial" w:hAnsi="Arial"/>
                  <w:sz w:val="12"/>
                  <w:szCs w:val="12"/>
                  <w:color w:val="0000FF"/>
                </w:rPr>
                <w:t>52</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360" w:type="dxa"/>
            <w:vAlign w:val="bottom"/>
            <w:gridSpan w:val="4"/>
          </w:tcPr>
          <w:p>
            <w:pPr>
              <w:spacing w:after="0"/>
              <w:rPr>
                <w:rFonts w:ascii="Arial" w:cs="Arial" w:eastAsia="Arial" w:hAnsi="Arial"/>
                <w:sz w:val="12"/>
                <w:szCs w:val="12"/>
                <w:color w:val="0000FF"/>
                <w:w w:val="89"/>
              </w:rPr>
            </w:pPr>
            <w:hyperlink w:anchor="page52">
              <w:r>
                <w:rPr>
                  <w:rFonts w:ascii="Arial" w:cs="Arial" w:eastAsia="Arial" w:hAnsi="Arial"/>
                  <w:sz w:val="12"/>
                  <w:szCs w:val="12"/>
                  <w:color w:val="0000FF"/>
                  <w:w w:val="89"/>
                </w:rPr>
                <w:t>Consolidated Statements of Equity for the years ended December 31, 2010, 2009 and 2008</w:t>
              </w:r>
            </w:hyperlink>
          </w:p>
        </w:tc>
        <w:tc>
          <w:tcPr>
            <w:tcW w:w="880" w:type="dxa"/>
            <w:vAlign w:val="bottom"/>
            <w:gridSpan w:val="3"/>
          </w:tcPr>
          <w:p>
            <w:pPr>
              <w:spacing w:after="0"/>
              <w:rPr>
                <w:sz w:val="13"/>
                <w:szCs w:val="13"/>
                <w:color w:val="auto"/>
              </w:rPr>
            </w:pPr>
          </w:p>
        </w:tc>
        <w:tc>
          <w:tcPr>
            <w:tcW w:w="3960" w:type="dxa"/>
            <w:vAlign w:val="bottom"/>
            <w:gridSpan w:val="2"/>
          </w:tcPr>
          <w:p>
            <w:pPr>
              <w:spacing w:after="0"/>
              <w:rPr>
                <w:sz w:val="13"/>
                <w:szCs w:val="13"/>
                <w:color w:val="auto"/>
              </w:rPr>
            </w:pPr>
          </w:p>
        </w:tc>
        <w:tc>
          <w:tcPr>
            <w:tcW w:w="820" w:type="dxa"/>
            <w:vAlign w:val="bottom"/>
            <w:gridSpan w:val="2"/>
          </w:tcPr>
          <w:p>
            <w:pPr>
              <w:jc w:val="right"/>
              <w:spacing w:after="0"/>
              <w:rPr>
                <w:rFonts w:ascii="Arial" w:cs="Arial" w:eastAsia="Arial" w:hAnsi="Arial"/>
                <w:sz w:val="12"/>
                <w:szCs w:val="12"/>
                <w:color w:val="0000FF"/>
              </w:rPr>
            </w:pPr>
            <w:hyperlink w:anchor="page52">
              <w:r>
                <w:rPr>
                  <w:rFonts w:ascii="Arial" w:cs="Arial" w:eastAsia="Arial" w:hAnsi="Arial"/>
                  <w:sz w:val="12"/>
                  <w:szCs w:val="12"/>
                  <w:color w:val="0000FF"/>
                </w:rPr>
                <w:t>53</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Borders>
              <w:bottom w:val="single" w:sz="8" w:color="0000FF"/>
            </w:tcBorders>
            <w:gridSpan w:val="6"/>
          </w:tcPr>
          <w:p>
            <w:pPr>
              <w:spacing w:after="0"/>
              <w:rPr>
                <w:rFonts w:ascii="Arial" w:cs="Arial" w:eastAsia="Arial" w:hAnsi="Arial"/>
                <w:sz w:val="12"/>
                <w:szCs w:val="12"/>
                <w:color w:val="0000FF"/>
                <w:w w:val="88"/>
              </w:rPr>
            </w:pPr>
            <w:hyperlink w:anchor="page54">
              <w:r>
                <w:rPr>
                  <w:rFonts w:ascii="Arial" w:cs="Arial" w:eastAsia="Arial" w:hAnsi="Arial"/>
                  <w:sz w:val="12"/>
                  <w:szCs w:val="12"/>
                  <w:color w:val="0000FF"/>
                  <w:w w:val="88"/>
                </w:rPr>
                <w:t>Consolidated Statements of Cash Flows for the years ended December 31, 2010, 2009 and 2008</w:t>
              </w:r>
            </w:hyperlink>
          </w:p>
        </w:tc>
        <w:tc>
          <w:tcPr>
            <w:tcW w:w="460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jc w:val="right"/>
              <w:spacing w:after="0"/>
              <w:rPr>
                <w:rFonts w:ascii="Arial" w:cs="Arial" w:eastAsia="Arial" w:hAnsi="Arial"/>
                <w:sz w:val="10"/>
                <w:szCs w:val="10"/>
                <w:color w:val="0000FF"/>
                <w:w w:val="71"/>
              </w:rPr>
            </w:pPr>
            <w:hyperlink w:anchor="page54">
              <w:r>
                <w:rPr>
                  <w:rFonts w:ascii="Arial" w:cs="Arial" w:eastAsia="Arial" w:hAnsi="Arial"/>
                  <w:sz w:val="10"/>
                  <w:szCs w:val="10"/>
                  <w:color w:val="0000FF"/>
                  <w:w w:val="71"/>
                </w:rPr>
                <w:t>54</w:t>
              </w:r>
            </w:hyperlink>
          </w:p>
        </w:tc>
      </w:tr>
      <w:tr>
        <w:trPr>
          <w:trHeight w:val="151"/>
        </w:trPr>
        <w:tc>
          <w:tcPr>
            <w:tcW w:w="20" w:type="dxa"/>
            <w:vAlign w:val="bottom"/>
          </w:tcPr>
          <w:p>
            <w:pPr>
              <w:spacing w:after="0"/>
              <w:rPr>
                <w:sz w:val="13"/>
                <w:szCs w:val="13"/>
                <w:color w:val="auto"/>
              </w:rPr>
            </w:pPr>
          </w:p>
        </w:tc>
        <w:tc>
          <w:tcPr>
            <w:tcW w:w="9200" w:type="dxa"/>
            <w:vAlign w:val="bottom"/>
            <w:gridSpan w:val="9"/>
          </w:tcPr>
          <w:p>
            <w:pPr>
              <w:spacing w:after="0"/>
              <w:rPr>
                <w:rFonts w:ascii="Arial" w:cs="Arial" w:eastAsia="Arial" w:hAnsi="Arial"/>
                <w:sz w:val="12"/>
                <w:szCs w:val="12"/>
                <w:color w:val="0000FF"/>
              </w:rPr>
            </w:pPr>
            <w:hyperlink w:anchor="page55">
              <w:r>
                <w:rPr>
                  <w:rFonts w:ascii="Arial" w:cs="Arial" w:eastAsia="Arial" w:hAnsi="Arial"/>
                  <w:sz w:val="12"/>
                  <w:szCs w:val="12"/>
                  <w:color w:val="0000FF"/>
                </w:rPr>
                <w:t>Notes to Consolidated Financial Statemen ts</w:t>
              </w:r>
            </w:hyperlink>
          </w:p>
        </w:tc>
        <w:tc>
          <w:tcPr>
            <w:tcW w:w="820" w:type="dxa"/>
            <w:vAlign w:val="bottom"/>
            <w:gridSpan w:val="2"/>
          </w:tcPr>
          <w:p>
            <w:pPr>
              <w:jc w:val="right"/>
              <w:spacing w:after="0"/>
              <w:rPr>
                <w:rFonts w:ascii="Arial" w:cs="Arial" w:eastAsia="Arial" w:hAnsi="Arial"/>
                <w:sz w:val="12"/>
                <w:szCs w:val="12"/>
                <w:color w:val="0000FF"/>
              </w:rPr>
            </w:pPr>
            <w:hyperlink w:anchor="page55">
              <w:r>
                <w:rPr>
                  <w:rFonts w:ascii="Arial" w:cs="Arial" w:eastAsia="Arial" w:hAnsi="Arial"/>
                  <w:sz w:val="12"/>
                  <w:szCs w:val="12"/>
                  <w:color w:val="0000FF"/>
                </w:rPr>
                <w:t>55</w:t>
              </w:r>
            </w:hyperlink>
          </w:p>
        </w:tc>
      </w:tr>
      <w:tr>
        <w:trPr>
          <w:trHeight w:val="313"/>
        </w:trPr>
        <w:tc>
          <w:tcPr>
            <w:tcW w:w="20" w:type="dxa"/>
            <w:vAlign w:val="bottom"/>
          </w:tcPr>
          <w:p>
            <w:pPr>
              <w:spacing w:after="0"/>
              <w:rPr>
                <w:sz w:val="24"/>
                <w:szCs w:val="24"/>
                <w:color w:val="auto"/>
              </w:rPr>
            </w:pPr>
          </w:p>
        </w:tc>
        <w:tc>
          <w:tcPr>
            <w:tcW w:w="2120" w:type="dxa"/>
            <w:vAlign w:val="bottom"/>
            <w:tcBorders>
              <w:top w:val="single" w:sz="8" w:color="0000FF"/>
            </w:tcBorders>
          </w:tcPr>
          <w:p>
            <w:pPr>
              <w:spacing w:after="0"/>
              <w:rPr>
                <w:sz w:val="24"/>
                <w:szCs w:val="24"/>
                <w:color w:val="auto"/>
              </w:rPr>
            </w:pPr>
          </w:p>
        </w:tc>
        <w:tc>
          <w:tcPr>
            <w:tcW w:w="3120" w:type="dxa"/>
            <w:vAlign w:val="bottom"/>
            <w:gridSpan w:val="6"/>
          </w:tcPr>
          <w:p>
            <w:pPr>
              <w:jc w:val="right"/>
              <w:spacing w:after="0"/>
              <w:rPr>
                <w:sz w:val="20"/>
                <w:szCs w:val="20"/>
                <w:color w:val="auto"/>
              </w:rPr>
            </w:pPr>
            <w:r>
              <w:rPr>
                <w:rFonts w:ascii="Arial" w:cs="Arial" w:eastAsia="Arial" w:hAnsi="Arial"/>
                <w:sz w:val="12"/>
                <w:szCs w:val="12"/>
                <w:color w:val="auto"/>
              </w:rPr>
              <w:t>86</w:t>
            </w:r>
          </w:p>
        </w:tc>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0620"/>
          </w:cols>
          <w:pgMar w:left="1080" w:top="131" w:right="19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920" w:type="dxa"/>
            <w:vAlign w:val="bottom"/>
            <w:gridSpan w:val="2"/>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12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9920" w:type="dxa"/>
            <w:vAlign w:val="bottom"/>
            <w:gridSpan w:val="2"/>
          </w:tcPr>
          <w:p>
            <w:pPr>
              <w:spacing w:after="0"/>
              <w:rPr>
                <w:sz w:val="20"/>
                <w:szCs w:val="20"/>
                <w:color w:val="auto"/>
              </w:rPr>
            </w:pPr>
            <w:r>
              <w:rPr>
                <w:rFonts w:ascii="Arial" w:cs="Arial" w:eastAsia="Arial" w:hAnsi="Arial"/>
                <w:sz w:val="12"/>
                <w:szCs w:val="12"/>
                <w:color w:val="auto"/>
              </w:rPr>
              <w:t xml:space="preserve">(a) (2) </w:t>
            </w:r>
            <w:r>
              <w:rPr>
                <w:rFonts w:ascii="Arial" w:cs="Arial" w:eastAsia="Arial" w:hAnsi="Arial"/>
                <w:sz w:val="12"/>
                <w:szCs w:val="12"/>
                <w:i w:val="1"/>
                <w:iCs w:val="1"/>
                <w:color w:val="auto"/>
              </w:rPr>
              <w:t>Financial Statement Schedules.</w:t>
            </w:r>
            <w:r>
              <w:rPr>
                <w:rFonts w:ascii="Arial" w:cs="Arial" w:eastAsia="Arial" w:hAnsi="Arial"/>
                <w:sz w:val="12"/>
                <w:szCs w:val="12"/>
                <w:color w:val="auto"/>
              </w:rPr>
              <w:t xml:space="preserve">  The following is a list of financial statement schedules filed as part of this annual report on Form 10-K:</w:t>
            </w:r>
          </w:p>
        </w:tc>
        <w:tc>
          <w:tcPr>
            <w:tcW w:w="120" w:type="dxa"/>
            <w:vAlign w:val="bottom"/>
          </w:tcPr>
          <w:p>
            <w:pPr>
              <w:spacing w:after="0"/>
              <w:rPr>
                <w:sz w:val="24"/>
                <w:szCs w:val="24"/>
                <w:color w:val="auto"/>
              </w:rPr>
            </w:pPr>
          </w:p>
        </w:tc>
      </w:tr>
      <w:tr>
        <w:trPr>
          <w:trHeight w:val="369"/>
        </w:trPr>
        <w:tc>
          <w:tcPr>
            <w:tcW w:w="9920" w:type="dxa"/>
            <w:vAlign w:val="bottom"/>
            <w:gridSpan w:val="2"/>
          </w:tcPr>
          <w:p>
            <w:pPr>
              <w:ind w:left="20"/>
              <w:spacing w:after="0"/>
              <w:rPr>
                <w:sz w:val="20"/>
                <w:szCs w:val="20"/>
                <w:color w:val="auto"/>
              </w:rPr>
            </w:pPr>
            <w:r>
              <w:rPr>
                <w:rFonts w:ascii="Arial" w:cs="Arial" w:eastAsia="Arial" w:hAnsi="Arial"/>
                <w:sz w:val="12"/>
                <w:szCs w:val="12"/>
                <w:i w:val="1"/>
                <w:iCs w:val="1"/>
                <w:color w:val="auto"/>
              </w:rPr>
              <w:t xml:space="preserve">Schedule II: </w:t>
            </w:r>
            <w:r>
              <w:rPr>
                <w:rFonts w:ascii="Arial" w:cs="Arial" w:eastAsia="Arial" w:hAnsi="Arial"/>
                <w:sz w:val="12"/>
                <w:szCs w:val="12"/>
                <w:color w:val="auto"/>
              </w:rPr>
              <w:t>Fidelity National Financial, Inc. (Parent Company Financial Statements)</w:t>
            </w:r>
          </w:p>
        </w:tc>
        <w:tc>
          <w:tcPr>
            <w:tcW w:w="120" w:type="dxa"/>
            <w:vAlign w:val="bottom"/>
            <w:tcBorders>
              <w:bottom w:val="single" w:sz="8" w:color="0000FF"/>
            </w:tcBorders>
          </w:tcPr>
          <w:p>
            <w:pPr>
              <w:jc w:val="right"/>
              <w:spacing w:after="0"/>
              <w:rPr>
                <w:rFonts w:ascii="Arial" w:cs="Arial" w:eastAsia="Arial" w:hAnsi="Arial"/>
                <w:sz w:val="12"/>
                <w:szCs w:val="12"/>
                <w:color w:val="0000FF"/>
                <w:w w:val="74"/>
              </w:rPr>
            </w:pPr>
            <w:hyperlink w:anchor="page92">
              <w:r>
                <w:rPr>
                  <w:rFonts w:ascii="Arial" w:cs="Arial" w:eastAsia="Arial" w:hAnsi="Arial"/>
                  <w:sz w:val="12"/>
                  <w:szCs w:val="12"/>
                  <w:color w:val="0000FF"/>
                  <w:w w:val="74"/>
                </w:rPr>
                <w:t>92</w:t>
              </w:r>
            </w:hyperlink>
          </w:p>
        </w:tc>
      </w:tr>
      <w:tr>
        <w:trPr>
          <w:trHeight w:val="160"/>
        </w:trPr>
        <w:tc>
          <w:tcPr>
            <w:tcW w:w="9920" w:type="dxa"/>
            <w:vAlign w:val="bottom"/>
            <w:gridSpan w:val="2"/>
          </w:tcPr>
          <w:p>
            <w:pPr>
              <w:ind w:left="20"/>
              <w:spacing w:after="0"/>
              <w:rPr>
                <w:sz w:val="20"/>
                <w:szCs w:val="20"/>
                <w:color w:val="auto"/>
              </w:rPr>
            </w:pPr>
            <w:r>
              <w:rPr>
                <w:rFonts w:ascii="Arial" w:cs="Arial" w:eastAsia="Arial" w:hAnsi="Arial"/>
                <w:sz w:val="12"/>
                <w:szCs w:val="12"/>
                <w:i w:val="1"/>
                <w:iCs w:val="1"/>
                <w:color w:val="auto"/>
              </w:rPr>
              <w:t xml:space="preserve">Schedule V: </w:t>
            </w:r>
            <w:r>
              <w:rPr>
                <w:rFonts w:ascii="Arial" w:cs="Arial" w:eastAsia="Arial" w:hAnsi="Arial"/>
                <w:sz w:val="12"/>
                <w:szCs w:val="12"/>
                <w:color w:val="auto"/>
              </w:rPr>
              <w:t>Valuation and Qualifying Accounts</w:t>
            </w:r>
          </w:p>
        </w:tc>
        <w:tc>
          <w:tcPr>
            <w:tcW w:w="120" w:type="dxa"/>
            <w:vAlign w:val="bottom"/>
            <w:tcBorders>
              <w:bottom w:val="single" w:sz="8" w:color="0000FF"/>
            </w:tcBorders>
          </w:tcPr>
          <w:p>
            <w:pPr>
              <w:jc w:val="right"/>
              <w:spacing w:after="0"/>
              <w:rPr>
                <w:rFonts w:ascii="Arial" w:cs="Arial" w:eastAsia="Arial" w:hAnsi="Arial"/>
                <w:sz w:val="12"/>
                <w:szCs w:val="12"/>
                <w:color w:val="0000FF"/>
                <w:w w:val="74"/>
              </w:rPr>
            </w:pPr>
            <w:hyperlink w:anchor="page95">
              <w:r>
                <w:rPr>
                  <w:rFonts w:ascii="Arial" w:cs="Arial" w:eastAsia="Arial" w:hAnsi="Arial"/>
                  <w:sz w:val="12"/>
                  <w:szCs w:val="12"/>
                  <w:color w:val="0000FF"/>
                  <w:w w:val="74"/>
                </w:rPr>
                <w:t>96</w:t>
              </w:r>
            </w:hyperlink>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All other schedules are omitted because they are not applicable or not required, or because the required information is included in the Consolidated Financial Statements or notes thereto.</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(a) (3) The following exhibits are incorporated by reference or are set forth on pages to this Form 10-K:</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 w:type="dxa"/>
            <w:vAlign w:val="bottom"/>
          </w:tcPr>
          <w:p>
            <w:pPr>
              <w:jc w:val="right"/>
              <w:ind w:right="81"/>
              <w:spacing w:after="0"/>
              <w:rPr>
                <w:sz w:val="20"/>
                <w:szCs w:val="20"/>
                <w:color w:val="auto"/>
              </w:rPr>
            </w:pPr>
            <w:r>
              <w:rPr>
                <w:rFonts w:ascii="Arial" w:cs="Arial" w:eastAsia="Arial" w:hAnsi="Arial"/>
                <w:sz w:val="10"/>
                <w:szCs w:val="10"/>
                <w:b w:val="1"/>
                <w:bCs w:val="1"/>
                <w:color w:val="auto"/>
              </w:rPr>
              <w:t>Exhibit</w:t>
            </w:r>
          </w:p>
        </w:tc>
        <w:tc>
          <w:tcPr>
            <w:tcW w:w="4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60" w:type="dxa"/>
            <w:vAlign w:val="bottom"/>
          </w:tcPr>
          <w:p>
            <w:pPr>
              <w:spacing w:after="0"/>
              <w:rPr>
                <w:sz w:val="10"/>
                <w:szCs w:val="10"/>
                <w:color w:val="auto"/>
              </w:rPr>
            </w:pPr>
          </w:p>
        </w:tc>
      </w:tr>
      <w:tr>
        <w:trPr>
          <w:trHeight w:val="105"/>
        </w:trPr>
        <w:tc>
          <w:tcPr>
            <w:tcW w:w="640" w:type="dxa"/>
            <w:vAlign w:val="bottom"/>
          </w:tcPr>
          <w:p>
            <w:pPr>
              <w:jc w:val="right"/>
              <w:ind w:right="61"/>
              <w:spacing w:after="0" w:line="105" w:lineRule="exact"/>
              <w:rPr>
                <w:sz w:val="20"/>
                <w:szCs w:val="20"/>
                <w:color w:val="auto"/>
              </w:rPr>
            </w:pPr>
            <w:r>
              <w:rPr>
                <w:rFonts w:ascii="Arial" w:cs="Arial" w:eastAsia="Arial" w:hAnsi="Arial"/>
                <w:sz w:val="10"/>
                <w:szCs w:val="10"/>
                <w:b w:val="1"/>
                <w:bCs w:val="1"/>
                <w:color w:val="auto"/>
              </w:rPr>
              <w:t>Number</w:t>
            </w:r>
          </w:p>
        </w:tc>
        <w:tc>
          <w:tcPr>
            <w:tcW w:w="4780" w:type="dxa"/>
            <w:vAlign w:val="bottom"/>
          </w:tcPr>
          <w:p>
            <w:pPr>
              <w:spacing w:after="0"/>
              <w:rPr>
                <w:sz w:val="9"/>
                <w:szCs w:val="9"/>
                <w:color w:val="auto"/>
              </w:rPr>
            </w:pPr>
          </w:p>
        </w:tc>
        <w:tc>
          <w:tcPr>
            <w:tcW w:w="494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Description</w:t>
            </w:r>
          </w:p>
        </w:tc>
      </w:tr>
      <w:tr>
        <w:trPr>
          <w:trHeight w:val="20"/>
        </w:trPr>
        <w:tc>
          <w:tcPr>
            <w:tcW w:w="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41"/>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2.1</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89"/>
              </w:rPr>
              <w:t>Securities Exchange and Distribution Agreement between Old FNF and the Registrant, dated as of June 25, 2006, as amended and restated as of September 18, 2006 (incorporated by reference to</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Annex A to the Registrant’s Schedule 14C filed on September 19, 2006 (the “Information Statement”))</w:t>
            </w:r>
          </w:p>
        </w:tc>
      </w:tr>
      <w:tr>
        <w:trPr>
          <w:trHeight w:val="180"/>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3.1</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rPr>
              <w:t>Form of Amended and Restated Certificate of Incorporation of the Registrant (incorporated by reference to Annex C to the Information Statement)</w:t>
            </w:r>
          </w:p>
        </w:tc>
      </w:tr>
      <w:tr>
        <w:trPr>
          <w:trHeight w:val="171"/>
        </w:trPr>
        <w:tc>
          <w:tcPr>
            <w:tcW w:w="640" w:type="dxa"/>
            <w:vAlign w:val="bottom"/>
          </w:tcPr>
          <w:p>
            <w:pPr>
              <w:jc w:val="right"/>
              <w:ind w:right="441"/>
              <w:spacing w:after="0"/>
              <w:rPr>
                <w:sz w:val="20"/>
                <w:szCs w:val="20"/>
                <w:color w:val="auto"/>
              </w:rPr>
            </w:pPr>
            <w:r>
              <w:rPr>
                <w:rFonts w:ascii="Arial" w:cs="Arial" w:eastAsia="Arial" w:hAnsi="Arial"/>
                <w:sz w:val="12"/>
                <w:szCs w:val="12"/>
                <w:color w:val="auto"/>
                <w:w w:val="71"/>
              </w:rPr>
              <w:t>3.2</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1"/>
              </w:rPr>
              <w:t>Amended and Restated Bylaws of the Registrant, as adopted on September 26, 2005 (incorporated by reference to Exhibit 3.2 to the Registrant’s Quarterly Report on Form 10-Q for the quarter</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ended September 30, 2005)</w:t>
            </w:r>
          </w:p>
        </w:tc>
      </w:tr>
      <w:tr>
        <w:trPr>
          <w:trHeight w:val="171"/>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4.1</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1"/>
              </w:rPr>
              <w:t>Indenture between the Registrant and The Bank of New York Trust Company, N.A., dated December 8, 2005, relating to the 7.30% and 5.25% notes referred to below (incorporated by reference</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to Exhibit 4.1 to the Registrant’s Annual Report on Form 10-K for the year ended December 31, 2005)</w:t>
            </w:r>
          </w:p>
        </w:tc>
      </w:tr>
      <w:tr>
        <w:trPr>
          <w:trHeight w:val="171"/>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4.2</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2"/>
              </w:rPr>
              <w:t>First Supplemental Indenture between the Registrant and the Bank of New York Trust Company, N.A., dated as of January 6, 2006 (incorporated by reference to Exhibit 4.1 to the Registrant’s</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Current Report on Form 8-K filed on January 24, 2006)</w:t>
            </w:r>
          </w:p>
        </w:tc>
      </w:tr>
      <w:tr>
        <w:trPr>
          <w:trHeight w:val="171"/>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4.3</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2"/>
              </w:rPr>
              <w:t>Form of Subordinated Indenture between the Registrant and the Bank of New York Trust Comp any, N.A. (incorporated by reference to Exhibit 4.2(A) to the Registrant’s Registration Statement</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on Form S-3 filed on November 14, 2007)</w:t>
            </w:r>
          </w:p>
        </w:tc>
      </w:tr>
      <w:tr>
        <w:trPr>
          <w:trHeight w:val="171"/>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4.4</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4"/>
              </w:rPr>
              <w:t>Second Supplemental Indenture, dated May 5, 2010, between the Registrant and The Bank of New York Mellon Trust Company, N.A., dated as of May 5, 2010, relating to the 6.60% notes</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referred to below (incorporated by reference to Exhibit 4.1 to the Registrant's Current Repo rt on Form 8-K filed on May 5, 2010)</w:t>
            </w:r>
          </w:p>
        </w:tc>
      </w:tr>
      <w:tr>
        <w:trPr>
          <w:trHeight w:val="324"/>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4.5</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rPr>
              <w:t>Form of 7.30% note due August 15, 2011 (incorporated by reference to Exhibit 4.6 to the Registrant’s Registration Statement on Form S-4 filed on October 28, 2005)</w:t>
            </w:r>
          </w:p>
        </w:tc>
      </w:tr>
      <w:tr>
        <w:trPr>
          <w:trHeight w:val="180"/>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4.6</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rPr>
              <w:t>Form of 5.25% note due March 15, 2013 (incorporated by reference to Exhibit 4.7 to the Registrant’s Registration Statement on Form S-4 filed on October 28, 2005)</w:t>
            </w:r>
          </w:p>
        </w:tc>
      </w:tr>
      <w:tr>
        <w:trPr>
          <w:trHeight w:val="180"/>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4.7</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rPr>
              <w:t>Form of 6.60% Note due 2017 (incorporated by reference to Exhibit 4.3 to the Registrant's Current Report on Form 8-K filed on May 5, 2010)</w:t>
            </w:r>
          </w:p>
        </w:tc>
      </w:tr>
      <w:tr>
        <w:trPr>
          <w:trHeight w:val="315"/>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4.8</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2"/>
              </w:rPr>
              <w:t>Form o f the Registrant’s Common Stock Certificate (incorporated by reference to Exhibit 4.5 to the Registrant’s Annual Report on Form 10-K for the year ended December 31, 2006 (the “2006</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Annual Report”))</w:t>
            </w:r>
          </w:p>
        </w:tc>
      </w:tr>
      <w:tr>
        <w:trPr>
          <w:trHeight w:val="171"/>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10.1</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1"/>
              </w:rPr>
              <w:t>Credit Agreement among the Registrant, Bank of America, N.A., and certain agents and other lenders party thereto, dated as of September 12, 2006 (incorporated by reference to Exhibit 10.1 to</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the Registrant&amp; rsquo;s Current Report on Form 8-K filed on October 30, 2006)</w:t>
            </w:r>
          </w:p>
        </w:tc>
      </w:tr>
      <w:tr>
        <w:trPr>
          <w:trHeight w:val="315"/>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10.2</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2"/>
              </w:rPr>
              <w:t>Amendment and Restatement Agreement dated as of March 5, 2010 to the Credit Agreement among the Registrant, Bank of America, N.A., and certain agents and other lenders party thereto</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(incorporated by reference to Exhibit 10.1 to the Registrant’s Current Repor t on Form 8-K filed on March 10, 2010)</w:t>
            </w:r>
          </w:p>
        </w:tc>
      </w:tr>
      <w:tr>
        <w:trPr>
          <w:trHeight w:val="171"/>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10.3</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88"/>
              </w:rPr>
              <w:t>Stock Purchase Agreement, dated as of November 25, 2008, as amended and restated as of December 12, 2008, as further amended and restated as of December 21, 2008, among Fidelity National</w:t>
            </w:r>
          </w:p>
        </w:tc>
      </w:tr>
      <w:tr>
        <w:trPr>
          <w:trHeight w:val="144"/>
        </w:trPr>
        <w:tc>
          <w:tcPr>
            <w:tcW w:w="640" w:type="dxa"/>
            <w:vAlign w:val="bottom"/>
          </w:tcPr>
          <w:p>
            <w:pPr>
              <w:spacing w:after="0"/>
              <w:rPr>
                <w:sz w:val="12"/>
                <w:szCs w:val="12"/>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w w:val="92"/>
              </w:rPr>
              <w:t>Title Insurance Company, Chicago Title Insurance Company, and LandAmerica Financial Group, Inc. (incorporated by reference to Exhibit 10.1 to the Registrant’s Current Report on Form ;8-K filed</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on December 24, 2008.)</w:t>
            </w:r>
          </w:p>
        </w:tc>
      </w:tr>
      <w:tr>
        <w:trPr>
          <w:trHeight w:val="171"/>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10.4</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0"/>
              </w:rPr>
              <w:t>Amended and Restated Fidelity National Financial, Inc. 2005 Omnibus Incentive Plan, effective as of September 26, 2005 (incorporated by reference to Annex A to the Registrant’s Schedule 14A</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filed on April 15, 2008).(1)</w:t>
            </w:r>
          </w:p>
        </w:tc>
      </w:tr>
      <w:tr>
        <w:trPr>
          <w:trHeight w:val="171"/>
        </w:trPr>
        <w:tc>
          <w:tcPr>
            <w:tcW w:w="640" w:type="dxa"/>
            <w:vAlign w:val="bottom"/>
          </w:tcPr>
          <w:p>
            <w:pPr>
              <w:jc w:val="right"/>
              <w:ind w:right="101"/>
              <w:spacing w:after="0"/>
              <w:rPr>
                <w:sz w:val="20"/>
                <w:szCs w:val="20"/>
                <w:color w:val="auto"/>
              </w:rPr>
            </w:pPr>
            <w:r>
              <w:rPr>
                <w:rFonts w:ascii="Arial" w:cs="Arial" w:eastAsia="Arial" w:hAnsi="Arial"/>
                <w:sz w:val="12"/>
                <w:szCs w:val="12"/>
                <w:color w:val="auto"/>
              </w:rPr>
              <w:t>10.5</w:t>
            </w:r>
          </w:p>
        </w:tc>
        <w:tc>
          <w:tcPr>
            <w:tcW w:w="9720" w:type="dxa"/>
            <w:vAlign w:val="bottom"/>
            <w:gridSpan w:val="3"/>
          </w:tcPr>
          <w:p>
            <w:pPr>
              <w:ind w:left="340"/>
              <w:spacing w:after="0"/>
              <w:rPr>
                <w:sz w:val="20"/>
                <w:szCs w:val="20"/>
                <w:color w:val="auto"/>
              </w:rPr>
            </w:pPr>
            <w:r>
              <w:rPr>
                <w:rFonts w:ascii="Arial" w:cs="Arial" w:eastAsia="Arial" w:hAnsi="Arial"/>
                <w:sz w:val="12"/>
                <w:szCs w:val="12"/>
                <w:color w:val="auto"/>
                <w:w w:val="95"/>
              </w:rPr>
              <w:t>Fidelity National Title Group, Inc. Employee Stock Purchase Plan, effective as of September 26, 2005 (incorporated by reference to Exhibit 10.50 to the Registrant’s Quarterly Report on</w:t>
            </w:r>
          </w:p>
        </w:tc>
      </w:tr>
      <w:tr>
        <w:trPr>
          <w:trHeight w:val="153"/>
        </w:trPr>
        <w:tc>
          <w:tcPr>
            <w:tcW w:w="640" w:type="dxa"/>
            <w:vAlign w:val="bottom"/>
          </w:tcPr>
          <w:p>
            <w:pPr>
              <w:spacing w:after="0"/>
              <w:rPr>
                <w:sz w:val="13"/>
                <w:szCs w:val="13"/>
                <w:color w:val="auto"/>
              </w:rPr>
            </w:pPr>
          </w:p>
        </w:tc>
        <w:tc>
          <w:tcPr>
            <w:tcW w:w="9720" w:type="dxa"/>
            <w:vAlign w:val="bottom"/>
            <w:gridSpan w:val="3"/>
          </w:tcPr>
          <w:p>
            <w:pPr>
              <w:ind w:left="120"/>
              <w:spacing w:after="0"/>
              <w:rPr>
                <w:sz w:val="20"/>
                <w:szCs w:val="20"/>
                <w:color w:val="auto"/>
              </w:rPr>
            </w:pPr>
            <w:r>
              <w:rPr>
                <w:rFonts w:ascii="Arial" w:cs="Arial" w:eastAsia="Arial" w:hAnsi="Arial"/>
                <w:sz w:val="12"/>
                <w:szCs w:val="12"/>
                <w:color w:val="auto"/>
              </w:rPr>
              <w:t>Form 10-Q for the quarter ended September 30, 2005).(1)</w:t>
            </w:r>
          </w:p>
        </w:tc>
      </w:tr>
      <w:tr>
        <w:trPr>
          <w:trHeight w:val="594"/>
        </w:trPr>
        <w:tc>
          <w:tcPr>
            <w:tcW w:w="640" w:type="dxa"/>
            <w:vAlign w:val="bottom"/>
          </w:tcPr>
          <w:p>
            <w:pPr>
              <w:spacing w:after="0"/>
              <w:rPr>
                <w:sz w:val="24"/>
                <w:szCs w:val="24"/>
                <w:color w:val="auto"/>
              </w:rPr>
            </w:pPr>
          </w:p>
        </w:tc>
        <w:tc>
          <w:tcPr>
            <w:tcW w:w="4780" w:type="dxa"/>
            <w:vAlign w:val="bottom"/>
          </w:tcPr>
          <w:p>
            <w:pPr>
              <w:ind w:left="4480"/>
              <w:spacing w:after="0"/>
              <w:rPr>
                <w:sz w:val="20"/>
                <w:szCs w:val="20"/>
                <w:color w:val="auto"/>
              </w:rPr>
            </w:pPr>
            <w:r>
              <w:rPr>
                <w:rFonts w:ascii="Arial" w:cs="Arial" w:eastAsia="Arial" w:hAnsi="Arial"/>
                <w:sz w:val="12"/>
                <w:szCs w:val="12"/>
                <w:color w:val="auto"/>
              </w:rPr>
              <w:t>87</w:t>
            </w:r>
          </w:p>
        </w:tc>
        <w:tc>
          <w:tcPr>
            <w:tcW w:w="48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0380"/>
          </w:cols>
          <w:pgMar w:left="1300" w:top="119" w:right="219" w:bottom="1440" w:gutter="0" w:footer="0" w:header="0"/>
        </w:sectPr>
      </w:pPr>
    </w:p>
    <w:bookmarkStart w:id="88" w:name="page89"/>
    <w:bookmarkEnd w:id="8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81" w:lineRule="exact"/>
        <w:rPr>
          <w:sz w:val="20"/>
          <w:szCs w:val="20"/>
          <w:color w:val="auto"/>
        </w:rPr>
      </w:pPr>
    </w:p>
    <w:tbl>
      <w:tblPr>
        <w:tblLayout w:type="fixed"/>
        <w:tblInd w:w="22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Exhibit</w:t>
            </w:r>
          </w:p>
        </w:tc>
        <w:tc>
          <w:tcPr>
            <w:tcW w:w="4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120" w:type="dxa"/>
            <w:vAlign w:val="bottom"/>
          </w:tcPr>
          <w:p>
            <w:pPr>
              <w:spacing w:after="0"/>
              <w:rPr>
                <w:sz w:val="10"/>
                <w:szCs w:val="10"/>
                <w:color w:val="auto"/>
              </w:rPr>
            </w:pPr>
          </w:p>
        </w:tc>
      </w:tr>
      <w:tr>
        <w:trPr>
          <w:trHeight w:val="105"/>
        </w:trPr>
        <w:tc>
          <w:tcPr>
            <w:tcW w:w="940" w:type="dxa"/>
            <w:vAlign w:val="bottom"/>
            <w:gridSpan w:val="3"/>
          </w:tcPr>
          <w:p>
            <w:pPr>
              <w:jc w:val="center"/>
              <w:spacing w:after="0" w:line="105" w:lineRule="exact"/>
              <w:rPr>
                <w:sz w:val="20"/>
                <w:szCs w:val="20"/>
                <w:color w:val="auto"/>
              </w:rPr>
            </w:pPr>
            <w:r>
              <w:rPr>
                <w:rFonts w:ascii="Arial" w:cs="Arial" w:eastAsia="Arial" w:hAnsi="Arial"/>
                <w:sz w:val="10"/>
                <w:szCs w:val="10"/>
                <w:b w:val="1"/>
                <w:bCs w:val="1"/>
                <w:color w:val="auto"/>
                <w:w w:val="89"/>
              </w:rPr>
              <w:t>Number</w:t>
            </w:r>
          </w:p>
        </w:tc>
        <w:tc>
          <w:tcPr>
            <w:tcW w:w="4620" w:type="dxa"/>
            <w:vAlign w:val="bottom"/>
          </w:tcPr>
          <w:p>
            <w:pPr>
              <w:spacing w:after="0"/>
              <w:rPr>
                <w:sz w:val="9"/>
                <w:szCs w:val="9"/>
                <w:color w:val="auto"/>
              </w:rPr>
            </w:pPr>
          </w:p>
        </w:tc>
        <w:tc>
          <w:tcPr>
            <w:tcW w:w="4600" w:type="dxa"/>
            <w:vAlign w:val="bottom"/>
            <w:gridSpan w:val="2"/>
          </w:tcPr>
          <w:p>
            <w:pPr>
              <w:jc w:val="center"/>
              <w:ind w:right="4120"/>
              <w:spacing w:after="0" w:line="105" w:lineRule="exact"/>
              <w:rPr>
                <w:sz w:val="20"/>
                <w:szCs w:val="20"/>
                <w:color w:val="auto"/>
              </w:rPr>
            </w:pPr>
            <w:r>
              <w:rPr>
                <w:rFonts w:ascii="Arial" w:cs="Arial" w:eastAsia="Arial" w:hAnsi="Arial"/>
                <w:sz w:val="10"/>
                <w:szCs w:val="10"/>
                <w:b w:val="1"/>
                <w:bCs w:val="1"/>
                <w:color w:val="auto"/>
                <w:w w:val="87"/>
              </w:rPr>
              <w:t>Description</w:t>
            </w: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41"/>
        </w:trPr>
        <w:tc>
          <w:tcPr>
            <w:tcW w:w="320" w:type="dxa"/>
            <w:vAlign w:val="bottom"/>
          </w:tcPr>
          <w:p>
            <w:pPr>
              <w:jc w:val="right"/>
              <w:ind w:right="2"/>
              <w:spacing w:after="0"/>
              <w:rPr>
                <w:sz w:val="20"/>
                <w:szCs w:val="20"/>
                <w:color w:val="auto"/>
              </w:rPr>
            </w:pPr>
            <w:r>
              <w:rPr>
                <w:rFonts w:ascii="Arial" w:cs="Arial" w:eastAsia="Arial" w:hAnsi="Arial"/>
                <w:sz w:val="12"/>
                <w:szCs w:val="12"/>
                <w:color w:val="auto"/>
              </w:rPr>
              <w:t>10.6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20" w:type="dxa"/>
            <w:vAlign w:val="bottom"/>
            <w:gridSpan w:val="3"/>
          </w:tcPr>
          <w:p>
            <w:pPr>
              <w:jc w:val="center"/>
              <w:ind w:left="440"/>
              <w:spacing w:after="0"/>
              <w:rPr>
                <w:sz w:val="20"/>
                <w:szCs w:val="20"/>
                <w:color w:val="auto"/>
              </w:rPr>
            </w:pPr>
            <w:r>
              <w:rPr>
                <w:rFonts w:ascii="Arial" w:cs="Arial" w:eastAsia="Arial" w:hAnsi="Arial"/>
                <w:sz w:val="12"/>
                <w:szCs w:val="12"/>
                <w:color w:val="auto"/>
                <w:w w:val="94"/>
              </w:rPr>
              <w:t>Form of Notice of Restricted Stock Grant and Restricted Stock Award Agreement under Amended and Restated Fidelity National Financial, Inc. 2005 Omnibus Incentive Plan</w:t>
            </w:r>
          </w:p>
        </w:tc>
      </w:tr>
      <w:tr>
        <w:trPr>
          <w:trHeight w:val="153"/>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20" w:type="dxa"/>
            <w:vAlign w:val="bottom"/>
            <w:gridSpan w:val="3"/>
          </w:tcPr>
          <w:p>
            <w:pPr>
              <w:ind w:left="280"/>
              <w:spacing w:after="0"/>
              <w:rPr>
                <w:sz w:val="20"/>
                <w:szCs w:val="20"/>
                <w:color w:val="auto"/>
              </w:rPr>
            </w:pPr>
            <w:r>
              <w:rPr>
                <w:rFonts w:ascii="Arial" w:cs="Arial" w:eastAsia="Arial" w:hAnsi="Arial"/>
                <w:sz w:val="12"/>
                <w:szCs w:val="12"/>
                <w:color w:val="auto"/>
              </w:rPr>
              <w:t>(incorporated by reference to Exhibit 10.5 to the Registrant’s Annual Report on Form 10-K for the year ended December 31, 2008).(1)</w:t>
            </w:r>
          </w:p>
        </w:tc>
      </w:tr>
      <w:tr>
        <w:trPr>
          <w:trHeight w:val="171"/>
        </w:trPr>
        <w:tc>
          <w:tcPr>
            <w:tcW w:w="320" w:type="dxa"/>
            <w:vAlign w:val="bottom"/>
          </w:tcPr>
          <w:p>
            <w:pPr>
              <w:jc w:val="right"/>
              <w:ind w:right="2"/>
              <w:spacing w:after="0"/>
              <w:rPr>
                <w:sz w:val="20"/>
                <w:szCs w:val="20"/>
                <w:color w:val="auto"/>
              </w:rPr>
            </w:pPr>
            <w:r>
              <w:rPr>
                <w:rFonts w:ascii="Arial" w:cs="Arial" w:eastAsia="Arial" w:hAnsi="Arial"/>
                <w:sz w:val="12"/>
                <w:szCs w:val="12"/>
                <w:color w:val="auto"/>
              </w:rPr>
              <w:t>10.7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20" w:type="dxa"/>
            <w:vAlign w:val="bottom"/>
            <w:gridSpan w:val="3"/>
          </w:tcPr>
          <w:p>
            <w:pPr>
              <w:jc w:val="center"/>
              <w:ind w:left="440"/>
              <w:spacing w:after="0"/>
              <w:rPr>
                <w:sz w:val="20"/>
                <w:szCs w:val="20"/>
                <w:color w:val="auto"/>
              </w:rPr>
            </w:pPr>
            <w:r>
              <w:rPr>
                <w:rFonts w:ascii="Arial" w:cs="Arial" w:eastAsia="Arial" w:hAnsi="Arial"/>
                <w:sz w:val="12"/>
                <w:szCs w:val="12"/>
                <w:color w:val="auto"/>
                <w:w w:val="93"/>
              </w:rPr>
              <w:t>Form of Notice of Restricted Stock Grant and Restricted Stock Award Agreement under Amended and Restated Fidelity National Financial, Inc. 2005 Omnibus Incentive Plan for</w:t>
            </w:r>
          </w:p>
        </w:tc>
      </w:tr>
      <w:tr>
        <w:trPr>
          <w:trHeight w:val="153"/>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20" w:type="dxa"/>
            <w:vAlign w:val="bottom"/>
            <w:gridSpan w:val="3"/>
          </w:tcPr>
          <w:p>
            <w:pPr>
              <w:ind w:left="280"/>
              <w:spacing w:after="0"/>
              <w:rPr>
                <w:sz w:val="20"/>
                <w:szCs w:val="20"/>
                <w:color w:val="auto"/>
              </w:rPr>
            </w:pPr>
            <w:r>
              <w:rPr>
                <w:rFonts w:ascii="Arial" w:cs="Arial" w:eastAsia="Arial" w:hAnsi="Arial"/>
                <w:sz w:val="12"/>
                <w:szCs w:val="12"/>
                <w:color w:val="auto"/>
              </w:rPr>
              <w:t>November 2010 awards.(1)</w:t>
            </w:r>
          </w:p>
        </w:tc>
      </w:tr>
      <w:tr>
        <w:trPr>
          <w:trHeight w:val="171"/>
        </w:trPr>
        <w:tc>
          <w:tcPr>
            <w:tcW w:w="320" w:type="dxa"/>
            <w:vAlign w:val="bottom"/>
          </w:tcPr>
          <w:p>
            <w:pPr>
              <w:jc w:val="right"/>
              <w:ind w:right="2"/>
              <w:spacing w:after="0"/>
              <w:rPr>
                <w:sz w:val="20"/>
                <w:szCs w:val="20"/>
                <w:color w:val="auto"/>
              </w:rPr>
            </w:pPr>
            <w:r>
              <w:rPr>
                <w:rFonts w:ascii="Arial" w:cs="Arial" w:eastAsia="Arial" w:hAnsi="Arial"/>
                <w:sz w:val="12"/>
                <w:szCs w:val="12"/>
                <w:color w:val="auto"/>
              </w:rPr>
              <w:t>10.8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20" w:type="dxa"/>
            <w:vAlign w:val="bottom"/>
            <w:gridSpan w:val="3"/>
          </w:tcPr>
          <w:p>
            <w:pPr>
              <w:jc w:val="center"/>
              <w:ind w:left="440"/>
              <w:spacing w:after="0"/>
              <w:rPr>
                <w:sz w:val="20"/>
                <w:szCs w:val="20"/>
                <w:color w:val="auto"/>
              </w:rPr>
            </w:pPr>
            <w:r>
              <w:rPr>
                <w:rFonts w:ascii="Arial" w:cs="Arial" w:eastAsia="Arial" w:hAnsi="Arial"/>
                <w:sz w:val="12"/>
                <w:szCs w:val="12"/>
                <w:color w:val="auto"/>
                <w:w w:val="92"/>
              </w:rPr>
              <w:t>For m of Notice of Restricted Stock Grant and Restricted Stock Award Agreement under Amended and Restated Fidelity National Financial, Inc. 2005 Omnibus Incentive Plan for</w:t>
            </w:r>
          </w:p>
        </w:tc>
      </w:tr>
      <w:tr>
        <w:trPr>
          <w:trHeight w:val="153"/>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20" w:type="dxa"/>
            <w:vAlign w:val="bottom"/>
            <w:gridSpan w:val="3"/>
          </w:tcPr>
          <w:p>
            <w:pPr>
              <w:ind w:left="280"/>
              <w:spacing w:after="0"/>
              <w:rPr>
                <w:sz w:val="20"/>
                <w:szCs w:val="20"/>
                <w:color w:val="auto"/>
              </w:rPr>
            </w:pPr>
            <w:r>
              <w:rPr>
                <w:rFonts w:ascii="Arial" w:cs="Arial" w:eastAsia="Arial" w:hAnsi="Arial"/>
                <w:sz w:val="12"/>
                <w:szCs w:val="12"/>
                <w:color w:val="auto"/>
              </w:rPr>
              <w:t>November 2009 awards (incorporated by reference to Exhibit 10.6 to the Registrant's Annual Report on Form 10-K for the year ended December 31, 2009).(1)</w:t>
            </w:r>
          </w:p>
        </w:tc>
      </w:tr>
      <w:tr>
        <w:trPr>
          <w:trHeight w:val="171"/>
        </w:trPr>
        <w:tc>
          <w:tcPr>
            <w:tcW w:w="320" w:type="dxa"/>
            <w:vAlign w:val="bottom"/>
          </w:tcPr>
          <w:p>
            <w:pPr>
              <w:jc w:val="right"/>
              <w:ind w:right="2"/>
              <w:spacing w:after="0"/>
              <w:rPr>
                <w:sz w:val="20"/>
                <w:szCs w:val="20"/>
                <w:color w:val="auto"/>
              </w:rPr>
            </w:pPr>
            <w:r>
              <w:rPr>
                <w:rFonts w:ascii="Arial" w:cs="Arial" w:eastAsia="Arial" w:hAnsi="Arial"/>
                <w:sz w:val="12"/>
                <w:szCs w:val="12"/>
                <w:color w:val="auto"/>
              </w:rPr>
              <w:t>10.9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20" w:type="dxa"/>
            <w:vAlign w:val="bottom"/>
            <w:gridSpan w:val="3"/>
          </w:tcPr>
          <w:p>
            <w:pPr>
              <w:jc w:val="center"/>
              <w:ind w:left="440"/>
              <w:spacing w:after="0"/>
              <w:rPr>
                <w:sz w:val="20"/>
                <w:szCs w:val="20"/>
                <w:color w:val="auto"/>
              </w:rPr>
            </w:pPr>
            <w:r>
              <w:rPr>
                <w:rFonts w:ascii="Arial" w:cs="Arial" w:eastAsia="Arial" w:hAnsi="Arial"/>
                <w:sz w:val="12"/>
                <w:szCs w:val="12"/>
                <w:color w:val="auto"/>
                <w:w w:val="98"/>
              </w:rPr>
              <w:t>Form of Notice of Stock Option Grant and Stock Option Award Agreement under Amended and Restated Fidelity National Financial, Inc. 2005 Omnibus Incentive Plan</w:t>
            </w:r>
          </w:p>
        </w:tc>
      </w:tr>
      <w:tr>
        <w:trPr>
          <w:trHeight w:val="153"/>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20" w:type="dxa"/>
            <w:vAlign w:val="bottom"/>
            <w:gridSpan w:val="3"/>
          </w:tcPr>
          <w:p>
            <w:pPr>
              <w:ind w:left="280"/>
              <w:spacing w:after="0"/>
              <w:rPr>
                <w:sz w:val="20"/>
                <w:szCs w:val="20"/>
                <w:color w:val="auto"/>
              </w:rPr>
            </w:pPr>
            <w:r>
              <w:rPr>
                <w:rFonts w:ascii="Arial" w:cs="Arial" w:eastAsia="Arial" w:hAnsi="Arial"/>
                <w:sz w:val="12"/>
                <w:szCs w:val="12"/>
                <w:color w:val="auto"/>
              </w:rPr>
              <w:t>(incorporated by reference to Exhibit 10.6 to the Registrant’s Annual Report on Form 10-K for the year ended December 31, 2008).(1)</w:t>
            </w:r>
          </w:p>
        </w:tc>
      </w:tr>
      <w:tr>
        <w:trPr>
          <w:trHeight w:val="171"/>
        </w:trPr>
        <w:tc>
          <w:tcPr>
            <w:tcW w:w="320" w:type="dxa"/>
            <w:vAlign w:val="bottom"/>
          </w:tcPr>
          <w:p>
            <w:pPr>
              <w:jc w:val="right"/>
              <w:ind w:right="2"/>
              <w:spacing w:after="0"/>
              <w:rPr>
                <w:sz w:val="20"/>
                <w:szCs w:val="20"/>
                <w:color w:val="auto"/>
              </w:rPr>
            </w:pPr>
            <w:r>
              <w:rPr>
                <w:rFonts w:ascii="Arial" w:cs="Arial" w:eastAsia="Arial" w:hAnsi="Arial"/>
                <w:sz w:val="12"/>
                <w:szCs w:val="12"/>
                <w:color w:val="auto"/>
                <w:w w:val="79"/>
              </w:rPr>
              <w:t>10.10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20" w:type="dxa"/>
            <w:vAlign w:val="bottom"/>
            <w:gridSpan w:val="3"/>
          </w:tcPr>
          <w:p>
            <w:pPr>
              <w:jc w:val="center"/>
              <w:ind w:left="440"/>
              <w:spacing w:after="0"/>
              <w:rPr>
                <w:sz w:val="20"/>
                <w:szCs w:val="20"/>
                <w:color w:val="auto"/>
              </w:rPr>
            </w:pPr>
            <w:r>
              <w:rPr>
                <w:rFonts w:ascii="Arial" w:cs="Arial" w:eastAsia="Arial" w:hAnsi="Arial"/>
                <w:sz w:val="12"/>
                <w:szCs w:val="12"/>
                <w:color w:val="auto"/>
                <w:w w:val="92"/>
              </w:rPr>
              <w:t>Tax Disaffiliation Agreement by and among Old FNF, the Registrant and FIS, dated as of October 23, 2006 (incorporated by reference to Exhibit 99.1 to Old FNF’s Form 8-K, filed</w:t>
            </w:r>
          </w:p>
        </w:tc>
      </w:tr>
      <w:tr>
        <w:trPr>
          <w:trHeight w:val="153"/>
        </w:trPr>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20" w:type="dxa"/>
            <w:vAlign w:val="bottom"/>
            <w:gridSpan w:val="3"/>
          </w:tcPr>
          <w:p>
            <w:pPr>
              <w:ind w:left="280"/>
              <w:spacing w:after="0"/>
              <w:rPr>
                <w:sz w:val="20"/>
                <w:szCs w:val="20"/>
                <w:color w:val="auto"/>
              </w:rPr>
            </w:pPr>
            <w:r>
              <w:rPr>
                <w:rFonts w:ascii="Arial" w:cs="Arial" w:eastAsia="Arial" w:hAnsi="Arial"/>
                <w:sz w:val="12"/>
                <w:szCs w:val="12"/>
                <w:color w:val="auto"/>
              </w:rPr>
              <w:t>on October 27, 2006)</w:t>
            </w:r>
          </w:p>
        </w:tc>
      </w:tr>
    </w:tbl>
    <w:p>
      <w:pPr>
        <w:spacing w:after="0" w:line="27" w:lineRule="exact"/>
        <w:rPr>
          <w:sz w:val="20"/>
          <w:szCs w:val="20"/>
          <w:color w:val="auto"/>
        </w:rPr>
      </w:pPr>
    </w:p>
    <w:p>
      <w:pPr>
        <w:sectPr>
          <w:pgSz w:w="11900" w:h="16838" w:orient="portrait"/>
          <w:cols w:equalWidth="0" w:num="1">
            <w:col w:w="10380"/>
          </w:cols>
          <w:pgMar w:left="1300" w:top="131" w:right="219" w:bottom="1440" w:gutter="0" w:footer="0" w:header="0"/>
        </w:sectPr>
      </w:pPr>
    </w:p>
    <w:p>
      <w:pPr>
        <w:ind w:left="220"/>
        <w:spacing w:after="0"/>
        <w:rPr>
          <w:sz w:val="20"/>
          <w:szCs w:val="20"/>
          <w:color w:val="auto"/>
        </w:rPr>
      </w:pPr>
      <w:r>
        <w:rPr>
          <w:rFonts w:ascii="Arial" w:cs="Arial" w:eastAsia="Arial" w:hAnsi="Arial"/>
          <w:sz w:val="12"/>
          <w:szCs w:val="12"/>
          <w:color w:val="auto"/>
        </w:rPr>
        <w:t>10.11</w:t>
      </w:r>
    </w:p>
    <w:p>
      <w:pPr>
        <w:spacing w:after="0" w:line="168" w:lineRule="exact"/>
        <w:rPr>
          <w:sz w:val="20"/>
          <w:szCs w:val="20"/>
          <w:color w:val="auto"/>
        </w:rPr>
      </w:pPr>
    </w:p>
    <w:p>
      <w:pPr>
        <w:ind w:left="480" w:right="360" w:hanging="269"/>
        <w:spacing w:after="0" w:line="281" w:lineRule="auto"/>
        <w:tabs>
          <w:tab w:leader="none" w:pos="460" w:val="left"/>
        </w:tabs>
        <w:rPr>
          <w:sz w:val="20"/>
          <w:szCs w:val="20"/>
          <w:color w:val="auto"/>
        </w:rPr>
      </w:pPr>
      <w:r>
        <w:rPr>
          <w:rFonts w:ascii="Arial" w:cs="Arial" w:eastAsia="Arial" w:hAnsi="Arial"/>
          <w:sz w:val="12"/>
          <w:szCs w:val="12"/>
          <w:color w:val="auto"/>
        </w:rPr>
        <w:t>10.12</w:t>
      </w:r>
      <w:r>
        <w:rPr>
          <w:sz w:val="20"/>
          <w:szCs w:val="20"/>
          <w:color w:val="auto"/>
        </w:rPr>
        <w:tab/>
      </w:r>
      <w:r>
        <w:rPr>
          <w:rFonts w:ascii="Arial" w:cs="Arial" w:eastAsia="Arial" w:hAnsi="Arial"/>
          <w:sz w:val="11"/>
          <w:szCs w:val="11"/>
          <w:color w:val="auto"/>
        </w:rPr>
        <w:t>&lt; font style="font-</w:t>
      </w:r>
    </w:p>
    <w:p>
      <w:pPr>
        <w:spacing w:after="0" w:line="1" w:lineRule="exact"/>
        <w:rPr>
          <w:sz w:val="20"/>
          <w:szCs w:val="20"/>
          <w:color w:val="auto"/>
        </w:rPr>
      </w:pPr>
    </w:p>
    <w:p>
      <w:pPr>
        <w:ind w:left="480"/>
        <w:spacing w:after="0" w:line="282" w:lineRule="auto"/>
        <w:rPr>
          <w:sz w:val="20"/>
          <w:szCs w:val="20"/>
          <w:color w:val="auto"/>
        </w:rPr>
      </w:pPr>
      <w:r>
        <w:rPr>
          <w:rFonts w:ascii="Arial" w:cs="Arial" w:eastAsia="Arial" w:hAnsi="Arial"/>
          <w:sz w:val="11"/>
          <w:szCs w:val="11"/>
          <w:color w:val="auto"/>
        </w:rPr>
        <w:t>family:inherit;font-size:10pt;"&gt;</w:t>
      </w:r>
    </w:p>
    <w:p>
      <w:pPr>
        <w:ind w:left="220"/>
        <w:spacing w:after="0"/>
        <w:rPr>
          <w:sz w:val="20"/>
          <w:szCs w:val="20"/>
          <w:color w:val="auto"/>
        </w:rPr>
      </w:pPr>
      <w:r>
        <w:rPr>
          <w:rFonts w:ascii="Arial" w:cs="Arial" w:eastAsia="Arial" w:hAnsi="Arial"/>
          <w:sz w:val="12"/>
          <w:szCs w:val="12"/>
          <w:color w:val="auto"/>
        </w:rPr>
        <w:t>10.13</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10.14</w:t>
      </w:r>
    </w:p>
    <w:p>
      <w:pPr>
        <w:spacing w:after="0" w:line="20" w:lineRule="exact"/>
        <w:rPr>
          <w:sz w:val="20"/>
          <w:szCs w:val="20"/>
          <w:color w:val="auto"/>
        </w:rPr>
      </w:pPr>
      <w:r>
        <w:rPr>
          <w:sz w:val="20"/>
          <w:szCs w:val="20"/>
          <w:color w:val="auto"/>
        </w:rPr>
        <w:br w:type="column"/>
      </w:r>
    </w:p>
    <w:p>
      <w:pPr>
        <w:ind w:firstLine="216"/>
        <w:spacing w:after="0" w:line="276" w:lineRule="auto"/>
        <w:rPr>
          <w:sz w:val="20"/>
          <w:szCs w:val="20"/>
          <w:color w:val="auto"/>
        </w:rPr>
      </w:pPr>
      <w:r>
        <w:rPr>
          <w:rFonts w:ascii="Arial" w:cs="Arial" w:eastAsia="Arial" w:hAnsi="Arial"/>
          <w:sz w:val="12"/>
          <w:szCs w:val="12"/>
          <w:color w:val="auto"/>
        </w:rPr>
        <w:t>Cross-Indemnity Agreement by and between the Registrant and FIS, dated as of October 23, 2006 (incorporated by reference to Exhibit 99.2 to FIS’s Form 8-K, filed on October 27, 2006)</w:t>
      </w:r>
    </w:p>
    <w:p>
      <w:pPr>
        <w:spacing w:after="0" w:line="259"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Fidelity Sedgwick Holdings, Inc. 2006 Stock Incentive Plan (the “FSH Plan”), effective as of January 31, 2006 (incorporated by reference to Exhibit 99.3 to Old FNF's Current Report on Form 8-K filed on February 6, 2006).(1)</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1"/>
          <w:szCs w:val="11"/>
          <w:color w:val="auto"/>
        </w:rPr>
        <w:t>Form of Stock Option Agreement under the FSH Plan (incorporated by reference to Exhibit 99.4 to Old FNF's Current Report on Form 8-K filed on February 6, 2006).(1)</w:t>
      </w:r>
    </w:p>
    <w:p>
      <w:pPr>
        <w:spacing w:after="0" w:line="19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Amended and Restated Employment Agreement between the registrant and Geo rge P. Scanlon, effective as of November 1, 2010. (incorporated by reference to Exhibit 10.2 to the Registrant's Quarterly Report on Form 10-Q for the period ended September 30, 2010) (1)</w:t>
      </w:r>
    </w:p>
    <w:p>
      <w:pPr>
        <w:spacing w:after="0" w:line="7" w:lineRule="exact"/>
        <w:rPr>
          <w:sz w:val="20"/>
          <w:szCs w:val="20"/>
          <w:color w:val="auto"/>
        </w:rPr>
      </w:pPr>
    </w:p>
    <w:p>
      <w:pPr>
        <w:sectPr>
          <w:pgSz w:w="11900" w:h="16838" w:orient="portrait"/>
          <w:cols w:equalWidth="0" w:num="2">
            <w:col w:w="1420" w:space="20"/>
            <w:col w:w="8940"/>
          </w:cols>
          <w:pgMar w:left="1300" w:top="131" w:right="21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10.15</w:t>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10"/>
          <w:szCs w:val="10"/>
          <w:color w:val="auto"/>
        </w:rPr>
        <w:t>10.16</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0"/>
          <w:szCs w:val="10"/>
          <w:color w:val="auto"/>
        </w:rPr>
        <w:t>10.17</w:t>
      </w:r>
    </w:p>
    <w:p>
      <w:pPr>
        <w:spacing w:after="0" w:line="20" w:lineRule="exact"/>
        <w:rPr>
          <w:sz w:val="20"/>
          <w:szCs w:val="20"/>
          <w:color w:val="auto"/>
        </w:rPr>
      </w:pPr>
      <w:r>
        <w:rPr>
          <w:sz w:val="20"/>
          <w:szCs w:val="20"/>
          <w:color w:val="auto"/>
        </w:rPr>
        <w:br w:type="column"/>
      </w:r>
    </w:p>
    <w:p>
      <w:pPr>
        <w:ind w:firstLine="216"/>
        <w:spacing w:after="0" w:line="276" w:lineRule="auto"/>
        <w:rPr>
          <w:sz w:val="20"/>
          <w:szCs w:val="20"/>
          <w:color w:val="auto"/>
        </w:rPr>
      </w:pPr>
      <w:r>
        <w:rPr>
          <w:rFonts w:ascii="Arial" w:cs="Arial" w:eastAsia="Arial" w:hAnsi="Arial"/>
          <w:sz w:val="12"/>
          <w:szCs w:val="12"/>
          <w:color w:val="auto"/>
        </w:rPr>
        <w:t>Amended and Restated Employment Agreement between the registrant and Daniel K. Murphy, effective as of September 30, 2010. (incorporated by reference to Exhibit 10.1 to the Registrant's Quarterly Report on Form 10-Q for the period ended September 30, 2010)(1)</w:t>
      </w:r>
    </w:p>
    <w:p>
      <w:pPr>
        <w:spacing w:after="0" w:line="15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Amended and Restated Employment Agreement between the Registrant and Anthony J. Park, effective as of October 10, 2008(1) (incorporated by reference to Exhibit 10.11 to Registrant’s Annual Report on Form 10-K for the year ended December 31, 2008)</w:t>
      </w:r>
    </w:p>
    <w:p>
      <w:pPr>
        <w:spacing w:after="0" w:line="7"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Amendment effective February 4, 2010 to Amended and Restated Employment Agreement between the Registrant and Anthony J. Park, effective as of October 10, 2008(incorporated by reference to Exhibit 10.13 to the Registrant's Annual Report on Form 10-K for the year ended December 31, 2009)(1)</w:t>
      </w:r>
    </w:p>
    <w:p>
      <w:pPr>
        <w:spacing w:after="0" w:line="7" w:lineRule="exact"/>
        <w:rPr>
          <w:sz w:val="20"/>
          <w:szCs w:val="20"/>
          <w:color w:val="auto"/>
        </w:rPr>
      </w:pPr>
    </w:p>
    <w:p>
      <w:pPr>
        <w:sectPr>
          <w:pgSz w:w="11900" w:h="16838" w:orient="portrait"/>
          <w:cols w:equalWidth="0" w:num="2">
            <w:col w:w="720" w:space="720"/>
            <w:col w:w="8940"/>
          </w:cols>
          <w:pgMar w:left="1300" w:top="131" w:right="219" w:bottom="1440" w:gutter="0" w:footer="0" w:header="0"/>
          <w:type w:val="continuous"/>
        </w:sectPr>
      </w:pPr>
    </w:p>
    <w:tbl>
      <w:tblPr>
        <w:tblLayout w:type="fixed"/>
        <w:tblInd w:w="220" w:type="dxa"/>
        <w:tblCellMar>
          <w:top w:w="0" w:type="dxa"/>
          <w:left w:w="0" w:type="dxa"/>
          <w:bottom w:w="0" w:type="dxa"/>
          <w:right w:w="0" w:type="dxa"/>
        </w:tblCellMar>
      </w:tblPr>
      <w:tr>
        <w:trPr>
          <w:trHeight w:val="144"/>
        </w:trPr>
        <w:tc>
          <w:tcPr>
            <w:tcW w:w="740" w:type="dxa"/>
            <w:vAlign w:val="bottom"/>
          </w:tcPr>
          <w:p>
            <w:pPr>
              <w:jc w:val="right"/>
              <w:ind w:right="420"/>
              <w:spacing w:after="0"/>
              <w:rPr>
                <w:sz w:val="20"/>
                <w:szCs w:val="20"/>
                <w:color w:val="auto"/>
              </w:rPr>
            </w:pPr>
            <w:r>
              <w:rPr>
                <w:rFonts w:ascii="Arial" w:cs="Arial" w:eastAsia="Arial" w:hAnsi="Arial"/>
                <w:sz w:val="12"/>
                <w:szCs w:val="12"/>
                <w:color w:val="auto"/>
                <w:w w:val="79"/>
              </w:rPr>
              <w:t>10.18</w:t>
            </w:r>
          </w:p>
        </w:tc>
        <w:tc>
          <w:tcPr>
            <w:tcW w:w="9420" w:type="dxa"/>
            <w:vAlign w:val="bottom"/>
          </w:tcPr>
          <w:p>
            <w:pPr>
              <w:ind w:left="700"/>
              <w:spacing w:after="0"/>
              <w:rPr>
                <w:sz w:val="20"/>
                <w:szCs w:val="20"/>
                <w:color w:val="auto"/>
              </w:rPr>
            </w:pPr>
            <w:r>
              <w:rPr>
                <w:rFonts w:ascii="Arial" w:cs="Arial" w:eastAsia="Arial" w:hAnsi="Arial"/>
                <w:sz w:val="12"/>
                <w:szCs w:val="12"/>
                <w:color w:val="auto"/>
                <w:w w:val="96"/>
              </w:rPr>
              <w:t>Amended and Restated Employment Agreement between the Registrant and Brent B. Bickett, effective as of July 2, 2008(incorporated by reference to Exhibit 10.14 to the</w:t>
            </w:r>
          </w:p>
        </w:tc>
      </w:tr>
      <w:tr>
        <w:trPr>
          <w:trHeight w:val="153"/>
        </w:trPr>
        <w:tc>
          <w:tcPr>
            <w:tcW w:w="740" w:type="dxa"/>
            <w:vAlign w:val="bottom"/>
          </w:tcPr>
          <w:p>
            <w:pPr>
              <w:spacing w:after="0"/>
              <w:rPr>
                <w:sz w:val="13"/>
                <w:szCs w:val="13"/>
                <w:color w:val="auto"/>
              </w:rPr>
            </w:pPr>
          </w:p>
        </w:tc>
        <w:tc>
          <w:tcPr>
            <w:tcW w:w="9420" w:type="dxa"/>
            <w:vAlign w:val="bottom"/>
          </w:tcPr>
          <w:p>
            <w:pPr>
              <w:ind w:left="480"/>
              <w:spacing w:after="0"/>
              <w:rPr>
                <w:sz w:val="20"/>
                <w:szCs w:val="20"/>
                <w:color w:val="auto"/>
              </w:rPr>
            </w:pPr>
            <w:r>
              <w:rPr>
                <w:rFonts w:ascii="Arial" w:cs="Arial" w:eastAsia="Arial" w:hAnsi="Arial"/>
                <w:sz w:val="12"/>
                <w:szCs w:val="12"/>
                <w:color w:val="auto"/>
              </w:rPr>
              <w:t>Registrant's Annual Report on Form 10-K for the year ended December 31, 2009)(1).</w:t>
            </w:r>
          </w:p>
        </w:tc>
      </w:tr>
      <w:tr>
        <w:trPr>
          <w:trHeight w:val="171"/>
        </w:trPr>
        <w:tc>
          <w:tcPr>
            <w:tcW w:w="740" w:type="dxa"/>
            <w:vAlign w:val="bottom"/>
          </w:tcPr>
          <w:p>
            <w:pPr>
              <w:jc w:val="right"/>
              <w:ind w:right="420"/>
              <w:spacing w:after="0"/>
              <w:rPr>
                <w:sz w:val="20"/>
                <w:szCs w:val="20"/>
                <w:color w:val="auto"/>
              </w:rPr>
            </w:pPr>
            <w:r>
              <w:rPr>
                <w:rFonts w:ascii="Arial" w:cs="Arial" w:eastAsia="Arial" w:hAnsi="Arial"/>
                <w:sz w:val="12"/>
                <w:szCs w:val="12"/>
                <w:color w:val="auto"/>
                <w:w w:val="79"/>
              </w:rPr>
              <w:t>10.19</w:t>
            </w:r>
          </w:p>
        </w:tc>
        <w:tc>
          <w:tcPr>
            <w:tcW w:w="9420" w:type="dxa"/>
            <w:vAlign w:val="bottom"/>
          </w:tcPr>
          <w:p>
            <w:pPr>
              <w:ind w:left="700"/>
              <w:spacing w:after="0"/>
              <w:rPr>
                <w:sz w:val="20"/>
                <w:szCs w:val="20"/>
                <w:color w:val="auto"/>
              </w:rPr>
            </w:pPr>
            <w:r>
              <w:rPr>
                <w:rFonts w:ascii="Arial" w:cs="Arial" w:eastAsia="Arial" w:hAnsi="Arial"/>
                <w:sz w:val="12"/>
                <w:szCs w:val="12"/>
                <w:color w:val="auto"/>
                <w:w w:val="91"/>
              </w:rPr>
              <w:t>Amendment effective February 4, 2010 to Amended and Restated Employment Agreement between the Registrant and Brent B. Bickett, effective as of July 2, 2008(incorporated by</w:t>
            </w:r>
          </w:p>
        </w:tc>
      </w:tr>
      <w:tr>
        <w:trPr>
          <w:trHeight w:val="153"/>
        </w:trPr>
        <w:tc>
          <w:tcPr>
            <w:tcW w:w="740" w:type="dxa"/>
            <w:vAlign w:val="bottom"/>
          </w:tcPr>
          <w:p>
            <w:pPr>
              <w:spacing w:after="0"/>
              <w:rPr>
                <w:sz w:val="13"/>
                <w:szCs w:val="13"/>
                <w:color w:val="auto"/>
              </w:rPr>
            </w:pPr>
          </w:p>
        </w:tc>
        <w:tc>
          <w:tcPr>
            <w:tcW w:w="9420" w:type="dxa"/>
            <w:vAlign w:val="bottom"/>
          </w:tcPr>
          <w:p>
            <w:pPr>
              <w:ind w:left="480"/>
              <w:spacing w:after="0"/>
              <w:rPr>
                <w:sz w:val="20"/>
                <w:szCs w:val="20"/>
                <w:color w:val="auto"/>
              </w:rPr>
            </w:pPr>
            <w:r>
              <w:rPr>
                <w:rFonts w:ascii="Arial" w:cs="Arial" w:eastAsia="Arial" w:hAnsi="Arial"/>
                <w:sz w:val="12"/>
                <w:szCs w:val="12"/>
                <w:color w:val="auto"/>
              </w:rPr>
              <w:t>reference to Exhibit 10.15 to the Registrant's Annual Report on Form 10-K for the year ended December 31, 2009)(1)</w:t>
            </w:r>
          </w:p>
        </w:tc>
      </w:tr>
      <w:tr>
        <w:trPr>
          <w:trHeight w:val="153"/>
        </w:trPr>
        <w:tc>
          <w:tcPr>
            <w:tcW w:w="740" w:type="dxa"/>
            <w:vAlign w:val="bottom"/>
          </w:tcPr>
          <w:p>
            <w:pPr>
              <w:jc w:val="right"/>
              <w:ind w:right="420"/>
              <w:spacing w:after="0"/>
              <w:rPr>
                <w:sz w:val="20"/>
                <w:szCs w:val="20"/>
                <w:color w:val="auto"/>
              </w:rPr>
            </w:pPr>
            <w:r>
              <w:rPr>
                <w:rFonts w:ascii="Arial" w:cs="Arial" w:eastAsia="Arial" w:hAnsi="Arial"/>
                <w:sz w:val="12"/>
                <w:szCs w:val="12"/>
                <w:color w:val="auto"/>
                <w:w w:val="79"/>
              </w:rPr>
              <w:t>10.20</w:t>
            </w:r>
          </w:p>
        </w:tc>
        <w:tc>
          <w:tcPr>
            <w:tcW w:w="9420" w:type="dxa"/>
            <w:vAlign w:val="bottom"/>
          </w:tcPr>
          <w:p>
            <w:pPr>
              <w:ind w:left="700"/>
              <w:spacing w:after="0"/>
              <w:rPr>
                <w:sz w:val="20"/>
                <w:szCs w:val="20"/>
                <w:color w:val="auto"/>
              </w:rPr>
            </w:pPr>
            <w:r>
              <w:rPr>
                <w:rFonts w:ascii="Arial" w:cs="Arial" w:eastAsia="Arial" w:hAnsi="Arial"/>
                <w:sz w:val="12"/>
                <w:szCs w:val="12"/>
                <w:color w:val="auto"/>
                <w:w w:val="90"/>
              </w:rPr>
              <w:t>Amendment effective Febr uary 4, 2010 to Amended and Restated Employment Agreement between the Registrant and William P. Foley, II, effective as of July 2, 2008(incorporated</w:t>
            </w:r>
          </w:p>
        </w:tc>
      </w:tr>
      <w:tr>
        <w:trPr>
          <w:trHeight w:val="153"/>
        </w:trPr>
        <w:tc>
          <w:tcPr>
            <w:tcW w:w="740" w:type="dxa"/>
            <w:vAlign w:val="bottom"/>
          </w:tcPr>
          <w:p>
            <w:pPr>
              <w:spacing w:after="0"/>
              <w:rPr>
                <w:sz w:val="13"/>
                <w:szCs w:val="13"/>
                <w:color w:val="auto"/>
              </w:rPr>
            </w:pPr>
          </w:p>
        </w:tc>
        <w:tc>
          <w:tcPr>
            <w:tcW w:w="9420" w:type="dxa"/>
            <w:vAlign w:val="bottom"/>
          </w:tcPr>
          <w:p>
            <w:pPr>
              <w:ind w:left="480"/>
              <w:spacing w:after="0"/>
              <w:rPr>
                <w:sz w:val="20"/>
                <w:szCs w:val="20"/>
                <w:color w:val="auto"/>
              </w:rPr>
            </w:pPr>
            <w:r>
              <w:rPr>
                <w:rFonts w:ascii="Arial" w:cs="Arial" w:eastAsia="Arial" w:hAnsi="Arial"/>
                <w:sz w:val="12"/>
                <w:szCs w:val="12"/>
                <w:color w:val="auto"/>
              </w:rPr>
              <w:t>by reference to Exhibit 10.17 to the Registrant's Annual Report on Form 10-K for the year ended December 31, 2009)(1).</w:t>
            </w:r>
          </w:p>
        </w:tc>
      </w:tr>
      <w:tr>
        <w:trPr>
          <w:trHeight w:val="171"/>
        </w:trPr>
        <w:tc>
          <w:tcPr>
            <w:tcW w:w="740" w:type="dxa"/>
            <w:vAlign w:val="bottom"/>
          </w:tcPr>
          <w:p>
            <w:pPr>
              <w:jc w:val="right"/>
              <w:ind w:right="420"/>
              <w:spacing w:after="0"/>
              <w:rPr>
                <w:sz w:val="20"/>
                <w:szCs w:val="20"/>
                <w:color w:val="auto"/>
              </w:rPr>
            </w:pPr>
            <w:r>
              <w:rPr>
                <w:rFonts w:ascii="Arial" w:cs="Arial" w:eastAsia="Arial" w:hAnsi="Arial"/>
                <w:sz w:val="12"/>
                <w:szCs w:val="12"/>
                <w:color w:val="auto"/>
                <w:w w:val="79"/>
              </w:rPr>
              <w:t>10.21</w:t>
            </w:r>
          </w:p>
        </w:tc>
        <w:tc>
          <w:tcPr>
            <w:tcW w:w="9420" w:type="dxa"/>
            <w:vAlign w:val="bottom"/>
          </w:tcPr>
          <w:p>
            <w:pPr>
              <w:ind w:left="700"/>
              <w:spacing w:after="0"/>
              <w:rPr>
                <w:sz w:val="20"/>
                <w:szCs w:val="20"/>
                <w:color w:val="auto"/>
              </w:rPr>
            </w:pPr>
            <w:r>
              <w:rPr>
                <w:rFonts w:ascii="Arial" w:cs="Arial" w:eastAsia="Arial" w:hAnsi="Arial"/>
                <w:sz w:val="12"/>
                <w:szCs w:val="12"/>
                <w:color w:val="auto"/>
                <w:w w:val="92"/>
              </w:rPr>
              <w:t>Amended and Restated Employment Agreement between the registrant and Alan L. Stinson, effective as of October 20, 2010. (incorporated by reference to Exhibit 10.3 to the Re</w:t>
            </w:r>
          </w:p>
        </w:tc>
      </w:tr>
      <w:tr>
        <w:trPr>
          <w:trHeight w:val="153"/>
        </w:trPr>
        <w:tc>
          <w:tcPr>
            <w:tcW w:w="740" w:type="dxa"/>
            <w:vAlign w:val="bottom"/>
          </w:tcPr>
          <w:p>
            <w:pPr>
              <w:spacing w:after="0"/>
              <w:rPr>
                <w:sz w:val="13"/>
                <w:szCs w:val="13"/>
                <w:color w:val="auto"/>
              </w:rPr>
            </w:pPr>
          </w:p>
        </w:tc>
        <w:tc>
          <w:tcPr>
            <w:tcW w:w="9420" w:type="dxa"/>
            <w:vAlign w:val="bottom"/>
          </w:tcPr>
          <w:p>
            <w:pPr>
              <w:ind w:left="480"/>
              <w:spacing w:after="0"/>
              <w:rPr>
                <w:sz w:val="20"/>
                <w:szCs w:val="20"/>
                <w:color w:val="auto"/>
              </w:rPr>
            </w:pPr>
            <w:r>
              <w:rPr>
                <w:rFonts w:ascii="Arial" w:cs="Arial" w:eastAsia="Arial" w:hAnsi="Arial"/>
                <w:sz w:val="12"/>
                <w:szCs w:val="12"/>
                <w:color w:val="auto"/>
              </w:rPr>
              <w:t>gistrant's Quarterly Report on Form 10-Q for the period ended September 30, 2010)(1)</w:t>
            </w:r>
          </w:p>
        </w:tc>
      </w:tr>
      <w:tr>
        <w:trPr>
          <w:trHeight w:val="171"/>
        </w:trPr>
        <w:tc>
          <w:tcPr>
            <w:tcW w:w="740" w:type="dxa"/>
            <w:vAlign w:val="bottom"/>
          </w:tcPr>
          <w:p>
            <w:pPr>
              <w:jc w:val="right"/>
              <w:ind w:right="420"/>
              <w:spacing w:after="0"/>
              <w:rPr>
                <w:sz w:val="20"/>
                <w:szCs w:val="20"/>
                <w:color w:val="auto"/>
              </w:rPr>
            </w:pPr>
            <w:r>
              <w:rPr>
                <w:rFonts w:ascii="Arial" w:cs="Arial" w:eastAsia="Arial" w:hAnsi="Arial"/>
                <w:sz w:val="12"/>
                <w:szCs w:val="12"/>
                <w:color w:val="auto"/>
                <w:w w:val="79"/>
              </w:rPr>
              <w:t>10.22</w:t>
            </w:r>
          </w:p>
        </w:tc>
        <w:tc>
          <w:tcPr>
            <w:tcW w:w="9420" w:type="dxa"/>
            <w:vAlign w:val="bottom"/>
          </w:tcPr>
          <w:p>
            <w:pPr>
              <w:ind w:left="700"/>
              <w:spacing w:after="0"/>
              <w:rPr>
                <w:sz w:val="20"/>
                <w:szCs w:val="20"/>
                <w:color w:val="auto"/>
              </w:rPr>
            </w:pPr>
            <w:r>
              <w:rPr>
                <w:rFonts w:ascii="Arial" w:cs="Arial" w:eastAsia="Arial" w:hAnsi="Arial"/>
                <w:sz w:val="12"/>
                <w:szCs w:val="12"/>
                <w:color w:val="auto"/>
                <w:w w:val="94"/>
              </w:rPr>
              <w:t>Amended and Restated Employment Agreement between the Registrant and Alan L. Stinson, effective as of January 1, 2009(1) (incorporated by reference to Exhibit 10.15 to</w:t>
            </w:r>
          </w:p>
        </w:tc>
      </w:tr>
      <w:tr>
        <w:trPr>
          <w:trHeight w:val="153"/>
        </w:trPr>
        <w:tc>
          <w:tcPr>
            <w:tcW w:w="740" w:type="dxa"/>
            <w:vAlign w:val="bottom"/>
          </w:tcPr>
          <w:p>
            <w:pPr>
              <w:spacing w:after="0"/>
              <w:rPr>
                <w:sz w:val="13"/>
                <w:szCs w:val="13"/>
                <w:color w:val="auto"/>
              </w:rPr>
            </w:pPr>
          </w:p>
        </w:tc>
        <w:tc>
          <w:tcPr>
            <w:tcW w:w="9420" w:type="dxa"/>
            <w:vAlign w:val="bottom"/>
          </w:tcPr>
          <w:p>
            <w:pPr>
              <w:ind w:left="480"/>
              <w:spacing w:after="0"/>
              <w:rPr>
                <w:sz w:val="20"/>
                <w:szCs w:val="20"/>
                <w:color w:val="auto"/>
              </w:rPr>
            </w:pPr>
            <w:r>
              <w:rPr>
                <w:rFonts w:ascii="Arial" w:cs="Arial" w:eastAsia="Arial" w:hAnsi="Arial"/>
                <w:sz w:val="12"/>
                <w:szCs w:val="12"/>
                <w:color w:val="auto"/>
              </w:rPr>
              <w:t>Registrant’s Annual Report on Form 10-K for the year ended December 31, 2008).</w:t>
            </w:r>
          </w:p>
        </w:tc>
      </w:tr>
    </w:tbl>
    <w:p>
      <w:pPr>
        <w:spacing w:after="0" w:line="27" w:lineRule="exact"/>
        <w:rPr>
          <w:sz w:val="20"/>
          <w:szCs w:val="20"/>
          <w:color w:val="auto"/>
        </w:rPr>
      </w:pPr>
    </w:p>
    <w:p>
      <w:pPr>
        <w:sectPr>
          <w:pgSz w:w="11900" w:h="16838" w:orient="portrait"/>
          <w:cols w:equalWidth="0" w:num="1">
            <w:col w:w="10380"/>
          </w:cols>
          <w:pgMar w:left="1300" w:top="131" w:right="21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10.23</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0"/>
          <w:szCs w:val="10"/>
          <w:color w:val="auto"/>
        </w:rPr>
        <w:t>10.24</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0"/>
          <w:szCs w:val="10"/>
          <w:color w:val="auto"/>
        </w:rPr>
        <w:t>10.25</w:t>
      </w:r>
    </w:p>
    <w:p>
      <w:pPr>
        <w:spacing w:after="0" w:line="20" w:lineRule="exact"/>
        <w:rPr>
          <w:sz w:val="20"/>
          <w:szCs w:val="20"/>
          <w:color w:val="auto"/>
        </w:rPr>
      </w:pPr>
      <w:r>
        <w:rPr>
          <w:sz w:val="20"/>
          <w:szCs w:val="20"/>
          <w:color w:val="auto"/>
        </w:rPr>
        <w:br w:type="column"/>
      </w:r>
    </w:p>
    <w:p>
      <w:pPr>
        <w:ind w:firstLine="216"/>
        <w:spacing w:after="0" w:line="276" w:lineRule="auto"/>
        <w:rPr>
          <w:sz w:val="20"/>
          <w:szCs w:val="20"/>
          <w:color w:val="auto"/>
        </w:rPr>
      </w:pPr>
      <w:r>
        <w:rPr>
          <w:rFonts w:ascii="Arial" w:cs="Arial" w:eastAsia="Arial" w:hAnsi="Arial"/>
          <w:sz w:val="12"/>
          <w:szCs w:val="12"/>
          <w:color w:val="auto"/>
        </w:rPr>
        <w:t>Amendment effective February 4, 2010 to Amended and Restated Employment Agreement between the Registrant and Alan L. Stinson, effective as of January 1, 2009(incorporated by reference to Exhibit 10.19 to the Registrant's Annual Report on Form 10-K for the year ended December 31, 2009)(1).</w:t>
      </w:r>
    </w:p>
    <w:p>
      <w:pPr>
        <w:spacing w:after="0" w:line="7" w:lineRule="exact"/>
        <w:rPr>
          <w:sz w:val="20"/>
          <w:szCs w:val="20"/>
          <w:color w:val="auto"/>
        </w:rPr>
      </w:pPr>
    </w:p>
    <w:p>
      <w:pPr>
        <w:ind w:firstLine="216"/>
        <w:spacing w:after="0" w:line="266" w:lineRule="auto"/>
        <w:rPr>
          <w:sz w:val="20"/>
          <w:szCs w:val="20"/>
          <w:color w:val="auto"/>
        </w:rPr>
      </w:pPr>
      <w:r>
        <w:rPr>
          <w:rFonts w:ascii="Arial" w:cs="Arial" w:eastAsia="Arial" w:hAnsi="Arial"/>
          <w:sz w:val="12"/>
          <w:szCs w:val="12"/>
          <w:color w:val="auto"/>
        </w:rPr>
        <w:t>Amended and Restated Employment Agreement between the Registrant and Raymond R. Quirk, effective as of October 10, 2008(1) (incorporated by reference to Exhibit 10.16 to Registrant’s Annual Report on Form 10-K for the year ended December 31, 2008)</w:t>
      </w:r>
    </w:p>
    <w:p>
      <w:pPr>
        <w:ind w:right="20" w:firstLine="216"/>
        <w:spacing w:after="0" w:line="276" w:lineRule="auto"/>
        <w:rPr>
          <w:sz w:val="20"/>
          <w:szCs w:val="20"/>
          <w:color w:val="auto"/>
        </w:rPr>
      </w:pPr>
      <w:r>
        <w:rPr>
          <w:rFonts w:ascii="Arial" w:cs="Arial" w:eastAsia="Arial" w:hAnsi="Arial"/>
          <w:sz w:val="12"/>
          <w:szCs w:val="12"/>
          <w:color w:val="auto"/>
        </w:rPr>
        <w:t>Amendment effective February 4, 2010 to Amended and Restated Employment Agreement between the Registrant and Raymond R. Quirk, effective as of October 10, 2008(incorporated by reference to Exhibit 10.21 to the Registrant's Annual Report on Form 10-K for the year ended December 31, 2009)(1)</w:t>
      </w:r>
    </w:p>
    <w:p>
      <w:pPr>
        <w:spacing w:after="0" w:line="133" w:lineRule="exact"/>
        <w:rPr>
          <w:sz w:val="20"/>
          <w:szCs w:val="20"/>
          <w:color w:val="auto"/>
        </w:rPr>
      </w:pPr>
    </w:p>
    <w:p>
      <w:pPr>
        <w:jc w:val="center"/>
        <w:ind w:right="1420"/>
        <w:spacing w:after="0"/>
        <w:rPr>
          <w:sz w:val="20"/>
          <w:szCs w:val="20"/>
          <w:color w:val="auto"/>
        </w:rPr>
      </w:pPr>
      <w:r>
        <w:rPr>
          <w:rFonts w:ascii="Arial" w:cs="Arial" w:eastAsia="Arial" w:hAnsi="Arial"/>
          <w:sz w:val="12"/>
          <w:szCs w:val="12"/>
          <w:color w:val="auto"/>
        </w:rPr>
        <w:t>88</w:t>
      </w:r>
    </w:p>
    <w:p>
      <w:pPr>
        <w:sectPr>
          <w:pgSz w:w="11900" w:h="16838" w:orient="portrait"/>
          <w:cols w:equalWidth="0" w:num="2">
            <w:col w:w="720" w:space="720"/>
            <w:col w:w="8940"/>
          </w:cols>
          <w:pgMar w:left="1300" w:top="131" w:right="219" w:bottom="1440" w:gutter="0" w:footer="0" w:header="0"/>
          <w:type w:val="continuous"/>
        </w:sectPr>
      </w:pPr>
    </w:p>
    <w:bookmarkStart w:id="89" w:name="page90"/>
    <w:bookmarkEnd w:id="8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60" w:type="dxa"/>
            <w:vAlign w:val="bottom"/>
            <w:gridSpan w:val="3"/>
          </w:tcPr>
          <w:p>
            <w:pPr>
              <w:ind w:left="4080"/>
              <w:spacing w:after="0"/>
              <w:rPr>
                <w:sz w:val="20"/>
                <w:szCs w:val="20"/>
                <w:color w:val="auto"/>
              </w:rPr>
            </w:pPr>
            <w:r>
              <w:rPr>
                <w:rFonts w:ascii="Arial" w:cs="Arial" w:eastAsia="Arial" w:hAnsi="Arial"/>
                <w:sz w:val="12"/>
                <w:szCs w:val="12"/>
                <w:color w:val="auto"/>
              </w:rPr>
              <w:t>&amp; nbsp;</w:t>
            </w:r>
          </w:p>
        </w:tc>
      </w:tr>
      <w:tr>
        <w:trPr>
          <w:trHeight w:val="193"/>
        </w:trPr>
        <w:tc>
          <w:tcPr>
            <w:tcW w:w="18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0"/>
                <w:szCs w:val="10"/>
                <w:b w:val="1"/>
                <w:bCs w:val="1"/>
                <w:color w:val="auto"/>
              </w:rPr>
              <w:t>Exhibit</w:t>
            </w:r>
          </w:p>
        </w:tc>
        <w:tc>
          <w:tcPr>
            <w:tcW w:w="4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105"/>
        </w:trPr>
        <w:tc>
          <w:tcPr>
            <w:tcW w:w="180" w:type="dxa"/>
            <w:vAlign w:val="bottom"/>
          </w:tcPr>
          <w:p>
            <w:pPr>
              <w:spacing w:after="0"/>
              <w:rPr>
                <w:sz w:val="9"/>
                <w:szCs w:val="9"/>
                <w:color w:val="auto"/>
              </w:rPr>
            </w:pPr>
          </w:p>
        </w:tc>
        <w:tc>
          <w:tcPr>
            <w:tcW w:w="72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Number</w:t>
            </w:r>
          </w:p>
        </w:tc>
        <w:tc>
          <w:tcPr>
            <w:tcW w:w="9460" w:type="dxa"/>
            <w:vAlign w:val="bottom"/>
            <w:gridSpan w:val="3"/>
          </w:tcPr>
          <w:p>
            <w:pPr>
              <w:ind w:left="4520"/>
              <w:spacing w:after="0" w:line="105" w:lineRule="exact"/>
              <w:rPr>
                <w:sz w:val="20"/>
                <w:szCs w:val="20"/>
                <w:color w:val="auto"/>
              </w:rPr>
            </w:pPr>
            <w:r>
              <w:rPr>
                <w:rFonts w:ascii="Arial" w:cs="Arial" w:eastAsia="Arial" w:hAnsi="Arial"/>
                <w:sz w:val="10"/>
                <w:szCs w:val="10"/>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60"/>
        </w:trPr>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3"/>
              </w:rPr>
              <w:t>10.26</w:t>
            </w:r>
          </w:p>
        </w:tc>
        <w:tc>
          <w:tcPr>
            <w:tcW w:w="380" w:type="dxa"/>
            <w:vAlign w:val="bottom"/>
          </w:tcPr>
          <w:p>
            <w:pPr>
              <w:spacing w:after="0"/>
              <w:rPr>
                <w:sz w:val="13"/>
                <w:szCs w:val="13"/>
                <w:color w:val="auto"/>
              </w:rPr>
            </w:pPr>
          </w:p>
        </w:tc>
        <w:tc>
          <w:tcPr>
            <w:tcW w:w="9460" w:type="dxa"/>
            <w:vAlign w:val="bottom"/>
            <w:gridSpan w:val="3"/>
          </w:tcPr>
          <w:p>
            <w:pPr>
              <w:ind w:left="80"/>
              <w:spacing w:after="0"/>
              <w:rPr>
                <w:sz w:val="20"/>
                <w:szCs w:val="20"/>
                <w:color w:val="auto"/>
              </w:rPr>
            </w:pPr>
            <w:r>
              <w:rPr>
                <w:rFonts w:ascii="Arial" w:cs="Arial" w:eastAsia="Arial" w:hAnsi="Arial"/>
                <w:sz w:val="12"/>
                <w:szCs w:val="12"/>
                <w:color w:val="auto"/>
                <w:w w:val="92"/>
              </w:rPr>
              <w:t>Amended and Restated Employment Agreement between the Registrant and Michael L. Gravelle, effective as of January 1, 2010(incorporated by reference to Exhibit 10.22 to the Registrant's</w:t>
            </w:r>
          </w:p>
        </w:tc>
      </w:tr>
      <w:tr>
        <w:trPr>
          <w:trHeight w:val="153"/>
        </w:trPr>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40" w:type="dxa"/>
            <w:vAlign w:val="bottom"/>
            <w:gridSpan w:val="4"/>
          </w:tcPr>
          <w:p>
            <w:pPr>
              <w:ind w:left="240"/>
              <w:spacing w:after="0"/>
              <w:rPr>
                <w:sz w:val="20"/>
                <w:szCs w:val="20"/>
                <w:color w:val="auto"/>
              </w:rPr>
            </w:pPr>
            <w:r>
              <w:rPr>
                <w:rFonts w:ascii="Arial" w:cs="Arial" w:eastAsia="Arial" w:hAnsi="Arial"/>
                <w:sz w:val="12"/>
                <w:szCs w:val="12"/>
                <w:color w:val="auto"/>
              </w:rPr>
              <w:t>Annual Report on Form 10-K for the year ended December 31, 2009)(1)</w:t>
            </w:r>
          </w:p>
        </w:tc>
      </w:tr>
      <w:tr>
        <w:trPr>
          <w:trHeight w:val="180"/>
        </w:trPr>
        <w:tc>
          <w:tcPr>
            <w:tcW w:w="520" w:type="dxa"/>
            <w:vAlign w:val="bottom"/>
            <w:gridSpan w:val="2"/>
          </w:tcPr>
          <w:p>
            <w:pPr>
              <w:jc w:val="right"/>
              <w:spacing w:after="0"/>
              <w:rPr>
                <w:sz w:val="20"/>
                <w:szCs w:val="20"/>
                <w:color w:val="auto"/>
              </w:rPr>
            </w:pPr>
            <w:r>
              <w:rPr>
                <w:rFonts w:ascii="Arial" w:cs="Arial" w:eastAsia="Arial" w:hAnsi="Arial"/>
                <w:sz w:val="12"/>
                <w:szCs w:val="12"/>
                <w:color w:val="auto"/>
              </w:rPr>
              <w:t>10.27</w:t>
            </w:r>
          </w:p>
        </w:tc>
        <w:tc>
          <w:tcPr>
            <w:tcW w:w="380" w:type="dxa"/>
            <w:vAlign w:val="bottom"/>
          </w:tcPr>
          <w:p>
            <w:pPr>
              <w:spacing w:after="0"/>
              <w:rPr>
                <w:sz w:val="15"/>
                <w:szCs w:val="15"/>
                <w:color w:val="auto"/>
              </w:rPr>
            </w:pPr>
          </w:p>
        </w:tc>
        <w:tc>
          <w:tcPr>
            <w:tcW w:w="9460" w:type="dxa"/>
            <w:vAlign w:val="bottom"/>
            <w:gridSpan w:val="3"/>
          </w:tcPr>
          <w:p>
            <w:pPr>
              <w:ind w:left="80"/>
              <w:spacing w:after="0"/>
              <w:rPr>
                <w:sz w:val="20"/>
                <w:szCs w:val="20"/>
                <w:color w:val="auto"/>
              </w:rPr>
            </w:pPr>
            <w:r>
              <w:rPr>
                <w:rFonts w:ascii="Arial" w:cs="Arial" w:eastAsia="Arial" w:hAnsi="Arial"/>
                <w:sz w:val="12"/>
                <w:szCs w:val="12"/>
                <w:color w:val="auto"/>
              </w:rPr>
              <w:t>Fidelity National Title Group, Inc. Annual Incentive Plan (incorporated by reference to Annex E to the Information Statement).(1)</w:t>
            </w: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2"/>
                <w:szCs w:val="12"/>
                <w:color w:val="auto"/>
              </w:rPr>
              <w:t>10.28</w:t>
            </w:r>
          </w:p>
        </w:tc>
        <w:tc>
          <w:tcPr>
            <w:tcW w:w="380" w:type="dxa"/>
            <w:vAlign w:val="bottom"/>
          </w:tcPr>
          <w:p>
            <w:pPr>
              <w:spacing w:after="0"/>
              <w:rPr>
                <w:sz w:val="14"/>
                <w:szCs w:val="14"/>
                <w:color w:val="auto"/>
              </w:rPr>
            </w:pPr>
          </w:p>
        </w:tc>
        <w:tc>
          <w:tcPr>
            <w:tcW w:w="9460" w:type="dxa"/>
            <w:vAlign w:val="bottom"/>
            <w:gridSpan w:val="3"/>
          </w:tcPr>
          <w:p>
            <w:pPr>
              <w:ind w:left="80"/>
              <w:spacing w:after="0"/>
              <w:rPr>
                <w:sz w:val="20"/>
                <w:szCs w:val="20"/>
                <w:color w:val="auto"/>
              </w:rPr>
            </w:pPr>
            <w:r>
              <w:rPr>
                <w:rFonts w:ascii="Arial" w:cs="Arial" w:eastAsia="Arial" w:hAnsi="Arial"/>
                <w:sz w:val="12"/>
                <w:szCs w:val="12"/>
                <w:color w:val="auto"/>
                <w:w w:val="91"/>
              </w:rPr>
              <w:t>Fidelity National Fi nancial, Inc. Deferred Compensation Plan, as amended and restated, effective January 1, 2009 (incorporated by reference to Exhibit 10.18 to the Registrant’s Annual Report</w:t>
            </w:r>
          </w:p>
        </w:tc>
      </w:tr>
      <w:tr>
        <w:trPr>
          <w:trHeight w:val="153"/>
        </w:trPr>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40" w:type="dxa"/>
            <w:vAlign w:val="bottom"/>
            <w:gridSpan w:val="4"/>
          </w:tcPr>
          <w:p>
            <w:pPr>
              <w:ind w:left="240"/>
              <w:spacing w:after="0"/>
              <w:rPr>
                <w:sz w:val="20"/>
                <w:szCs w:val="20"/>
                <w:color w:val="auto"/>
              </w:rPr>
            </w:pPr>
            <w:r>
              <w:rPr>
                <w:rFonts w:ascii="Arial" w:cs="Arial" w:eastAsia="Arial" w:hAnsi="Arial"/>
                <w:sz w:val="12"/>
                <w:szCs w:val="12"/>
                <w:color w:val="auto"/>
              </w:rPr>
              <w:t>on Form 10-K for the year ended December 31, 2008).(1)</w:t>
            </w:r>
          </w:p>
        </w:tc>
      </w:tr>
      <w:tr>
        <w:trPr>
          <w:trHeight w:val="180"/>
        </w:trPr>
        <w:tc>
          <w:tcPr>
            <w:tcW w:w="520" w:type="dxa"/>
            <w:vAlign w:val="bottom"/>
            <w:gridSpan w:val="2"/>
          </w:tcPr>
          <w:p>
            <w:pPr>
              <w:jc w:val="right"/>
              <w:spacing w:after="0"/>
              <w:rPr>
                <w:sz w:val="20"/>
                <w:szCs w:val="20"/>
                <w:color w:val="auto"/>
              </w:rPr>
            </w:pPr>
            <w:r>
              <w:rPr>
                <w:rFonts w:ascii="Arial" w:cs="Arial" w:eastAsia="Arial" w:hAnsi="Arial"/>
                <w:sz w:val="12"/>
                <w:szCs w:val="12"/>
                <w:color w:val="auto"/>
              </w:rPr>
              <w:t>23.1</w:t>
            </w:r>
          </w:p>
        </w:tc>
        <w:tc>
          <w:tcPr>
            <w:tcW w:w="380" w:type="dxa"/>
            <w:vAlign w:val="bottom"/>
          </w:tcPr>
          <w:p>
            <w:pPr>
              <w:spacing w:after="0"/>
              <w:rPr>
                <w:sz w:val="15"/>
                <w:szCs w:val="15"/>
                <w:color w:val="auto"/>
              </w:rPr>
            </w:pPr>
          </w:p>
        </w:tc>
        <w:tc>
          <w:tcPr>
            <w:tcW w:w="9460" w:type="dxa"/>
            <w:vAlign w:val="bottom"/>
            <w:gridSpan w:val="3"/>
          </w:tcPr>
          <w:p>
            <w:pPr>
              <w:ind w:left="80"/>
              <w:spacing w:after="0"/>
              <w:rPr>
                <w:sz w:val="20"/>
                <w:szCs w:val="20"/>
                <w:color w:val="auto"/>
              </w:rPr>
            </w:pPr>
            <w:r>
              <w:rPr>
                <w:rFonts w:ascii="Arial" w:cs="Arial" w:eastAsia="Arial" w:hAnsi="Arial"/>
                <w:sz w:val="12"/>
                <w:szCs w:val="12"/>
                <w:color w:val="auto"/>
              </w:rPr>
              <w:t>Consent of KPMG LLP, Independent Registered Public Accounting Firm</w:t>
            </w:r>
          </w:p>
        </w:tc>
      </w:tr>
      <w:tr>
        <w:trPr>
          <w:trHeight w:val="180"/>
        </w:trPr>
        <w:tc>
          <w:tcPr>
            <w:tcW w:w="520" w:type="dxa"/>
            <w:vAlign w:val="bottom"/>
            <w:gridSpan w:val="2"/>
          </w:tcPr>
          <w:p>
            <w:pPr>
              <w:jc w:val="right"/>
              <w:ind w:right="266"/>
              <w:spacing w:after="0"/>
              <w:rPr>
                <w:sz w:val="20"/>
                <w:szCs w:val="20"/>
                <w:color w:val="auto"/>
              </w:rPr>
            </w:pPr>
            <w:r>
              <w:rPr>
                <w:rFonts w:ascii="Arial" w:cs="Arial" w:eastAsia="Arial" w:hAnsi="Arial"/>
                <w:sz w:val="12"/>
                <w:szCs w:val="12"/>
                <w:color w:val="auto"/>
                <w:w w:val="76"/>
              </w:rPr>
              <w:t>31.1</w:t>
            </w:r>
          </w:p>
        </w:tc>
        <w:tc>
          <w:tcPr>
            <w:tcW w:w="380" w:type="dxa"/>
            <w:vAlign w:val="bottom"/>
          </w:tcPr>
          <w:p>
            <w:pPr>
              <w:spacing w:after="0"/>
              <w:rPr>
                <w:sz w:val="15"/>
                <w:szCs w:val="15"/>
                <w:color w:val="auto"/>
              </w:rPr>
            </w:pPr>
          </w:p>
        </w:tc>
        <w:tc>
          <w:tcPr>
            <w:tcW w:w="9460" w:type="dxa"/>
            <w:vAlign w:val="bottom"/>
            <w:gridSpan w:val="3"/>
          </w:tcPr>
          <w:p>
            <w:pPr>
              <w:ind w:left="80"/>
              <w:spacing w:after="0"/>
              <w:rPr>
                <w:sz w:val="20"/>
                <w:szCs w:val="20"/>
                <w:color w:val="auto"/>
              </w:rPr>
            </w:pPr>
            <w:r>
              <w:rPr>
                <w:rFonts w:ascii="Arial" w:cs="Arial" w:eastAsia="Arial" w:hAnsi="Arial"/>
                <w:sz w:val="12"/>
                <w:szCs w:val="12"/>
                <w:color w:val="auto"/>
              </w:rPr>
              <w:t>Certification of Chief Executive Officer pursuant to Section 302 of the Sarbanes-Oxley Act of 2002</w:t>
            </w:r>
          </w:p>
        </w:tc>
      </w:tr>
      <w:tr>
        <w:trPr>
          <w:trHeight w:val="180"/>
        </w:trPr>
        <w:tc>
          <w:tcPr>
            <w:tcW w:w="520" w:type="dxa"/>
            <w:vAlign w:val="bottom"/>
            <w:gridSpan w:val="2"/>
          </w:tcPr>
          <w:p>
            <w:pPr>
              <w:jc w:val="right"/>
              <w:spacing w:after="0"/>
              <w:rPr>
                <w:sz w:val="20"/>
                <w:szCs w:val="20"/>
                <w:color w:val="auto"/>
              </w:rPr>
            </w:pPr>
            <w:r>
              <w:rPr>
                <w:rFonts w:ascii="Arial" w:cs="Arial" w:eastAsia="Arial" w:hAnsi="Arial"/>
                <w:sz w:val="12"/>
                <w:szCs w:val="12"/>
                <w:color w:val="auto"/>
              </w:rPr>
              <w:t>31.2</w:t>
            </w:r>
          </w:p>
        </w:tc>
        <w:tc>
          <w:tcPr>
            <w:tcW w:w="380" w:type="dxa"/>
            <w:vAlign w:val="bottom"/>
          </w:tcPr>
          <w:p>
            <w:pPr>
              <w:spacing w:after="0"/>
              <w:rPr>
                <w:sz w:val="15"/>
                <w:szCs w:val="15"/>
                <w:color w:val="auto"/>
              </w:rPr>
            </w:pPr>
          </w:p>
        </w:tc>
        <w:tc>
          <w:tcPr>
            <w:tcW w:w="9460" w:type="dxa"/>
            <w:vAlign w:val="bottom"/>
            <w:gridSpan w:val="3"/>
          </w:tcPr>
          <w:p>
            <w:pPr>
              <w:ind w:left="80"/>
              <w:spacing w:after="0"/>
              <w:rPr>
                <w:sz w:val="20"/>
                <w:szCs w:val="20"/>
                <w:color w:val="auto"/>
              </w:rPr>
            </w:pPr>
            <w:r>
              <w:rPr>
                <w:rFonts w:ascii="Arial" w:cs="Arial" w:eastAsia="Arial" w:hAnsi="Arial"/>
                <w:sz w:val="12"/>
                <w:szCs w:val="12"/>
                <w:color w:val="auto"/>
              </w:rPr>
              <w:t>Certification of Chief Financial Officer pursuant to Section 302 of the Sarbanes-Oxley Act of 2002</w:t>
            </w:r>
          </w:p>
        </w:tc>
      </w:tr>
      <w:tr>
        <w:trPr>
          <w:trHeight w:val="180"/>
        </w:trPr>
        <w:tc>
          <w:tcPr>
            <w:tcW w:w="520" w:type="dxa"/>
            <w:vAlign w:val="bottom"/>
            <w:gridSpan w:val="2"/>
          </w:tcPr>
          <w:p>
            <w:pPr>
              <w:jc w:val="right"/>
              <w:spacing w:after="0"/>
              <w:rPr>
                <w:sz w:val="20"/>
                <w:szCs w:val="20"/>
                <w:color w:val="auto"/>
              </w:rPr>
            </w:pPr>
            <w:r>
              <w:rPr>
                <w:rFonts w:ascii="Arial" w:cs="Arial" w:eastAsia="Arial" w:hAnsi="Arial"/>
                <w:sz w:val="12"/>
                <w:szCs w:val="12"/>
                <w:color w:val="auto"/>
              </w:rPr>
              <w:t>32.1</w:t>
            </w:r>
          </w:p>
        </w:tc>
        <w:tc>
          <w:tcPr>
            <w:tcW w:w="380" w:type="dxa"/>
            <w:vAlign w:val="bottom"/>
          </w:tcPr>
          <w:p>
            <w:pPr>
              <w:spacing w:after="0"/>
              <w:rPr>
                <w:sz w:val="15"/>
                <w:szCs w:val="15"/>
                <w:color w:val="auto"/>
              </w:rPr>
            </w:pPr>
          </w:p>
        </w:tc>
        <w:tc>
          <w:tcPr>
            <w:tcW w:w="9460" w:type="dxa"/>
            <w:vAlign w:val="bottom"/>
            <w:gridSpan w:val="3"/>
          </w:tcPr>
          <w:p>
            <w:pPr>
              <w:ind w:left="80"/>
              <w:spacing w:after="0"/>
              <w:rPr>
                <w:sz w:val="20"/>
                <w:szCs w:val="20"/>
                <w:color w:val="auto"/>
              </w:rPr>
            </w:pPr>
            <w:r>
              <w:rPr>
                <w:rFonts w:ascii="Arial" w:cs="Arial" w:eastAsia="Arial" w:hAnsi="Arial"/>
                <w:sz w:val="12"/>
                <w:szCs w:val="12"/>
                <w:color w:val="auto"/>
              </w:rPr>
              <w:t>Certification by Chief Executive Officer of Periodic Financial Reports pursuant to Section 906 of the Sarbanes-Oxley Act of 2002, 18 U.S.C. Section 1350</w:t>
            </w:r>
          </w:p>
        </w:tc>
      </w:tr>
      <w:tr>
        <w:trPr>
          <w:trHeight w:val="180"/>
        </w:trPr>
        <w:tc>
          <w:tcPr>
            <w:tcW w:w="520" w:type="dxa"/>
            <w:vAlign w:val="bottom"/>
            <w:gridSpan w:val="2"/>
          </w:tcPr>
          <w:p>
            <w:pPr>
              <w:jc w:val="right"/>
              <w:spacing w:after="0"/>
              <w:rPr>
                <w:sz w:val="20"/>
                <w:szCs w:val="20"/>
                <w:color w:val="auto"/>
              </w:rPr>
            </w:pPr>
            <w:r>
              <w:rPr>
                <w:rFonts w:ascii="Arial" w:cs="Arial" w:eastAsia="Arial" w:hAnsi="Arial"/>
                <w:sz w:val="12"/>
                <w:szCs w:val="12"/>
                <w:color w:val="auto"/>
              </w:rPr>
              <w:t>32.2</w:t>
            </w:r>
          </w:p>
        </w:tc>
        <w:tc>
          <w:tcPr>
            <w:tcW w:w="380" w:type="dxa"/>
            <w:vAlign w:val="bottom"/>
          </w:tcPr>
          <w:p>
            <w:pPr>
              <w:spacing w:after="0"/>
              <w:rPr>
                <w:sz w:val="15"/>
                <w:szCs w:val="15"/>
                <w:color w:val="auto"/>
              </w:rPr>
            </w:pPr>
          </w:p>
        </w:tc>
        <w:tc>
          <w:tcPr>
            <w:tcW w:w="9460" w:type="dxa"/>
            <w:vAlign w:val="bottom"/>
            <w:gridSpan w:val="3"/>
          </w:tcPr>
          <w:p>
            <w:pPr>
              <w:ind w:left="80"/>
              <w:spacing w:after="0"/>
              <w:rPr>
                <w:sz w:val="20"/>
                <w:szCs w:val="20"/>
                <w:color w:val="auto"/>
              </w:rPr>
            </w:pPr>
            <w:r>
              <w:rPr>
                <w:rFonts w:ascii="Arial" w:cs="Arial" w:eastAsia="Arial" w:hAnsi="Arial"/>
                <w:sz w:val="12"/>
                <w:szCs w:val="12"/>
                <w:color w:val="auto"/>
              </w:rPr>
              <w:t>Certification by Chief Financial Officer of Periodic Financial Reports pursuant to Section 906 of the Sarbanes-Oxley Act of 2002, 18 U.S.C. Section 1350</w:t>
            </w:r>
          </w:p>
        </w:tc>
      </w:tr>
      <w:tr>
        <w:trPr>
          <w:trHeight w:val="234"/>
        </w:trPr>
        <w:tc>
          <w:tcPr>
            <w:tcW w:w="18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2"/>
                <w:szCs w:val="12"/>
                <w:color w:val="auto"/>
              </w:rPr>
              <w:t>(1)  &lt; /font&gt;</w:t>
            </w:r>
          </w:p>
        </w:tc>
        <w:tc>
          <w:tcPr>
            <w:tcW w:w="9460" w:type="dxa"/>
            <w:vAlign w:val="bottom"/>
            <w:gridSpan w:val="3"/>
          </w:tcPr>
          <w:p>
            <w:pPr>
              <w:ind w:left="160"/>
              <w:spacing w:after="0"/>
              <w:rPr>
                <w:sz w:val="20"/>
                <w:szCs w:val="20"/>
                <w:color w:val="auto"/>
              </w:rPr>
            </w:pPr>
            <w:r>
              <w:rPr>
                <w:rFonts w:ascii="Arial" w:cs="Arial" w:eastAsia="Arial" w:hAnsi="Arial"/>
                <w:sz w:val="12"/>
                <w:szCs w:val="12"/>
                <w:color w:val="auto"/>
              </w:rPr>
              <w:t>A management or compensatory plan or arrangement required to be filed as an exhibit to this report pursuant to Item 15(c) of Form 10-K</w:t>
            </w:r>
          </w:p>
        </w:tc>
      </w:tr>
      <w:tr>
        <w:trPr>
          <w:trHeight w:val="43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tcPr>
          <w:p>
            <w:pPr>
              <w:ind w:left="4220"/>
              <w:spacing w:after="0"/>
              <w:rPr>
                <w:sz w:val="20"/>
                <w:szCs w:val="20"/>
                <w:color w:val="auto"/>
              </w:rPr>
            </w:pPr>
            <w:r>
              <w:rPr>
                <w:rFonts w:ascii="Arial" w:cs="Arial" w:eastAsia="Arial" w:hAnsi="Arial"/>
                <w:sz w:val="12"/>
                <w:szCs w:val="12"/>
                <w:color w:val="auto"/>
              </w:rPr>
              <w:t>89</w:t>
            </w:r>
          </w:p>
        </w:tc>
        <w:tc>
          <w:tcPr>
            <w:tcW w:w="48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0380"/>
          </w:cols>
          <w:pgMar w:left="1300" w:top="130" w:right="219" w:bottom="1440" w:gutter="0" w:footer="0" w:header="0"/>
        </w:sectPr>
      </w:pPr>
    </w:p>
    <w:bookmarkStart w:id="90" w:name="page91"/>
    <w:bookmarkEnd w:id="90"/>
    <w:p>
      <w:pPr>
        <w:ind w:left="2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SIGNATURES</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w:t>
      </w:r>
    </w:p>
    <w:p>
      <w:pPr>
        <w:spacing w:after="0" w:line="344" w:lineRule="exact"/>
        <w:rPr>
          <w:sz w:val="20"/>
          <w:szCs w:val="20"/>
          <w:color w:val="auto"/>
        </w:rPr>
      </w:pPr>
    </w:p>
    <w:p>
      <w:pPr>
        <w:ind w:left="6040"/>
        <w:spacing w:after="0"/>
        <w:rPr>
          <w:sz w:val="20"/>
          <w:szCs w:val="20"/>
          <w:color w:val="auto"/>
        </w:rPr>
      </w:pPr>
      <w:r>
        <w:rPr>
          <w:rFonts w:ascii="Arial" w:cs="Arial" w:eastAsia="Arial" w:hAnsi="Arial"/>
          <w:sz w:val="12"/>
          <w:szCs w:val="12"/>
          <w:color w:val="auto"/>
        </w:rPr>
        <w:t>Fidelity National Financial, Inc.</w:t>
      </w:r>
    </w:p>
    <w:p>
      <w:pPr>
        <w:spacing w:after="0" w:line="42" w:lineRule="exact"/>
        <w:rPr>
          <w:sz w:val="20"/>
          <w:szCs w:val="20"/>
          <w:color w:val="auto"/>
        </w:rPr>
      </w:pPr>
    </w:p>
    <w:p>
      <w:pPr>
        <w:ind w:left="6040"/>
        <w:spacing w:after="0"/>
        <w:tabs>
          <w:tab w:leader="none" w:pos="75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i w:val="1"/>
          <w:iCs w:val="1"/>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20955</wp:posOffset>
            </wp:positionV>
            <wp:extent cx="221361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13610" cy="5715"/>
                    </a:xfrm>
                    <a:prstGeom prst="rect">
                      <a:avLst/>
                    </a:prstGeom>
                    <a:noFill/>
                  </pic:spPr>
                </pic:pic>
              </a:graphicData>
            </a:graphic>
          </wp:anchor>
        </w:drawing>
      </w:r>
    </w:p>
    <w:p>
      <w:pPr>
        <w:spacing w:after="0" w:line="31" w:lineRule="exact"/>
        <w:rPr>
          <w:sz w:val="20"/>
          <w:szCs w:val="20"/>
          <w:color w:val="auto"/>
        </w:rPr>
      </w:pPr>
    </w:p>
    <w:p>
      <w:pPr>
        <w:jc w:val="center"/>
        <w:ind w:left="6520"/>
        <w:spacing w:after="0"/>
        <w:rPr>
          <w:sz w:val="20"/>
          <w:szCs w:val="20"/>
          <w:color w:val="auto"/>
        </w:rPr>
      </w:pPr>
      <w:r>
        <w:rPr>
          <w:rFonts w:ascii="Arial" w:cs="Arial" w:eastAsia="Arial" w:hAnsi="Arial"/>
          <w:sz w:val="12"/>
          <w:szCs w:val="12"/>
          <w:color w:val="auto"/>
        </w:rPr>
        <w:t>George P. Scanlon</w:t>
      </w:r>
    </w:p>
    <w:p>
      <w:pPr>
        <w:spacing w:after="0" w:line="42" w:lineRule="exact"/>
        <w:rPr>
          <w:sz w:val="20"/>
          <w:szCs w:val="20"/>
          <w:color w:val="auto"/>
        </w:rPr>
      </w:pPr>
    </w:p>
    <w:p>
      <w:pPr>
        <w:jc w:val="center"/>
        <w:ind w:left="6520"/>
        <w:spacing w:after="0"/>
        <w:rPr>
          <w:sz w:val="20"/>
          <w:szCs w:val="20"/>
          <w:color w:val="auto"/>
        </w:rPr>
      </w:pPr>
      <w:r>
        <w:rPr>
          <w:rFonts w:ascii="Arial" w:cs="Arial" w:eastAsia="Arial" w:hAnsi="Arial"/>
          <w:sz w:val="12"/>
          <w:szCs w:val="12"/>
          <w:color w:val="auto"/>
        </w:rPr>
        <w:t>Chief Executive Officer</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Date: February 23, 2011</w:t>
      </w:r>
    </w:p>
    <w:p>
      <w:pPr>
        <w:spacing w:after="0" w:line="200" w:lineRule="exact"/>
        <w:rPr>
          <w:sz w:val="20"/>
          <w:szCs w:val="20"/>
          <w:color w:val="auto"/>
        </w:rPr>
      </w:pPr>
    </w:p>
    <w:p>
      <w:pPr>
        <w:spacing w:after="0" w:line="202" w:lineRule="exact"/>
        <w:rPr>
          <w:sz w:val="20"/>
          <w:szCs w:val="20"/>
          <w:color w:val="auto"/>
        </w:rPr>
      </w:pPr>
    </w:p>
    <w:p>
      <w:pPr>
        <w:ind w:left="420"/>
        <w:spacing w:after="0"/>
        <w:rPr>
          <w:sz w:val="20"/>
          <w:szCs w:val="20"/>
          <w:color w:val="auto"/>
        </w:rPr>
      </w:pPr>
      <w:r>
        <w:rPr>
          <w:rFonts w:ascii="Arial" w:cs="Arial" w:eastAsia="Arial" w:hAnsi="Arial"/>
          <w:sz w:val="10"/>
          <w:szCs w:val="10"/>
          <w:color w:val="auto"/>
        </w:rPr>
        <w:t>Pursuant to the requirements of the Securities Exchange Act of 1934, this report has been signed below by the following persons on behalf of the Registrant and in the capacities and on the dates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2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6"/>
              </w:rPr>
              <w:t>Signature</w:t>
            </w:r>
          </w:p>
        </w:tc>
        <w:tc>
          <w:tcPr>
            <w:tcW w:w="13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20" w:type="dxa"/>
            <w:vAlign w:val="bottom"/>
            <w:gridSpan w:val="2"/>
          </w:tcPr>
          <w:p>
            <w:pPr>
              <w:jc w:val="center"/>
              <w:ind w:right="1640"/>
              <w:spacing w:after="0"/>
              <w:rPr>
                <w:sz w:val="20"/>
                <w:szCs w:val="20"/>
                <w:color w:val="auto"/>
              </w:rPr>
            </w:pPr>
            <w:r>
              <w:rPr>
                <w:rFonts w:ascii="Arial" w:cs="Arial" w:eastAsia="Arial" w:hAnsi="Arial"/>
                <w:sz w:val="10"/>
                <w:szCs w:val="10"/>
                <w:b w:val="1"/>
                <w:bCs w:val="1"/>
                <w:color w:val="auto"/>
                <w:w w:val="87"/>
              </w:rPr>
              <w:t>Title</w:t>
            </w:r>
          </w:p>
        </w:tc>
        <w:tc>
          <w:tcPr>
            <w:tcW w:w="1860" w:type="dxa"/>
            <w:vAlign w:val="bottom"/>
          </w:tcPr>
          <w:p>
            <w:pPr>
              <w:spacing w:after="0"/>
              <w:rPr>
                <w:sz w:val="10"/>
                <w:szCs w:val="10"/>
                <w:color w:val="auto"/>
              </w:rPr>
            </w:pPr>
          </w:p>
        </w:tc>
        <w:tc>
          <w:tcPr>
            <w:tcW w:w="5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9"/>
        </w:trPr>
        <w:tc>
          <w:tcPr>
            <w:tcW w:w="3220" w:type="dxa"/>
            <w:vAlign w:val="bottom"/>
            <w:tcBorders>
              <w:bottom w:val="single" w:sz="8" w:color="auto"/>
            </w:tcBorders>
            <w:gridSpan w:val="3"/>
          </w:tcPr>
          <w:p>
            <w:pPr>
              <w:jc w:val="center"/>
              <w:ind w:left="140"/>
              <w:spacing w:after="0"/>
              <w:rPr>
                <w:sz w:val="20"/>
                <w:szCs w:val="20"/>
                <w:color w:val="auto"/>
              </w:rPr>
            </w:pPr>
            <w:r>
              <w:rPr>
                <w:rFonts w:ascii="Arial" w:cs="Arial" w:eastAsia="Arial" w:hAnsi="Arial"/>
                <w:sz w:val="12"/>
                <w:szCs w:val="12"/>
                <w:i w:val="1"/>
                <w:iCs w:val="1"/>
                <w:color w:val="auto"/>
                <w:w w:val="90"/>
              </w:rPr>
              <w:t>/s/ George P. Scanlon</w:t>
            </w:r>
          </w:p>
        </w:tc>
        <w:tc>
          <w:tcPr>
            <w:tcW w:w="4340" w:type="dxa"/>
            <w:vAlign w:val="bottom"/>
            <w:gridSpan w:val="3"/>
          </w:tcPr>
          <w:p>
            <w:pPr>
              <w:jc w:val="center"/>
              <w:ind w:left="820"/>
              <w:spacing w:after="0"/>
              <w:rPr>
                <w:sz w:val="20"/>
                <w:szCs w:val="20"/>
                <w:color w:val="auto"/>
              </w:rPr>
            </w:pPr>
            <w:r>
              <w:rPr>
                <w:rFonts w:ascii="Arial" w:cs="Arial" w:eastAsia="Arial" w:hAnsi="Arial"/>
                <w:sz w:val="12"/>
                <w:szCs w:val="12"/>
                <w:color w:val="auto"/>
                <w:w w:val="93"/>
              </w:rPr>
              <w:t>Chief Executive Officer</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60"/>
        </w:trPr>
        <w:tc>
          <w:tcPr>
            <w:tcW w:w="3220" w:type="dxa"/>
            <w:vAlign w:val="bottom"/>
            <w:gridSpan w:val="3"/>
          </w:tcPr>
          <w:p>
            <w:pPr>
              <w:jc w:val="center"/>
              <w:ind w:left="160"/>
              <w:spacing w:after="0"/>
              <w:rPr>
                <w:sz w:val="20"/>
                <w:szCs w:val="20"/>
                <w:color w:val="auto"/>
              </w:rPr>
            </w:pPr>
            <w:r>
              <w:rPr>
                <w:rFonts w:ascii="Arial" w:cs="Arial" w:eastAsia="Arial" w:hAnsi="Arial"/>
                <w:sz w:val="12"/>
                <w:szCs w:val="12"/>
                <w:color w:val="auto"/>
                <w:w w:val="86"/>
              </w:rPr>
              <w:t>George P. Scanlon</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4"/>
              </w:rPr>
              <w:t>(Principal Executive Officer)</w:t>
            </w: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67"/>
        </w:trPr>
        <w:tc>
          <w:tcPr>
            <w:tcW w:w="3220" w:type="dxa"/>
            <w:vAlign w:val="bottom"/>
            <w:tcBorders>
              <w:bottom w:val="single" w:sz="8" w:color="auto"/>
            </w:tcBorders>
            <w:gridSpan w:val="3"/>
          </w:tcPr>
          <w:p>
            <w:pPr>
              <w:jc w:val="center"/>
              <w:ind w:left="160"/>
              <w:spacing w:after="0"/>
              <w:rPr>
                <w:sz w:val="20"/>
                <w:szCs w:val="20"/>
                <w:color w:val="auto"/>
              </w:rPr>
            </w:pPr>
            <w:r>
              <w:rPr>
                <w:rFonts w:ascii="Arial" w:cs="Arial" w:eastAsia="Arial" w:hAnsi="Arial"/>
                <w:sz w:val="12"/>
                <w:szCs w:val="12"/>
                <w:i w:val="1"/>
                <w:iCs w:val="1"/>
                <w:color w:val="auto"/>
                <w:w w:val="95"/>
              </w:rPr>
              <w:t>/s/ Anthony J. Park</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4"/>
              </w:rPr>
              <w:t>Chief Financial Officer</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44"/>
        </w:trPr>
        <w:tc>
          <w:tcPr>
            <w:tcW w:w="3220" w:type="dxa"/>
            <w:vAlign w:val="bottom"/>
            <w:gridSpan w:val="3"/>
          </w:tcPr>
          <w:p>
            <w:pPr>
              <w:jc w:val="center"/>
              <w:ind w:left="140"/>
              <w:spacing w:after="0"/>
              <w:rPr>
                <w:sz w:val="20"/>
                <w:szCs w:val="20"/>
                <w:color w:val="auto"/>
              </w:rPr>
            </w:pPr>
            <w:r>
              <w:rPr>
                <w:rFonts w:ascii="Arial" w:cs="Arial" w:eastAsia="Arial" w:hAnsi="Arial"/>
                <w:sz w:val="12"/>
                <w:szCs w:val="12"/>
                <w:color w:val="auto"/>
                <w:w w:val="92"/>
              </w:rPr>
              <w:t>Anthony J. Park</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2"/>
              </w:rPr>
              <w:t>(Principal Financial and</w:t>
            </w: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53"/>
        </w:trPr>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340" w:type="dxa"/>
            <w:vAlign w:val="bottom"/>
            <w:gridSpan w:val="3"/>
          </w:tcPr>
          <w:p>
            <w:pPr>
              <w:ind w:left="2020"/>
              <w:spacing w:after="0"/>
              <w:rPr>
                <w:sz w:val="20"/>
                <w:szCs w:val="20"/>
                <w:color w:val="auto"/>
              </w:rPr>
            </w:pPr>
            <w:r>
              <w:rPr>
                <w:rFonts w:ascii="Arial" w:cs="Arial" w:eastAsia="Arial" w:hAnsi="Arial"/>
                <w:sz w:val="12"/>
                <w:szCs w:val="12"/>
                <w:color w:val="auto"/>
              </w:rPr>
              <w:t>Accounting Officer)</w:t>
            </w: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69"/>
        </w:trPr>
        <w:tc>
          <w:tcPr>
            <w:tcW w:w="3220" w:type="dxa"/>
            <w:vAlign w:val="bottom"/>
            <w:tcBorders>
              <w:bottom w:val="single" w:sz="8" w:color="auto"/>
            </w:tcBorders>
            <w:gridSpan w:val="3"/>
          </w:tcPr>
          <w:p>
            <w:pPr>
              <w:jc w:val="center"/>
              <w:ind w:left="140"/>
              <w:spacing w:after="0"/>
              <w:rPr>
                <w:sz w:val="20"/>
                <w:szCs w:val="20"/>
                <w:color w:val="auto"/>
              </w:rPr>
            </w:pPr>
            <w:r>
              <w:rPr>
                <w:rFonts w:ascii="Arial" w:cs="Arial" w:eastAsia="Arial" w:hAnsi="Arial"/>
                <w:sz w:val="12"/>
                <w:szCs w:val="12"/>
                <w:i w:val="1"/>
                <w:iCs w:val="1"/>
                <w:color w:val="auto"/>
                <w:w w:val="95"/>
              </w:rPr>
              <w:t>/s/ William P. Foley, II</w:t>
            </w:r>
          </w:p>
        </w:tc>
        <w:tc>
          <w:tcPr>
            <w:tcW w:w="4340" w:type="dxa"/>
            <w:vAlign w:val="bottom"/>
            <w:gridSpan w:val="3"/>
          </w:tcPr>
          <w:p>
            <w:pPr>
              <w:jc w:val="center"/>
              <w:ind w:left="820"/>
              <w:spacing w:after="0"/>
              <w:rPr>
                <w:sz w:val="20"/>
                <w:szCs w:val="20"/>
                <w:color w:val="auto"/>
              </w:rPr>
            </w:pPr>
            <w:r>
              <w:rPr>
                <w:rFonts w:ascii="Arial" w:cs="Arial" w:eastAsia="Arial" w:hAnsi="Arial"/>
                <w:sz w:val="12"/>
                <w:szCs w:val="12"/>
                <w:color w:val="auto"/>
                <w:w w:val="91"/>
              </w:rPr>
              <w:t>Director and Chairman of the Board</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60"/>
        </w:trPr>
        <w:tc>
          <w:tcPr>
            <w:tcW w:w="3220" w:type="dxa"/>
            <w:vAlign w:val="bottom"/>
            <w:gridSpan w:val="3"/>
          </w:tcPr>
          <w:p>
            <w:pPr>
              <w:jc w:val="center"/>
              <w:ind w:left="140"/>
              <w:spacing w:after="0"/>
              <w:rPr>
                <w:sz w:val="20"/>
                <w:szCs w:val="20"/>
                <w:color w:val="auto"/>
              </w:rPr>
            </w:pPr>
            <w:r>
              <w:rPr>
                <w:rFonts w:ascii="Arial" w:cs="Arial" w:eastAsia="Arial" w:hAnsi="Arial"/>
                <w:sz w:val="12"/>
                <w:szCs w:val="12"/>
                <w:color w:val="auto"/>
                <w:w w:val="94"/>
              </w:rPr>
              <w:t>William P. Foley, II</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69"/>
        </w:trPr>
        <w:tc>
          <w:tcPr>
            <w:tcW w:w="3220" w:type="dxa"/>
            <w:vAlign w:val="bottom"/>
            <w:tcBorders>
              <w:bottom w:val="single" w:sz="8" w:color="auto"/>
            </w:tcBorders>
            <w:gridSpan w:val="3"/>
          </w:tcPr>
          <w:p>
            <w:pPr>
              <w:jc w:val="center"/>
              <w:ind w:left="140"/>
              <w:spacing w:after="0"/>
              <w:rPr>
                <w:sz w:val="20"/>
                <w:szCs w:val="20"/>
                <w:color w:val="auto"/>
              </w:rPr>
            </w:pPr>
            <w:r>
              <w:rPr>
                <w:rFonts w:ascii="Arial" w:cs="Arial" w:eastAsia="Arial" w:hAnsi="Arial"/>
                <w:sz w:val="12"/>
                <w:szCs w:val="12"/>
                <w:i w:val="1"/>
                <w:iCs w:val="1"/>
                <w:color w:val="auto"/>
                <w:w w:val="92"/>
              </w:rPr>
              <w:t>/s/ Douglas K. Ammerman</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5"/>
              </w:rPr>
              <w:t>Director</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60"/>
        </w:trPr>
        <w:tc>
          <w:tcPr>
            <w:tcW w:w="3220" w:type="dxa"/>
            <w:vAlign w:val="bottom"/>
            <w:gridSpan w:val="3"/>
          </w:tcPr>
          <w:p>
            <w:pPr>
              <w:jc w:val="center"/>
              <w:ind w:left="160"/>
              <w:spacing w:after="0"/>
              <w:rPr>
                <w:sz w:val="20"/>
                <w:szCs w:val="20"/>
                <w:color w:val="auto"/>
              </w:rPr>
            </w:pPr>
            <w:r>
              <w:rPr>
                <w:rFonts w:ascii="Arial" w:cs="Arial" w:eastAsia="Arial" w:hAnsi="Arial"/>
                <w:sz w:val="12"/>
                <w:szCs w:val="12"/>
                <w:color w:val="auto"/>
                <w:w w:val="93"/>
              </w:rPr>
              <w:t>Douglas K. Ammerman</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60"/>
        </w:trPr>
        <w:tc>
          <w:tcPr>
            <w:tcW w:w="3220" w:type="dxa"/>
            <w:vAlign w:val="bottom"/>
            <w:gridSpan w:val="3"/>
          </w:tcPr>
          <w:p>
            <w:pPr>
              <w:jc w:val="center"/>
              <w:ind w:left="160"/>
              <w:spacing w:after="0"/>
              <w:rPr>
                <w:sz w:val="20"/>
                <w:szCs w:val="20"/>
                <w:color w:val="auto"/>
              </w:rPr>
            </w:pPr>
            <w:r>
              <w:rPr>
                <w:rFonts w:ascii="Arial" w:cs="Arial" w:eastAsia="Arial" w:hAnsi="Arial"/>
                <w:sz w:val="12"/>
                <w:szCs w:val="12"/>
                <w:i w:val="1"/>
                <w:iCs w:val="1"/>
                <w:color w:val="auto"/>
                <w:w w:val="98"/>
              </w:rPr>
              <w:t>/s/ Willie D. Davis</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5"/>
              </w:rPr>
              <w:t>Director</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80"/>
        </w:trPr>
        <w:tc>
          <w:tcPr>
            <w:tcW w:w="3220" w:type="dxa"/>
            <w:vAlign w:val="bottom"/>
            <w:gridSpan w:val="3"/>
          </w:tcPr>
          <w:p>
            <w:pPr>
              <w:jc w:val="center"/>
              <w:ind w:left="160"/>
              <w:spacing w:after="0"/>
              <w:rPr>
                <w:sz w:val="20"/>
                <w:szCs w:val="20"/>
                <w:color w:val="auto"/>
              </w:rPr>
            </w:pPr>
            <w:r>
              <w:rPr>
                <w:rFonts w:ascii="Arial" w:cs="Arial" w:eastAsia="Arial" w:hAnsi="Arial"/>
                <w:sz w:val="12"/>
                <w:szCs w:val="12"/>
                <w:color w:val="auto"/>
                <w:w w:val="98"/>
              </w:rPr>
              <w:t>Willie D. Davis</w:t>
            </w: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9"/>
        </w:trPr>
        <w:tc>
          <w:tcPr>
            <w:tcW w:w="3220" w:type="dxa"/>
            <w:vAlign w:val="bottom"/>
            <w:tcBorders>
              <w:bottom w:val="single" w:sz="8" w:color="auto"/>
            </w:tcBorders>
            <w:gridSpan w:val="3"/>
          </w:tcPr>
          <w:p>
            <w:pPr>
              <w:jc w:val="center"/>
              <w:ind w:left="140"/>
              <w:spacing w:after="0"/>
              <w:rPr>
                <w:sz w:val="20"/>
                <w:szCs w:val="20"/>
                <w:color w:val="auto"/>
              </w:rPr>
            </w:pPr>
            <w:r>
              <w:rPr>
                <w:rFonts w:ascii="Arial" w:cs="Arial" w:eastAsia="Arial" w:hAnsi="Arial"/>
                <w:sz w:val="12"/>
                <w:szCs w:val="12"/>
                <w:i w:val="1"/>
                <w:iCs w:val="1"/>
                <w:color w:val="auto"/>
                <w:w w:val="93"/>
              </w:rPr>
              <w:t>/s/ Thomas M. Hagerty</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5"/>
              </w:rPr>
              <w:t>Director</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60"/>
        </w:trPr>
        <w:tc>
          <w:tcPr>
            <w:tcW w:w="3220" w:type="dxa"/>
            <w:vAlign w:val="bottom"/>
            <w:gridSpan w:val="3"/>
          </w:tcPr>
          <w:p>
            <w:pPr>
              <w:jc w:val="center"/>
              <w:ind w:left="160"/>
              <w:spacing w:after="0"/>
              <w:rPr>
                <w:sz w:val="20"/>
                <w:szCs w:val="20"/>
                <w:color w:val="auto"/>
              </w:rPr>
            </w:pPr>
            <w:r>
              <w:rPr>
                <w:rFonts w:ascii="Arial" w:cs="Arial" w:eastAsia="Arial" w:hAnsi="Arial"/>
                <w:sz w:val="12"/>
                <w:szCs w:val="12"/>
                <w:color w:val="auto"/>
                <w:w w:val="91"/>
              </w:rPr>
              <w:t>Thomas M. Hagerty</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69"/>
        </w:trPr>
        <w:tc>
          <w:tcPr>
            <w:tcW w:w="3220" w:type="dxa"/>
            <w:vAlign w:val="bottom"/>
            <w:tcBorders>
              <w:bottom w:val="single" w:sz="8" w:color="auto"/>
            </w:tcBorders>
            <w:gridSpan w:val="3"/>
          </w:tcPr>
          <w:p>
            <w:pPr>
              <w:jc w:val="center"/>
              <w:ind w:left="140"/>
              <w:spacing w:after="0"/>
              <w:rPr>
                <w:sz w:val="20"/>
                <w:szCs w:val="20"/>
                <w:color w:val="auto"/>
              </w:rPr>
            </w:pPr>
            <w:r>
              <w:rPr>
                <w:rFonts w:ascii="Arial" w:cs="Arial" w:eastAsia="Arial" w:hAnsi="Arial"/>
                <w:sz w:val="12"/>
                <w:szCs w:val="12"/>
                <w:i w:val="1"/>
                <w:iCs w:val="1"/>
                <w:color w:val="auto"/>
                <w:w w:val="94"/>
              </w:rPr>
              <w:t>/s/ Daniel D. (Ron) Lane</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5"/>
              </w:rPr>
              <w:t>Director</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60"/>
        </w:trPr>
        <w:tc>
          <w:tcPr>
            <w:tcW w:w="3220" w:type="dxa"/>
            <w:vAlign w:val="bottom"/>
            <w:gridSpan w:val="3"/>
          </w:tcPr>
          <w:p>
            <w:pPr>
              <w:jc w:val="center"/>
              <w:ind w:left="160"/>
              <w:spacing w:after="0"/>
              <w:rPr>
                <w:sz w:val="20"/>
                <w:szCs w:val="20"/>
                <w:color w:val="auto"/>
              </w:rPr>
            </w:pPr>
            <w:r>
              <w:rPr>
                <w:rFonts w:ascii="Arial" w:cs="Arial" w:eastAsia="Arial" w:hAnsi="Arial"/>
                <w:sz w:val="12"/>
                <w:szCs w:val="12"/>
                <w:color w:val="auto"/>
                <w:w w:val="92"/>
              </w:rPr>
              <w:t>Daniel D. (Ron) Lane</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60"/>
        </w:trPr>
        <w:tc>
          <w:tcPr>
            <w:tcW w:w="3220" w:type="dxa"/>
            <w:vAlign w:val="bottom"/>
            <w:tcBorders>
              <w:bottom w:val="single" w:sz="8" w:color="auto"/>
            </w:tcBorders>
            <w:gridSpan w:val="3"/>
          </w:tcPr>
          <w:p>
            <w:pPr>
              <w:jc w:val="center"/>
              <w:ind w:left="160"/>
              <w:spacing w:after="0"/>
              <w:rPr>
                <w:sz w:val="20"/>
                <w:szCs w:val="20"/>
                <w:color w:val="auto"/>
              </w:rPr>
            </w:pPr>
            <w:r>
              <w:rPr>
                <w:rFonts w:ascii="Arial" w:cs="Arial" w:eastAsia="Arial" w:hAnsi="Arial"/>
                <w:sz w:val="12"/>
                <w:szCs w:val="12"/>
                <w:i w:val="1"/>
                <w:iCs w:val="1"/>
                <w:color w:val="auto"/>
                <w:w w:val="95"/>
              </w:rPr>
              <w:t>/s/ General William Lyon</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5"/>
              </w:rPr>
              <w:t>Director</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60"/>
        </w:trPr>
        <w:tc>
          <w:tcPr>
            <w:tcW w:w="3220" w:type="dxa"/>
            <w:vAlign w:val="bottom"/>
            <w:gridSpan w:val="3"/>
          </w:tcPr>
          <w:p>
            <w:pPr>
              <w:jc w:val="center"/>
              <w:ind w:left="160"/>
              <w:spacing w:after="0"/>
              <w:rPr>
                <w:sz w:val="20"/>
                <w:szCs w:val="20"/>
                <w:color w:val="auto"/>
              </w:rPr>
            </w:pPr>
            <w:r>
              <w:rPr>
                <w:rFonts w:ascii="Arial" w:cs="Arial" w:eastAsia="Arial" w:hAnsi="Arial"/>
                <w:sz w:val="12"/>
                <w:szCs w:val="12"/>
                <w:color w:val="auto"/>
                <w:w w:val="94"/>
              </w:rPr>
              <w:t>General William Lyon</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69"/>
        </w:trPr>
        <w:tc>
          <w:tcPr>
            <w:tcW w:w="3220" w:type="dxa"/>
            <w:vAlign w:val="bottom"/>
            <w:tcBorders>
              <w:bottom w:val="single" w:sz="8" w:color="auto"/>
            </w:tcBorders>
            <w:gridSpan w:val="3"/>
          </w:tcPr>
          <w:p>
            <w:pPr>
              <w:jc w:val="center"/>
              <w:ind w:left="160"/>
              <w:spacing w:after="0"/>
              <w:rPr>
                <w:sz w:val="20"/>
                <w:szCs w:val="20"/>
                <w:color w:val="auto"/>
              </w:rPr>
            </w:pPr>
            <w:r>
              <w:rPr>
                <w:rFonts w:ascii="Arial" w:cs="Arial" w:eastAsia="Arial" w:hAnsi="Arial"/>
                <w:sz w:val="12"/>
                <w:szCs w:val="12"/>
                <w:i w:val="1"/>
                <w:iCs w:val="1"/>
                <w:color w:val="auto"/>
                <w:w w:val="91"/>
              </w:rPr>
              <w:t>/s/ Richard N. Massey</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5"/>
              </w:rPr>
              <w:t>Director</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60"/>
        </w:trPr>
        <w:tc>
          <w:tcPr>
            <w:tcW w:w="3220" w:type="dxa"/>
            <w:vAlign w:val="bottom"/>
            <w:gridSpan w:val="3"/>
          </w:tcPr>
          <w:p>
            <w:pPr>
              <w:jc w:val="center"/>
              <w:ind w:left="160"/>
              <w:spacing w:after="0"/>
              <w:rPr>
                <w:sz w:val="20"/>
                <w:szCs w:val="20"/>
                <w:color w:val="auto"/>
              </w:rPr>
            </w:pPr>
            <w:r>
              <w:rPr>
                <w:rFonts w:ascii="Arial" w:cs="Arial" w:eastAsia="Arial" w:hAnsi="Arial"/>
                <w:sz w:val="12"/>
                <w:szCs w:val="12"/>
                <w:color w:val="auto"/>
                <w:w w:val="90"/>
              </w:rPr>
              <w:t>Richard N. Massey</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69"/>
        </w:trPr>
        <w:tc>
          <w:tcPr>
            <w:tcW w:w="3220" w:type="dxa"/>
            <w:vAlign w:val="bottom"/>
            <w:tcBorders>
              <w:bottom w:val="single" w:sz="8" w:color="auto"/>
            </w:tcBorders>
            <w:gridSpan w:val="3"/>
          </w:tcPr>
          <w:p>
            <w:pPr>
              <w:jc w:val="center"/>
              <w:ind w:left="140"/>
              <w:spacing w:after="0"/>
              <w:rPr>
                <w:sz w:val="20"/>
                <w:szCs w:val="20"/>
                <w:color w:val="auto"/>
              </w:rPr>
            </w:pPr>
            <w:r>
              <w:rPr>
                <w:rFonts w:ascii="Arial" w:cs="Arial" w:eastAsia="Arial" w:hAnsi="Arial"/>
                <w:sz w:val="12"/>
                <w:szCs w:val="12"/>
                <w:i w:val="1"/>
                <w:iCs w:val="1"/>
                <w:color w:val="auto"/>
                <w:w w:val="90"/>
              </w:rPr>
              <w:t>/s/ Peter O. Shea, Jr.</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5"/>
              </w:rPr>
              <w:t>Director</w:t>
            </w:r>
          </w:p>
        </w:tc>
        <w:tc>
          <w:tcPr>
            <w:tcW w:w="2400" w:type="dxa"/>
            <w:vAlign w:val="bottom"/>
            <w:gridSpan w:val="3"/>
          </w:tcPr>
          <w:p>
            <w:pPr>
              <w:jc w:val="center"/>
              <w:ind w:left="1420"/>
              <w:spacing w:after="0"/>
              <w:rPr>
                <w:sz w:val="20"/>
                <w:szCs w:val="20"/>
                <w:color w:val="auto"/>
              </w:rPr>
            </w:pPr>
            <w:r>
              <w:rPr>
                <w:rFonts w:ascii="Arial" w:cs="Arial" w:eastAsia="Arial" w:hAnsi="Arial"/>
                <w:sz w:val="12"/>
                <w:szCs w:val="12"/>
                <w:color w:val="auto"/>
                <w:w w:val="89"/>
              </w:rPr>
              <w:t>February 23, 2011</w:t>
            </w:r>
          </w:p>
        </w:tc>
      </w:tr>
      <w:tr>
        <w:trPr>
          <w:trHeight w:val="160"/>
        </w:trPr>
        <w:tc>
          <w:tcPr>
            <w:tcW w:w="3220" w:type="dxa"/>
            <w:vAlign w:val="bottom"/>
            <w:gridSpan w:val="3"/>
          </w:tcPr>
          <w:p>
            <w:pPr>
              <w:jc w:val="center"/>
              <w:ind w:left="160"/>
              <w:spacing w:after="0"/>
              <w:rPr>
                <w:sz w:val="20"/>
                <w:szCs w:val="20"/>
                <w:color w:val="auto"/>
              </w:rPr>
            </w:pPr>
            <w:r>
              <w:rPr>
                <w:rFonts w:ascii="Arial" w:cs="Arial" w:eastAsia="Arial" w:hAnsi="Arial"/>
                <w:sz w:val="12"/>
                <w:szCs w:val="12"/>
                <w:color w:val="auto"/>
                <w:w w:val="87"/>
              </w:rPr>
              <w:t>Peter O. Shea, Jr.</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70"/>
        </w:trPr>
        <w:tc>
          <w:tcPr>
            <w:tcW w:w="3220" w:type="dxa"/>
            <w:vAlign w:val="bottom"/>
            <w:tcBorders>
              <w:bottom w:val="single" w:sz="8" w:color="auto"/>
            </w:tcBorders>
            <w:gridSpan w:val="3"/>
          </w:tcPr>
          <w:p>
            <w:pPr>
              <w:jc w:val="center"/>
              <w:ind w:left="160"/>
              <w:spacing w:after="0"/>
              <w:rPr>
                <w:sz w:val="20"/>
                <w:szCs w:val="20"/>
                <w:color w:val="auto"/>
              </w:rPr>
            </w:pPr>
            <w:r>
              <w:rPr>
                <w:rFonts w:ascii="Arial" w:cs="Arial" w:eastAsia="Arial" w:hAnsi="Arial"/>
                <w:sz w:val="12"/>
                <w:szCs w:val="12"/>
                <w:i w:val="1"/>
                <w:iCs w:val="1"/>
                <w:color w:val="auto"/>
                <w:w w:val="92"/>
              </w:rPr>
              <w:t>/s/ Cary H. Thompson</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5"/>
              </w:rPr>
              <w:t>Director</w:t>
            </w:r>
          </w:p>
        </w:tc>
        <w:tc>
          <w:tcPr>
            <w:tcW w:w="2400" w:type="dxa"/>
            <w:vAlign w:val="bottom"/>
            <w:gridSpan w:val="3"/>
          </w:tcPr>
          <w:p>
            <w:pPr>
              <w:jc w:val="center"/>
              <w:ind w:left="1460"/>
              <w:spacing w:after="0"/>
              <w:rPr>
                <w:sz w:val="20"/>
                <w:szCs w:val="20"/>
                <w:color w:val="auto"/>
              </w:rPr>
            </w:pPr>
            <w:r>
              <w:rPr>
                <w:rFonts w:ascii="Arial" w:cs="Arial" w:eastAsia="Arial" w:hAnsi="Arial"/>
                <w:sz w:val="12"/>
                <w:szCs w:val="12"/>
                <w:color w:val="auto"/>
                <w:w w:val="89"/>
              </w:rPr>
              <w:t>February 23, 2011</w:t>
            </w:r>
          </w:p>
        </w:tc>
      </w:tr>
      <w:tr>
        <w:trPr>
          <w:trHeight w:val="160"/>
        </w:trPr>
        <w:tc>
          <w:tcPr>
            <w:tcW w:w="3220" w:type="dxa"/>
            <w:vAlign w:val="bottom"/>
            <w:gridSpan w:val="3"/>
          </w:tcPr>
          <w:p>
            <w:pPr>
              <w:jc w:val="center"/>
              <w:ind w:left="160"/>
              <w:spacing w:after="0"/>
              <w:rPr>
                <w:sz w:val="20"/>
                <w:szCs w:val="20"/>
                <w:color w:val="auto"/>
              </w:rPr>
            </w:pPr>
            <w:r>
              <w:rPr>
                <w:rFonts w:ascii="Arial" w:cs="Arial" w:eastAsia="Arial" w:hAnsi="Arial"/>
                <w:sz w:val="12"/>
                <w:szCs w:val="12"/>
                <w:color w:val="auto"/>
                <w:w w:val="91"/>
              </w:rPr>
              <w:t>Cary H. Thompson</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70"/>
        </w:trPr>
        <w:tc>
          <w:tcPr>
            <w:tcW w:w="3220" w:type="dxa"/>
            <w:vAlign w:val="bottom"/>
            <w:tcBorders>
              <w:bottom w:val="single" w:sz="8" w:color="auto"/>
            </w:tcBorders>
            <w:gridSpan w:val="3"/>
          </w:tcPr>
          <w:p>
            <w:pPr>
              <w:jc w:val="center"/>
              <w:ind w:left="160"/>
              <w:spacing w:after="0"/>
              <w:rPr>
                <w:sz w:val="20"/>
                <w:szCs w:val="20"/>
                <w:color w:val="auto"/>
              </w:rPr>
            </w:pPr>
            <w:r>
              <w:rPr>
                <w:rFonts w:ascii="Arial" w:cs="Arial" w:eastAsia="Arial" w:hAnsi="Arial"/>
                <w:sz w:val="12"/>
                <w:szCs w:val="12"/>
                <w:i w:val="1"/>
                <w:iCs w:val="1"/>
                <w:color w:val="auto"/>
                <w:w w:val="95"/>
              </w:rPr>
              <w:t>/s/ Frank P. Willey</w:t>
            </w:r>
          </w:p>
        </w:tc>
        <w:tc>
          <w:tcPr>
            <w:tcW w:w="4340" w:type="dxa"/>
            <w:vAlign w:val="bottom"/>
            <w:gridSpan w:val="3"/>
          </w:tcPr>
          <w:p>
            <w:pPr>
              <w:jc w:val="center"/>
              <w:ind w:left="840"/>
              <w:spacing w:after="0"/>
              <w:rPr>
                <w:sz w:val="20"/>
                <w:szCs w:val="20"/>
                <w:color w:val="auto"/>
              </w:rPr>
            </w:pPr>
            <w:r>
              <w:rPr>
                <w:rFonts w:ascii="Arial" w:cs="Arial" w:eastAsia="Arial" w:hAnsi="Arial"/>
                <w:sz w:val="12"/>
                <w:szCs w:val="12"/>
                <w:color w:val="auto"/>
                <w:w w:val="95"/>
              </w:rPr>
              <w:t>Director</w:t>
            </w:r>
          </w:p>
        </w:tc>
        <w:tc>
          <w:tcPr>
            <w:tcW w:w="2400" w:type="dxa"/>
            <w:vAlign w:val="bottom"/>
            <w:gridSpan w:val="3"/>
          </w:tcPr>
          <w:p>
            <w:pPr>
              <w:ind w:left="880"/>
              <w:spacing w:after="0"/>
              <w:rPr>
                <w:sz w:val="20"/>
                <w:szCs w:val="20"/>
                <w:color w:val="auto"/>
              </w:rPr>
            </w:pPr>
            <w:r>
              <w:rPr>
                <w:rFonts w:ascii="Arial" w:cs="Arial" w:eastAsia="Arial" w:hAnsi="Arial"/>
                <w:sz w:val="12"/>
                <w:szCs w:val="12"/>
                <w:color w:val="auto"/>
              </w:rPr>
              <w:t>February 23, 2011</w:t>
            </w:r>
          </w:p>
        </w:tc>
      </w:tr>
      <w:tr>
        <w:trPr>
          <w:trHeight w:val="160"/>
        </w:trPr>
        <w:tc>
          <w:tcPr>
            <w:tcW w:w="3220" w:type="dxa"/>
            <w:vAlign w:val="bottom"/>
            <w:gridSpan w:val="3"/>
          </w:tcPr>
          <w:p>
            <w:pPr>
              <w:jc w:val="center"/>
              <w:ind w:left="140"/>
              <w:spacing w:after="0"/>
              <w:rPr>
                <w:sz w:val="20"/>
                <w:szCs w:val="20"/>
                <w:color w:val="auto"/>
              </w:rPr>
            </w:pPr>
            <w:r>
              <w:rPr>
                <w:rFonts w:ascii="Arial" w:cs="Arial" w:eastAsia="Arial" w:hAnsi="Arial"/>
                <w:sz w:val="12"/>
                <w:szCs w:val="12"/>
                <w:color w:val="auto"/>
                <w:w w:val="91"/>
              </w:rPr>
              <w:t>Frank P. Willey</w:t>
            </w: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450"/>
        </w:trPr>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20" w:type="dxa"/>
            <w:vAlign w:val="bottom"/>
          </w:tcPr>
          <w:p>
            <w:pPr>
              <w:jc w:val="right"/>
              <w:ind w:right="200"/>
              <w:spacing w:after="0"/>
              <w:rPr>
                <w:sz w:val="20"/>
                <w:szCs w:val="20"/>
                <w:color w:val="auto"/>
              </w:rPr>
            </w:pPr>
            <w:r>
              <w:rPr>
                <w:rFonts w:ascii="Arial" w:cs="Arial" w:eastAsia="Arial" w:hAnsi="Arial"/>
                <w:sz w:val="12"/>
                <w:szCs w:val="12"/>
                <w:color w:val="auto"/>
              </w:rPr>
              <w:t>90</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20"/>
          </w:cols>
          <w:pgMar w:left="1080" w:top="131" w:right="599" w:bottom="1440" w:gutter="0" w:footer="0" w:header="0"/>
        </w:sectPr>
      </w:pPr>
    </w:p>
    <w:bookmarkStart w:id="91" w:name="page92"/>
    <w:bookmarkEnd w:id="91"/>
    <w:p>
      <w:pPr>
        <w:ind w:left="2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REPORT OF INDEPEN DENT REGISTERED PUBLIC ACCOUNTING FIRM</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Board of Directors and Stockholders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Fidelity National Financial, Inc.:</w:t>
      </w:r>
    </w:p>
    <w:p>
      <w:pPr>
        <w:spacing w:after="0" w:line="78" w:lineRule="exact"/>
        <w:rPr>
          <w:sz w:val="20"/>
          <w:szCs w:val="20"/>
          <w:color w:val="auto"/>
        </w:rPr>
      </w:pPr>
    </w:p>
    <w:p>
      <w:pPr>
        <w:jc w:val="both"/>
        <w:ind w:firstLine="180"/>
        <w:spacing w:after="0" w:line="290" w:lineRule="auto"/>
        <w:rPr>
          <w:sz w:val="20"/>
          <w:szCs w:val="20"/>
          <w:color w:val="auto"/>
        </w:rPr>
      </w:pPr>
      <w:r>
        <w:rPr>
          <w:rFonts w:ascii="Arial" w:cs="Arial" w:eastAsia="Arial" w:hAnsi="Arial"/>
          <w:sz w:val="11"/>
          <w:szCs w:val="11"/>
          <w:color w:val="auto"/>
        </w:rPr>
        <w:t>Under date of February 23, 2011, we reported on the Consolidated Balance Sheets of Fidelity National Financial, Inc. and subsidiaries as of December 31, 2010 and 2009, and the related Consolidated Statements of Operations, Comprehensive Earnings, Equity and Cash Flows for each of the years in the three-year period ended December 31, 2010, as contained in the Annual Report on Form 10-K for the year 2010.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0"/>
          <w:szCs w:val="10"/>
          <w:color w:val="auto"/>
        </w:rPr>
        <w:t>In our opinion, such financial statement schedules, when considered in relation to the basic Consolidated Financial Statements taken as a whole, present fairly, in all material respects, the information set forth therein.</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 KPMG LLP</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February 23, 2011</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Jacksonville, Florida</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Certified Public Accountants</w:t>
      </w:r>
    </w:p>
    <w:p>
      <w:pPr>
        <w:spacing w:after="0" w:line="141"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620"/>
          </w:cols>
          <w:pgMar w:left="1080" w:top="130" w:right="199" w:bottom="1440" w:gutter="0" w:footer="0" w:header="0"/>
        </w:sectPr>
      </w:pPr>
    </w:p>
    <w:bookmarkStart w:id="92" w:name="page93"/>
    <w:bookmarkEnd w:id="92"/>
    <w:p>
      <w:pPr>
        <w:ind w:left="2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SCHEDULE II</w:t>
            </w:r>
          </w:p>
        </w:tc>
      </w:tr>
      <w:tr>
        <w:trPr>
          <w:trHeight w:val="347"/>
        </w:trPr>
        <w:tc>
          <w:tcPr>
            <w:tcW w:w="7320" w:type="dxa"/>
            <w:vAlign w:val="bottom"/>
          </w:tcPr>
          <w:p>
            <w:pPr>
              <w:jc w:val="center"/>
              <w:ind w:left="3440"/>
              <w:spacing w:after="0"/>
              <w:rPr>
                <w:sz w:val="20"/>
                <w:szCs w:val="20"/>
                <w:color w:val="auto"/>
              </w:rPr>
            </w:pPr>
            <w:r>
              <w:rPr>
                <w:rFonts w:ascii="Arial" w:cs="Arial" w:eastAsia="Arial" w:hAnsi="Arial"/>
                <w:sz w:val="12"/>
                <w:szCs w:val="12"/>
                <w:b w:val="1"/>
                <w:bCs w:val="1"/>
                <w:color w:val="auto"/>
              </w:rPr>
              <w:t>FIDELITY NATIONAL FINANCIAL, INC.</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7"/>
        </w:trPr>
        <w:tc>
          <w:tcPr>
            <w:tcW w:w="7320" w:type="dxa"/>
            <w:vAlign w:val="bottom"/>
          </w:tcPr>
          <w:p>
            <w:pPr>
              <w:jc w:val="center"/>
              <w:ind w:left="3460"/>
              <w:spacing w:after="0"/>
              <w:rPr>
                <w:sz w:val="20"/>
                <w:szCs w:val="20"/>
                <w:color w:val="auto"/>
              </w:rPr>
            </w:pPr>
            <w:r>
              <w:rPr>
                <w:rFonts w:ascii="Arial" w:cs="Arial" w:eastAsia="Arial" w:hAnsi="Arial"/>
                <w:sz w:val="12"/>
                <w:szCs w:val="12"/>
                <w:b w:val="1"/>
                <w:bCs w:val="1"/>
                <w:color w:val="auto"/>
                <w:w w:val="92"/>
              </w:rPr>
              <w:t>(Parent Company)</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88"/>
        </w:trPr>
        <w:tc>
          <w:tcPr>
            <w:tcW w:w="7320" w:type="dxa"/>
            <w:vAlign w:val="bottom"/>
          </w:tcPr>
          <w:p>
            <w:pPr>
              <w:jc w:val="center"/>
              <w:ind w:left="3460"/>
              <w:spacing w:after="0"/>
              <w:rPr>
                <w:sz w:val="20"/>
                <w:szCs w:val="20"/>
                <w:color w:val="auto"/>
              </w:rPr>
            </w:pPr>
            <w:r>
              <w:rPr>
                <w:rFonts w:ascii="Arial" w:cs="Arial" w:eastAsia="Arial" w:hAnsi="Arial"/>
                <w:sz w:val="12"/>
                <w:szCs w:val="12"/>
                <w:b w:val="1"/>
                <w:bCs w:val="1"/>
                <w:color w:val="auto"/>
                <w:w w:val="98"/>
              </w:rPr>
              <w:t>BALANCE SHEETS</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1"/>
        </w:trPr>
        <w:tc>
          <w:tcPr>
            <w:tcW w:w="73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December 31,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169"/>
        </w:trPr>
        <w:tc>
          <w:tcPr>
            <w:tcW w:w="73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2010</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120"/>
        </w:trPr>
        <w:tc>
          <w:tcPr>
            <w:tcW w:w="7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6"/>
              </w:rPr>
              <w:t>(In millions,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39"/>
        </w:trPr>
        <w:tc>
          <w:tcPr>
            <w:tcW w:w="7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6"/>
              </w:rPr>
              <w:t>except share data)</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4"/>
        </w:trPr>
        <w:tc>
          <w:tcPr>
            <w:tcW w:w="7320" w:type="dxa"/>
            <w:vAlign w:val="bottom"/>
            <w:shd w:val="clear" w:color="auto" w:fill="CCEEFF"/>
          </w:tcPr>
          <w:p>
            <w:pPr>
              <w:jc w:val="center"/>
              <w:ind w:left="3460"/>
              <w:spacing w:after="0"/>
              <w:rPr>
                <w:sz w:val="20"/>
                <w:szCs w:val="20"/>
                <w:color w:val="auto"/>
              </w:rPr>
            </w:pPr>
            <w:r>
              <w:rPr>
                <w:rFonts w:ascii="Arial" w:cs="Arial" w:eastAsia="Arial" w:hAnsi="Arial"/>
                <w:sz w:val="12"/>
                <w:szCs w:val="12"/>
                <w:b w:val="1"/>
                <w:bCs w:val="1"/>
                <w:color w:val="auto"/>
                <w:w w:val="91"/>
              </w:rPr>
              <w:t>ASSETS</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1"/>
        </w:trPr>
        <w:tc>
          <w:tcPr>
            <w:tcW w:w="7320" w:type="dxa"/>
            <w:vAlign w:val="bottom"/>
          </w:tcPr>
          <w:p>
            <w:pPr>
              <w:ind w:left="240"/>
              <w:spacing w:after="0"/>
              <w:rPr>
                <w:sz w:val="20"/>
                <w:szCs w:val="20"/>
                <w:color w:val="auto"/>
              </w:rPr>
            </w:pPr>
            <w:r>
              <w:rPr>
                <w:rFonts w:ascii="Arial" w:cs="Arial" w:eastAsia="Arial" w:hAnsi="Arial"/>
                <w:sz w:val="12"/>
                <w:szCs w:val="12"/>
                <w:color w:val="auto"/>
              </w:rPr>
              <w:t>Cash</w:t>
            </w:r>
          </w:p>
        </w:tc>
        <w:tc>
          <w:tcPr>
            <w:tcW w:w="5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r>
      <w:tr>
        <w:trPr>
          <w:trHeight w:val="189"/>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Investment securities available for sale, at fair value</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135.1</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1"/>
        </w:trPr>
        <w:tc>
          <w:tcPr>
            <w:tcW w:w="7320" w:type="dxa"/>
            <w:vAlign w:val="bottom"/>
          </w:tcPr>
          <w:p>
            <w:pPr>
              <w:ind w:left="240"/>
              <w:spacing w:after="0"/>
              <w:rPr>
                <w:sz w:val="20"/>
                <w:szCs w:val="20"/>
                <w:color w:val="auto"/>
              </w:rPr>
            </w:pPr>
            <w:r>
              <w:rPr>
                <w:rFonts w:ascii="Arial" w:cs="Arial" w:eastAsia="Arial" w:hAnsi="Arial"/>
                <w:sz w:val="12"/>
                <w:szCs w:val="12"/>
                <w:color w:val="auto"/>
              </w:rPr>
              <w:t>Investment in unconsolidated affiliates</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367.2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507.8</w:t>
            </w:r>
          </w:p>
        </w:tc>
        <w:tc>
          <w:tcPr>
            <w:tcW w:w="220" w:type="dxa"/>
            <w:vAlign w:val="bottom"/>
          </w:tcPr>
          <w:p>
            <w:pPr>
              <w:spacing w:after="0"/>
              <w:rPr>
                <w:sz w:val="14"/>
                <w:szCs w:val="14"/>
                <w:color w:val="auto"/>
              </w:rPr>
            </w:pPr>
          </w:p>
        </w:tc>
      </w:tr>
      <w:tr>
        <w:trPr>
          <w:trHeight w:val="189"/>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taxes receivable</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15.7</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56.5</w:t>
            </w:r>
          </w:p>
        </w:tc>
        <w:tc>
          <w:tcPr>
            <w:tcW w:w="220" w:type="dxa"/>
            <w:vAlign w:val="bottom"/>
            <w:shd w:val="clear" w:color="auto" w:fill="CCEEFF"/>
          </w:tcPr>
          <w:p>
            <w:pPr>
              <w:spacing w:after="0"/>
              <w:rPr>
                <w:sz w:val="16"/>
                <w:szCs w:val="16"/>
                <w:color w:val="auto"/>
              </w:rPr>
            </w:pPr>
          </w:p>
        </w:tc>
      </w:tr>
      <w:tr>
        <w:trPr>
          <w:trHeight w:val="117"/>
        </w:trPr>
        <w:tc>
          <w:tcPr>
            <w:tcW w:w="7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17" w:lineRule="exact"/>
              <w:rPr>
                <w:sz w:val="20"/>
                <w:szCs w:val="20"/>
                <w:color w:val="auto"/>
              </w:rPr>
            </w:pPr>
            <w:r>
              <w:rPr>
                <w:rFonts w:ascii="Arial" w:cs="Arial" w:eastAsia="Arial" w:hAnsi="Arial"/>
                <w:sz w:val="12"/>
                <w:szCs w:val="12"/>
                <w:color w:val="auto"/>
              </w:rPr>
              <w:t>&lt;</w:t>
            </w:r>
          </w:p>
        </w:tc>
      </w:tr>
      <w:tr>
        <w:trPr>
          <w:trHeight w:val="171"/>
        </w:trPr>
        <w:tc>
          <w:tcPr>
            <w:tcW w:w="7320" w:type="dxa"/>
            <w:vAlign w:val="bottom"/>
          </w:tcPr>
          <w:p>
            <w:pPr>
              <w:ind w:left="240"/>
              <w:spacing w:after="0"/>
              <w:rPr>
                <w:sz w:val="20"/>
                <w:szCs w:val="20"/>
                <w:color w:val="auto"/>
              </w:rPr>
            </w:pPr>
            <w:r>
              <w:rPr>
                <w:rFonts w:ascii="Arial" w:cs="Arial" w:eastAsia="Arial" w:hAnsi="Arial"/>
                <w:sz w:val="12"/>
                <w:szCs w:val="12"/>
                <w:color w:val="auto"/>
              </w:rPr>
              <w:t>Deferred tax assets</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32.1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128.9/font&gt;</w:t>
            </w:r>
          </w:p>
        </w:tc>
      </w:tr>
      <w:tr>
        <w:trPr>
          <w:trHeight w:val="180"/>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Investments in and amounts due from subsidiaries</w:t>
            </w: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3,831.6</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3,455.7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71"/>
        </w:trPr>
        <w:tc>
          <w:tcPr>
            <w:tcW w:w="7320" w:type="dxa"/>
            <w:vAlign w:val="bottom"/>
          </w:tcPr>
          <w:p>
            <w:pPr>
              <w:ind w:left="240"/>
              <w:spacing w:after="0"/>
              <w:rPr>
                <w:sz w:val="20"/>
                <w:szCs w:val="20"/>
                <w:color w:val="auto"/>
              </w:rPr>
            </w:pPr>
            <w:r>
              <w:rPr>
                <w:rFonts w:ascii="Arial" w:cs="Arial" w:eastAsia="Arial" w:hAnsi="Arial"/>
                <w:sz w:val="12"/>
                <w:szCs w:val="12"/>
                <w:color w:val="auto"/>
              </w:rPr>
              <w:t>Property and equipment, net</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10.3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9.5</w:t>
            </w:r>
          </w:p>
        </w:tc>
        <w:tc>
          <w:tcPr>
            <w:tcW w:w="220" w:type="dxa"/>
            <w:vAlign w:val="bottom"/>
          </w:tcPr>
          <w:p>
            <w:pPr>
              <w:spacing w:after="0"/>
              <w:rPr>
                <w:sz w:val="14"/>
                <w:szCs w:val="14"/>
                <w:color w:val="auto"/>
              </w:rPr>
            </w:pPr>
          </w:p>
        </w:tc>
      </w:tr>
      <w:tr>
        <w:trPr>
          <w:trHeight w:val="189"/>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assets</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34.1</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w:t>
            </w:r>
          </w:p>
        </w:tc>
        <w:tc>
          <w:tcPr>
            <w:tcW w:w="220" w:type="dxa"/>
            <w:vAlign w:val="bottom"/>
            <w:shd w:val="clear" w:color="auto" w:fill="CCEEFF"/>
          </w:tcPr>
          <w:p>
            <w:pPr>
              <w:spacing w:after="0"/>
              <w:rPr>
                <w:sz w:val="16"/>
                <w:szCs w:val="16"/>
                <w:color w:val="auto"/>
              </w:rPr>
            </w:pPr>
          </w:p>
        </w:tc>
      </w:tr>
      <w:tr>
        <w:trPr>
          <w:trHeight w:val="171"/>
        </w:trPr>
        <w:tc>
          <w:tcPr>
            <w:tcW w:w="73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intangibles, net</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8.7</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5.8</w:t>
            </w:r>
          </w:p>
        </w:tc>
        <w:tc>
          <w:tcPr>
            <w:tcW w:w="220" w:type="dxa"/>
            <w:vAlign w:val="bottom"/>
            <w:tcBorders>
              <w:bottom w:val="single" w:sz="8" w:color="auto"/>
            </w:tcBorders>
          </w:tcPr>
          <w:p>
            <w:pPr>
              <w:spacing w:after="0"/>
              <w:rPr>
                <w:sz w:val="14"/>
                <w:szCs w:val="14"/>
                <w:color w:val="auto"/>
              </w:rPr>
            </w:pPr>
          </w:p>
        </w:tc>
      </w:tr>
      <w:tr>
        <w:trPr>
          <w:trHeight w:val="194"/>
        </w:trPr>
        <w:tc>
          <w:tcPr>
            <w:tcW w:w="73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Total assets</w:t>
            </w:r>
          </w:p>
        </w:tc>
        <w:tc>
          <w:tcPr>
            <w:tcW w:w="5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4,434.8</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4,236.3</w:t>
            </w:r>
          </w:p>
        </w:tc>
        <w:tc>
          <w:tcPr>
            <w:tcW w:w="220" w:type="dxa"/>
            <w:vAlign w:val="bottom"/>
            <w:shd w:val="clear" w:color="auto" w:fill="CCEEFF"/>
          </w:tcPr>
          <w:p>
            <w:pPr>
              <w:spacing w:after="0"/>
              <w:rPr>
                <w:sz w:val="16"/>
                <w:szCs w:val="16"/>
                <w:color w:val="auto"/>
              </w:rPr>
            </w:pPr>
          </w:p>
        </w:tc>
      </w:tr>
      <w:tr>
        <w:trPr>
          <w:trHeight w:val="145"/>
        </w:trPr>
        <w:tc>
          <w:tcPr>
            <w:tcW w:w="7320" w:type="dxa"/>
            <w:vAlign w:val="bottom"/>
            <w:tcBorders>
              <w:top w:val="single" w:sz="8" w:color="CCEEFF"/>
            </w:tcBorders>
          </w:tcPr>
          <w:p>
            <w:pPr>
              <w:jc w:val="center"/>
              <w:ind w:left="3440"/>
              <w:spacing w:after="0" w:line="137" w:lineRule="exact"/>
              <w:rPr>
                <w:sz w:val="20"/>
                <w:szCs w:val="20"/>
                <w:color w:val="auto"/>
              </w:rPr>
            </w:pPr>
            <w:r>
              <w:rPr>
                <w:rFonts w:ascii="Arial" w:cs="Arial" w:eastAsia="Arial" w:hAnsi="Arial"/>
                <w:sz w:val="12"/>
                <w:szCs w:val="12"/>
                <w:b w:val="1"/>
                <w:bCs w:val="1"/>
                <w:color w:val="auto"/>
              </w:rPr>
              <w:t>LIABILITIES AND EQUITY</w:t>
            </w:r>
          </w:p>
        </w:tc>
        <w:tc>
          <w:tcPr>
            <w:tcW w:w="5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r>
      <w:tr>
        <w:trPr>
          <w:trHeight w:val="189"/>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Liabilities:</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1"/>
        </w:trPr>
        <w:tc>
          <w:tcPr>
            <w:tcW w:w="7320" w:type="dxa"/>
            <w:vAlign w:val="bottom"/>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5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38.9</w:t>
            </w: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30.7</w:t>
            </w:r>
          </w:p>
        </w:tc>
        <w:tc>
          <w:tcPr>
            <w:tcW w:w="220" w:type="dxa"/>
            <w:vAlign w:val="bottom"/>
          </w:tcPr>
          <w:p>
            <w:pPr>
              <w:spacing w:after="0"/>
              <w:rPr>
                <w:sz w:val="14"/>
                <w:szCs w:val="14"/>
                <w:color w:val="auto"/>
              </w:rPr>
            </w:pPr>
          </w:p>
        </w:tc>
      </w:tr>
      <w:tr>
        <w:trPr>
          <w:trHeight w:val="180"/>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Notes payable</w:t>
            </w:r>
          </w:p>
        </w:tc>
        <w:tc>
          <w:tcPr>
            <w:tcW w:w="5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951.5</w:t>
            </w: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860.7</w:t>
            </w:r>
          </w:p>
        </w:tc>
        <w:tc>
          <w:tcPr>
            <w:tcW w:w="220" w:type="dxa"/>
            <w:vAlign w:val="bottom"/>
            <w:tcBorders>
              <w:bottom w:val="single" w:sz="8" w:color="auto"/>
            </w:tcBorders>
            <w:shd w:val="clear" w:color="auto" w:fill="CCEEFF"/>
          </w:tcPr>
          <w:p>
            <w:pPr>
              <w:spacing w:after="0"/>
              <w:rPr>
                <w:sz w:val="15"/>
                <w:szCs w:val="15"/>
                <w:color w:val="auto"/>
              </w:rPr>
            </w:pPr>
          </w:p>
        </w:tc>
      </w:tr>
      <w:tr>
        <w:trPr>
          <w:trHeight w:val="169"/>
        </w:trPr>
        <w:tc>
          <w:tcPr>
            <w:tcW w:w="7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990.4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891.4</w:t>
            </w:r>
          </w:p>
        </w:tc>
        <w:tc>
          <w:tcPr>
            <w:tcW w:w="220" w:type="dxa"/>
            <w:vAlign w:val="bottom"/>
          </w:tcPr>
          <w:p>
            <w:pPr>
              <w:spacing w:after="0"/>
              <w:rPr>
                <w:sz w:val="14"/>
                <w:szCs w:val="14"/>
                <w:color w:val="auto"/>
              </w:rPr>
            </w:pPr>
          </w:p>
        </w:tc>
      </w:tr>
      <w:tr>
        <w:trPr>
          <w:trHeight w:val="189"/>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Equity:</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35"/>
        </w:trPr>
        <w:tc>
          <w:tcPr>
            <w:tcW w:w="7320" w:type="dxa"/>
            <w:vAlign w:val="bottom"/>
          </w:tcPr>
          <w:p>
            <w:pPr>
              <w:ind w:left="240"/>
              <w:spacing w:after="0" w:line="136" w:lineRule="exact"/>
              <w:rPr>
                <w:sz w:val="20"/>
                <w:szCs w:val="20"/>
                <w:color w:val="auto"/>
              </w:rPr>
            </w:pPr>
            <w:r>
              <w:rPr>
                <w:rFonts w:ascii="Arial" w:cs="Arial" w:eastAsia="Arial" w:hAnsi="Arial"/>
                <w:sz w:val="12"/>
                <w:szCs w:val="12"/>
                <w:color w:val="auto"/>
                <w:w w:val="93"/>
              </w:rPr>
              <w:t>Common stock, Class A, $0.0001 par value; authorized 600,000,000 shares at December 31, 2010 and 2009; issued 252,184,269 shares and</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2"/>
        </w:trPr>
        <w:tc>
          <w:tcPr>
            <w:tcW w:w="7320" w:type="dxa"/>
            <w:vAlign w:val="bottom"/>
          </w:tcPr>
          <w:p>
            <w:pPr>
              <w:ind w:left="20"/>
              <w:spacing w:after="0"/>
              <w:rPr>
                <w:sz w:val="20"/>
                <w:szCs w:val="20"/>
                <w:color w:val="auto"/>
              </w:rPr>
            </w:pPr>
            <w:r>
              <w:rPr>
                <w:rFonts w:ascii="Arial" w:cs="Arial" w:eastAsia="Arial" w:hAnsi="Arial"/>
                <w:sz w:val="12"/>
                <w:szCs w:val="12"/>
                <w:color w:val="auto"/>
              </w:rPr>
              <w:t>249,713,996 shares at December 31, 2010 and 2009, respectively</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r>
      <w:tr>
        <w:trPr>
          <w:trHeight w:val="189"/>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Preferred stock, $0.0001 par value; authorized 50,000,000 shares, issued and outstanding, none</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r>
      <w:tr>
        <w:trPr>
          <w:trHeight w:val="171"/>
        </w:trPr>
        <w:tc>
          <w:tcPr>
            <w:tcW w:w="7320" w:type="dxa"/>
            <w:vAlign w:val="bottom"/>
          </w:tcPr>
          <w:p>
            <w:pPr>
              <w:ind w:left="240"/>
              <w:spacing w:after="0"/>
              <w:rPr>
                <w:sz w:val="20"/>
                <w:szCs w:val="20"/>
                <w:color w:val="auto"/>
              </w:rPr>
            </w:pPr>
            <w:r>
              <w:rPr>
                <w:rFonts w:ascii="Arial" w:cs="Arial" w:eastAsia="Arial" w:hAnsi="Arial"/>
                <w:sz w:val="12"/>
                <w:szCs w:val="12"/>
                <w:color w:val="auto"/>
              </w:rPr>
              <w:t>Additional paid-in capital</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3,745.0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3,712.1</w:t>
            </w:r>
          </w:p>
        </w:tc>
        <w:tc>
          <w:tcPr>
            <w:tcW w:w="220" w:type="dxa"/>
            <w:vAlign w:val="bottom"/>
          </w:tcPr>
          <w:p>
            <w:pPr>
              <w:spacing w:after="0"/>
              <w:rPr>
                <w:sz w:val="14"/>
                <w:szCs w:val="14"/>
                <w:color w:val="auto"/>
              </w:rPr>
            </w:pPr>
          </w:p>
        </w:tc>
      </w:tr>
      <w:tr>
        <w:trPr>
          <w:trHeight w:val="189"/>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Retained earnings (deficit)</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110.3</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(102. 4</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7320" w:type="dxa"/>
            <w:vAlign w:val="bottom"/>
          </w:tcPr>
          <w:p>
            <w:pPr>
              <w:ind w:left="240"/>
              <w:spacing w:after="0"/>
              <w:rPr>
                <w:sz w:val="20"/>
                <w:szCs w:val="20"/>
                <w:color w:val="auto"/>
              </w:rPr>
            </w:pPr>
            <w:r>
              <w:rPr>
                <w:rFonts w:ascii="Arial" w:cs="Arial" w:eastAsia="Arial" w:hAnsi="Arial"/>
                <w:sz w:val="12"/>
                <w:szCs w:val="12"/>
                <w:color w:val="auto"/>
              </w:rPr>
              <w:t>Accumulated other comprehensive earnings</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12.6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35.6</w:t>
            </w:r>
          </w:p>
        </w:tc>
        <w:tc>
          <w:tcPr>
            <w:tcW w:w="220" w:type="dxa"/>
            <w:vAlign w:val="bottom"/>
          </w:tcPr>
          <w:p>
            <w:pPr>
              <w:spacing w:after="0"/>
              <w:rPr>
                <w:sz w:val="14"/>
                <w:szCs w:val="14"/>
                <w:color w:val="auto"/>
              </w:rPr>
            </w:pPr>
          </w:p>
        </w:tc>
      </w:tr>
      <w:tr>
        <w:trPr>
          <w:trHeight w:val="180"/>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Less treasury stock, 28,435,980 shares and 19,496,888 shares at December 31, 2010 and December 31, 2009, respectively, at cost</w:t>
            </w:r>
          </w:p>
        </w:tc>
        <w:tc>
          <w:tcPr>
            <w:tcW w:w="5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(440.8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9"/>
        </w:trPr>
        <w:tc>
          <w:tcPr>
            <w:tcW w:w="7320" w:type="dxa"/>
            <w:vAlign w:val="bottom"/>
          </w:tcPr>
          <w:p>
            <w:pPr>
              <w:ind w:left="540"/>
              <w:spacing w:after="0"/>
              <w:rPr>
                <w:sz w:val="20"/>
                <w:szCs w:val="20"/>
                <w:color w:val="auto"/>
              </w:rPr>
            </w:pPr>
            <w:r>
              <w:rPr>
                <w:rFonts w:ascii="Arial" w:cs="Arial" w:eastAsia="Arial" w:hAnsi="Arial"/>
                <w:sz w:val="12"/>
                <w:szCs w:val="12"/>
                <w:color w:val="auto"/>
              </w:rPr>
              <w:t>Total equity of Fidelity National Financial, Inc. common shareholders</w:t>
            </w:r>
          </w:p>
        </w:tc>
        <w:tc>
          <w:tcPr>
            <w:tcW w:w="5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3,427.1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3,325.9</w:t>
            </w:r>
          </w:p>
        </w:tc>
        <w:tc>
          <w:tcPr>
            <w:tcW w:w="220" w:type="dxa"/>
            <w:vAlign w:val="bottom"/>
          </w:tcPr>
          <w:p>
            <w:pPr>
              <w:spacing w:after="0"/>
              <w:rPr>
                <w:sz w:val="14"/>
                <w:szCs w:val="14"/>
                <w:color w:val="auto"/>
              </w:rPr>
            </w:pPr>
          </w:p>
        </w:tc>
      </w:tr>
      <w:tr>
        <w:trPr>
          <w:trHeight w:val="180"/>
        </w:trPr>
        <w:tc>
          <w:tcPr>
            <w:tcW w:w="7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Noncontrolling interests</w:t>
            </w:r>
          </w:p>
        </w:tc>
        <w:tc>
          <w:tcPr>
            <w:tcW w:w="5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17.3</w:t>
            </w: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19.0</w:t>
            </w:r>
          </w:p>
        </w:tc>
        <w:tc>
          <w:tcPr>
            <w:tcW w:w="220" w:type="dxa"/>
            <w:vAlign w:val="bottom"/>
            <w:tcBorders>
              <w:bottom w:val="single" w:sz="8" w:color="auto"/>
            </w:tcBorders>
            <w:shd w:val="clear" w:color="auto" w:fill="CCEEFF"/>
          </w:tcPr>
          <w:p>
            <w:pPr>
              <w:spacing w:after="0"/>
              <w:rPr>
                <w:sz w:val="15"/>
                <w:szCs w:val="15"/>
                <w:color w:val="auto"/>
              </w:rPr>
            </w:pPr>
          </w:p>
        </w:tc>
      </w:tr>
      <w:tr>
        <w:trPr>
          <w:trHeight w:val="178"/>
        </w:trPr>
        <w:tc>
          <w:tcPr>
            <w:tcW w:w="732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equity</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3,444.4</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3,344.9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7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Total liabilities and equity</w:t>
            </w:r>
          </w:p>
        </w:tc>
        <w:tc>
          <w:tcPr>
            <w:tcW w:w="5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4,434.8</w:t>
            </w: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4,236.3</w:t>
            </w:r>
          </w:p>
        </w:tc>
        <w:tc>
          <w:tcPr>
            <w:tcW w:w="220" w:type="dxa"/>
            <w:vAlign w:val="bottom"/>
            <w:tcBorders>
              <w:bottom w:val="single" w:sz="8" w:color="auto"/>
            </w:tcBorders>
            <w:shd w:val="clear" w:color="auto" w:fill="CCEEFF"/>
          </w:tcPr>
          <w:p>
            <w:pPr>
              <w:spacing w:after="0"/>
              <w:rPr>
                <w:sz w:val="15"/>
                <w:szCs w:val="15"/>
                <w:color w:val="auto"/>
              </w:rPr>
            </w:pPr>
          </w:p>
        </w:tc>
      </w:tr>
    </w:tbl>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See Notes to Financial Statements and Accompanying Report of Independent Registered Public Accounting Firm</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620"/>
          </w:cols>
          <w:pgMar w:left="1080" w:top="131" w:right="199" w:bottom="1440" w:gutter="0" w:footer="0" w:header="0"/>
        </w:sectPr>
      </w:pPr>
    </w:p>
    <w:bookmarkStart w:id="93" w:name="page94"/>
    <w:bookmarkEnd w:id="93"/>
    <w:p>
      <w:pPr>
        <w:ind w:left="2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SCHEDULE II</w:t>
            </w:r>
          </w:p>
        </w:tc>
        <w:tc>
          <w:tcPr>
            <w:tcW w:w="0" w:type="dxa"/>
            <w:vAlign w:val="bottom"/>
          </w:tcPr>
          <w:p>
            <w:pPr>
              <w:spacing w:after="0"/>
              <w:rPr>
                <w:sz w:val="1"/>
                <w:szCs w:val="1"/>
                <w:color w:val="auto"/>
              </w:rPr>
            </w:pPr>
          </w:p>
        </w:tc>
      </w:tr>
      <w:tr>
        <w:trPr>
          <w:trHeight w:val="275"/>
        </w:trPr>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900" w:type="dxa"/>
            <w:vAlign w:val="bottom"/>
            <w:gridSpan w:val="5"/>
          </w:tcPr>
          <w:p>
            <w:pPr>
              <w:jc w:val="center"/>
              <w:ind w:left="2740"/>
              <w:spacing w:after="0"/>
              <w:rPr>
                <w:sz w:val="20"/>
                <w:szCs w:val="20"/>
                <w:color w:val="auto"/>
              </w:rPr>
            </w:pPr>
            <w:r>
              <w:rPr>
                <w:rFonts w:ascii="Arial" w:cs="Arial" w:eastAsia="Arial" w:hAnsi="Arial"/>
                <w:sz w:val="12"/>
                <w:szCs w:val="12"/>
                <w:b w:val="1"/>
                <w:bCs w:val="1"/>
                <w:color w:val="auto"/>
              </w:rPr>
              <w:t>FIDELITY NATIONAL FINANCIAL, INC.</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2"/>
              </w:rPr>
              <w:t>(Parent Company)</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340" w:type="dxa"/>
            <w:vAlign w:val="bottom"/>
            <w:gridSpan w:val="8"/>
          </w:tcPr>
          <w:p>
            <w:pPr>
              <w:jc w:val="center"/>
              <w:ind w:left="2300"/>
              <w:spacing w:after="0"/>
              <w:rPr>
                <w:sz w:val="20"/>
                <w:szCs w:val="20"/>
                <w:color w:val="auto"/>
              </w:rPr>
            </w:pPr>
            <w:r>
              <w:rPr>
                <w:rFonts w:ascii="Arial" w:cs="Arial" w:eastAsia="Arial" w:hAnsi="Arial"/>
                <w:sz w:val="12"/>
                <w:szCs w:val="12"/>
                <w:b w:val="1"/>
                <w:bCs w:val="1"/>
                <w:color w:val="auto"/>
                <w:w w:val="99"/>
              </w:rPr>
              <w:t>STATEMENTS OF OPERATIONS AND RETAINED EARNINGS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2009</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gridSpan w:val="8"/>
          </w:tcPr>
          <w:p>
            <w:pPr>
              <w:ind w:left="100"/>
              <w:spacing w:after="0"/>
              <w:rPr>
                <w:sz w:val="20"/>
                <w:szCs w:val="20"/>
                <w:color w:val="auto"/>
              </w:rPr>
            </w:pPr>
            <w:r>
              <w:rPr>
                <w:rFonts w:ascii="Arial" w:cs="Arial" w:eastAsia="Arial" w:hAnsi="Arial"/>
                <w:sz w:val="10"/>
                <w:szCs w:val="10"/>
                <w:b w:val="1"/>
                <w:bCs w:val="1"/>
                <w:color w:val="auto"/>
              </w:rPr>
              <w:t>(In millions, except per share data)</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20" w:type="dxa"/>
            <w:vAlign w:val="bottom"/>
            <w:shd w:val="clear" w:color="auto" w:fill="CCEEFF"/>
          </w:tcPr>
          <w:p>
            <w:pPr>
              <w:spacing w:after="0"/>
              <w:rPr>
                <w:sz w:val="12"/>
                <w:szCs w:val="12"/>
                <w:color w:val="auto"/>
              </w:rPr>
            </w:pPr>
          </w:p>
        </w:tc>
        <w:tc>
          <w:tcPr>
            <w:tcW w:w="472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Revenues: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&lt;</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shd w:val="clear" w:color="auto" w:fill="CCEEFF"/>
          </w:tcPr>
          <w:p>
            <w:pPr>
              <w:spacing w:after="0"/>
              <w:rPr>
                <w:sz w:val="13"/>
                <w:szCs w:val="13"/>
                <w:color w:val="auto"/>
              </w:rPr>
            </w:pPr>
          </w:p>
        </w:tc>
        <w:tc>
          <w:tcPr>
            <w:tcW w:w="4720" w:type="dxa"/>
            <w:vAlign w:val="bottom"/>
            <w:gridSpan w:val="2"/>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2"/>
                <w:szCs w:val="12"/>
                <w:color w:val="auto"/>
                <w:w w:val="93"/>
              </w:rPr>
              <w:t>/div&gt;</w:t>
            </w: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Other fees and revenue</w:t>
            </w:r>
          </w:p>
        </w:tc>
        <w:tc>
          <w:tcPr>
            <w:tcW w:w="11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4.6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3.6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Interest and investment income (loss) and realized gains (losses)</w:t>
            </w:r>
          </w:p>
        </w:tc>
        <w:tc>
          <w:tcPr>
            <w:tcW w:w="6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97.2</w:t>
            </w: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right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w w:val="98"/>
              </w:rPr>
              <w:t>)</w:t>
            </w: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0" w:type="dxa"/>
            <w:vAlign w:val="bottom"/>
            <w:tcBorders>
              <w:bottom w:val="single" w:sz="8" w:color="CCEEFF"/>
            </w:tcBorders>
          </w:tcPr>
          <w:p>
            <w:pPr>
              <w:spacing w:after="0"/>
              <w:rPr>
                <w:sz w:val="13"/>
                <w:szCs w:val="13"/>
                <w:color w:val="auto"/>
              </w:rPr>
            </w:pPr>
          </w:p>
        </w:tc>
        <w:tc>
          <w:tcPr>
            <w:tcW w:w="4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Total revenues (loss)</w:t>
            </w:r>
          </w:p>
        </w:tc>
        <w:tc>
          <w:tcPr>
            <w:tcW w:w="6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101.5</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(2.6</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8"/>
              </w:rPr>
              <w:t>)</w:t>
            </w:r>
          </w:p>
        </w:tc>
        <w:tc>
          <w:tcPr>
            <w:tcW w:w="3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18.3</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Expenses: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Personnel expenses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23.9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19.9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14.9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 r operating expenses</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12.6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1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20.3</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0" w:type="dxa"/>
            <w:vAlign w:val="bottom"/>
            <w:tcBorders>
              <w:bottom w:val="single" w:sz="8" w:color="CCEEFF"/>
            </w:tcBorders>
          </w:tcPr>
          <w:p>
            <w:pPr>
              <w:spacing w:after="0"/>
              <w:rPr>
                <w:sz w:val="14"/>
                <w:szCs w:val="14"/>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Interest expense</w:t>
            </w:r>
          </w:p>
        </w:tc>
        <w:tc>
          <w:tcPr>
            <w:tcW w:w="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47.5</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38.6</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54.1</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Total expenses</w:t>
            </w:r>
          </w:p>
        </w:tc>
        <w:tc>
          <w:tcPr>
            <w:tcW w:w="6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84.0</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70.7</w:t>
            </w:r>
          </w:p>
        </w:tc>
        <w:tc>
          <w:tcPr>
            <w:tcW w:w="1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89.3</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w w:val="91"/>
              </w:rPr>
              <w:t>Earnings (loss) before income tax expense (benefi t) and equity in earnings (loss) of subsidiaries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17.5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(73.3</w:t>
            </w:r>
          </w:p>
        </w:tc>
        <w:tc>
          <w:tcPr>
            <w:tcW w:w="140" w:type="dxa"/>
            <w:vAlign w:val="bottom"/>
          </w:tcPr>
          <w:p>
            <w:pPr>
              <w:spacing w:after="0"/>
              <w:rPr>
                <w:sz w:val="13"/>
                <w:szCs w:val="13"/>
                <w:color w:val="auto"/>
              </w:rPr>
            </w:pPr>
          </w:p>
        </w:tc>
        <w:tc>
          <w:tcPr>
            <w:tcW w:w="160" w:type="dxa"/>
            <w:vAlign w:val="bottom"/>
          </w:tcPr>
          <w:p>
            <w:pPr>
              <w:jc w:val="right"/>
              <w:ind w:right="40"/>
              <w:spacing w:after="0"/>
              <w:rPr>
                <w:sz w:val="20"/>
                <w:szCs w:val="20"/>
                <w:color w:val="auto"/>
              </w:rPr>
            </w:pPr>
            <w:r>
              <w:rPr>
                <w:rFonts w:ascii="Arial" w:cs="Arial" w:eastAsia="Arial" w:hAnsi="Arial"/>
                <w:sz w:val="12"/>
                <w:szCs w:val="12"/>
                <w:color w:val="auto"/>
                <w:w w:val="98"/>
              </w:rPr>
              <w:t>)</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(71.0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6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5.8</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(22.7</w:t>
            </w:r>
          </w:p>
        </w:tc>
        <w:tc>
          <w:tcPr>
            <w:tcW w:w="1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right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w w:val="98"/>
              </w:rPr>
              <w:t>)</w:t>
            </w:r>
          </w:p>
        </w:tc>
        <w:tc>
          <w:tcPr>
            <w:tcW w:w="30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Earnings (loss) before equity in earnings (loss) of subsidiaries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11.7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(50.6</w:t>
            </w:r>
          </w:p>
        </w:tc>
        <w:tc>
          <w:tcPr>
            <w:tcW w:w="140" w:type="dxa"/>
            <w:vAlign w:val="bottom"/>
          </w:tcPr>
          <w:p>
            <w:pPr>
              <w:spacing w:after="0"/>
              <w:rPr>
                <w:sz w:val="14"/>
                <w:szCs w:val="14"/>
                <w:color w:val="auto"/>
              </w:rPr>
            </w:pPr>
          </w:p>
        </w:tc>
        <w:tc>
          <w:tcPr>
            <w:tcW w:w="160" w:type="dxa"/>
            <w:vAlign w:val="bottom"/>
          </w:tcPr>
          <w:p>
            <w:pPr>
              <w:jc w:val="right"/>
              <w:ind w:right="40"/>
              <w:spacing w:after="0"/>
              <w:rPr>
                <w:sz w:val="20"/>
                <w:szCs w:val="20"/>
                <w:color w:val="auto"/>
              </w:rPr>
            </w:pPr>
            <w:r>
              <w:rPr>
                <w:rFonts w:ascii="Arial" w:cs="Arial" w:eastAsia="Arial" w:hAnsi="Arial"/>
                <w:sz w:val="12"/>
                <w:szCs w:val="12"/>
                <w:color w:val="auto"/>
                <w:w w:val="98"/>
              </w:rPr>
              <w:t>)</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(40.8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Equity in earnings (loss) of subsidiaries</w:t>
            </w:r>
          </w:p>
        </w:tc>
        <w:tc>
          <w:tcPr>
            <w:tcW w:w="660" w:type="dxa"/>
            <w:vAlign w:val="bottom"/>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363.9</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275.1</w:t>
            </w:r>
          </w:p>
        </w:tc>
        <w:tc>
          <w:tcPr>
            <w:tcW w:w="1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2"/>
                <w:szCs w:val="12"/>
                <w:color w:val="auto"/>
              </w:rPr>
              <w:t>&amp;</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Earnings (loss) before earnings (loss) attributable to noncontrolling interest</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375.6</w:t>
            </w:r>
          </w:p>
        </w:tc>
        <w:tc>
          <w:tcPr>
            <w:tcW w:w="8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nbsp;</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224.5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(183.2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3"/>
        </w:trPr>
        <w:tc>
          <w:tcPr>
            <w:tcW w:w="220" w:type="dxa"/>
            <w:vAlign w:val="bottom"/>
            <w:shd w:val="clear" w:color="auto" w:fill="CCEEFF"/>
          </w:tcPr>
          <w:p>
            <w:pPr>
              <w:spacing w:after="0"/>
              <w:rPr>
                <w:sz w:val="21"/>
                <w:szCs w:val="21"/>
                <w:color w:val="auto"/>
              </w:rPr>
            </w:pPr>
          </w:p>
        </w:tc>
        <w:tc>
          <w:tcPr>
            <w:tcW w:w="472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Earnings (loss) attributable to noncontrolling interest</w:t>
            </w: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tcBorders>
              <w:right w:val="single" w:sz="8" w:color="CCEEFF"/>
            </w:tcBorders>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5.5</w:t>
            </w:r>
          </w:p>
        </w:tc>
        <w:tc>
          <w:tcPr>
            <w:tcW w:w="80" w:type="dxa"/>
            <w:vAlign w:val="bottom"/>
            <w:shd w:val="clear" w:color="auto" w:fill="CCEEFF"/>
          </w:tcPr>
          <w:p>
            <w:pPr>
              <w:spacing w:after="0"/>
              <w:rPr>
                <w:sz w:val="21"/>
                <w:szCs w:val="21"/>
                <w:color w:val="auto"/>
              </w:rPr>
            </w:pPr>
          </w:p>
        </w:tc>
        <w:tc>
          <w:tcPr>
            <w:tcW w:w="36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&lt; /td&gt;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(4.2</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1"/>
        </w:trPr>
        <w:tc>
          <w:tcPr>
            <w:tcW w:w="220" w:type="dxa"/>
            <w:vAlign w:val="bottom"/>
            <w:shd w:val="clear" w:color="auto" w:fill="CCEEFF"/>
          </w:tcPr>
          <w:p>
            <w:pPr>
              <w:spacing w:after="0"/>
              <w:rPr>
                <w:sz w:val="7"/>
                <w:szCs w:val="7"/>
                <w:color w:val="auto"/>
              </w:rPr>
            </w:pPr>
          </w:p>
        </w:tc>
        <w:tc>
          <w:tcPr>
            <w:tcW w:w="4720" w:type="dxa"/>
            <w:vAlign w:val="bottom"/>
            <w:gridSpan w:val="2"/>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right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gridSpan w:val="2"/>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right w:val="single" w:sz="8" w:color="CCEEFF"/>
            </w:tcBorders>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gridSpan w:val="2"/>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2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Net earnings (loss) attributable to Fidelity National Financial, Inc. common shareholders</w:t>
            </w:r>
          </w:p>
        </w:tc>
        <w:tc>
          <w:tcPr>
            <w:tcW w:w="6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370.1</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222.3</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(179.0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Basic earnings (loss) per share</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0.99</w:t>
            </w:r>
          </w:p>
        </w:tc>
        <w:tc>
          <w:tcPr>
            <w:tcW w:w="1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3"/>
        </w:trPr>
        <w:tc>
          <w:tcPr>
            <w:tcW w:w="220" w:type="dxa"/>
            <w:vAlign w:val="bottom"/>
            <w:tcBorders>
              <w:top w:val="single" w:sz="8" w:color="CCEEFF"/>
              <w:bottom w:val="single" w:sz="8" w:color="CCEEFF"/>
            </w:tcBorders>
          </w:tcPr>
          <w:p>
            <w:pPr>
              <w:spacing w:after="0"/>
              <w:rPr>
                <w:sz w:val="17"/>
                <w:szCs w:val="17"/>
                <w:color w:val="auto"/>
              </w:rPr>
            </w:pPr>
          </w:p>
        </w:tc>
        <w:tc>
          <w:tcPr>
            <w:tcW w:w="4720" w:type="dxa"/>
            <w:vAlign w:val="bottom"/>
            <w:tcBorders>
              <w:top w:val="single" w:sz="8" w:color="CCEEFF"/>
              <w:bottom w:val="single" w:sz="8" w:color="CCEEFF"/>
            </w:tcBorders>
            <w:gridSpan w:val="2"/>
          </w:tcPr>
          <w:p>
            <w:pPr>
              <w:ind w:left="20"/>
              <w:spacing w:after="0"/>
              <w:rPr>
                <w:sz w:val="20"/>
                <w:szCs w:val="20"/>
                <w:color w:val="auto"/>
              </w:rPr>
            </w:pPr>
            <w:r>
              <w:rPr>
                <w:rFonts w:ascii="Arial" w:cs="Arial" w:eastAsia="Arial" w:hAnsi="Arial"/>
                <w:sz w:val="12"/>
                <w:szCs w:val="12"/>
                <w:color w:val="auto"/>
              </w:rPr>
              <w:t>Weighted average shares outstandin g, basic basis</w:t>
            </w:r>
          </w:p>
        </w:tc>
        <w:tc>
          <w:tcPr>
            <w:tcW w:w="66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rPr>
              <w:t>226.2</w:t>
            </w: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224.7</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CCEEFF"/>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210.0</w:t>
            </w:r>
          </w:p>
        </w:tc>
        <w:tc>
          <w:tcPr>
            <w:tcW w:w="1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Diluted earnings (loss) per share</w:t>
            </w: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1.61</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0.97</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Weighted average shares outstanding, diluted basis</w:t>
            </w: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229.3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228.5</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210.0</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20" w:type="dxa"/>
            <w:vAlign w:val="bottom"/>
            <w:tcBorders>
              <w:top w:val="single" w:sz="8" w:color="CCEEFF"/>
            </w:tcBorders>
            <w:shd w:val="clear" w:color="auto" w:fill="CCEEFF"/>
          </w:tcPr>
          <w:p>
            <w:pPr>
              <w:spacing w:after="0"/>
              <w:rPr>
                <w:sz w:val="14"/>
                <w:szCs w:val="14"/>
                <w:color w:val="auto"/>
              </w:rPr>
            </w:pPr>
          </w:p>
        </w:tc>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Retained (deficit) earnings, beginning of year</w:t>
            </w:r>
          </w:p>
        </w:tc>
        <w:tc>
          <w:tcPr>
            <w:tcW w:w="6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(102.4</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(188.9</w:t>
            </w:r>
          </w:p>
        </w:tc>
        <w:tc>
          <w:tcPr>
            <w:tcW w:w="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right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w w:val="98"/>
              </w:rPr>
              <w:t>)</w:t>
            </w:r>
          </w:p>
        </w:tc>
        <w:tc>
          <w:tcPr>
            <w:tcW w:w="300" w:type="dxa"/>
            <w:vAlign w:val="bottom"/>
            <w:tcBorders>
              <w:top w:val="single" w:sz="8" w:color="CCEEFF"/>
              <w:right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213.2</w:t>
            </w:r>
          </w:p>
        </w:tc>
        <w:tc>
          <w:tcPr>
            <w:tcW w:w="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Dividends declared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(157.4</w:t>
            </w:r>
          </w:p>
        </w:tc>
        <w:tc>
          <w:tcPr>
            <w:tcW w:w="8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(135.8</w:t>
            </w:r>
          </w:p>
        </w:tc>
        <w:tc>
          <w:tcPr>
            <w:tcW w:w="140" w:type="dxa"/>
            <w:vAlign w:val="bottom"/>
          </w:tcPr>
          <w:p>
            <w:pPr>
              <w:spacing w:after="0"/>
              <w:rPr>
                <w:sz w:val="14"/>
                <w:szCs w:val="14"/>
                <w:color w:val="auto"/>
              </w:rPr>
            </w:pPr>
          </w:p>
        </w:tc>
        <w:tc>
          <w:tcPr>
            <w:tcW w:w="160" w:type="dxa"/>
            <w:vAlign w:val="bottom"/>
          </w:tcPr>
          <w:p>
            <w:pPr>
              <w:jc w:val="right"/>
              <w:ind w:right="40"/>
              <w:spacing w:after="0"/>
              <w:rPr>
                <w:sz w:val="20"/>
                <w:szCs w:val="20"/>
                <w:color w:val="auto"/>
              </w:rPr>
            </w:pPr>
            <w:r>
              <w:rPr>
                <w:rFonts w:ascii="Arial" w:cs="Arial" w:eastAsia="Arial" w:hAnsi="Arial"/>
                <w:sz w:val="12"/>
                <w:szCs w:val="12"/>
                <w:color w:val="auto"/>
                <w:w w:val="98"/>
              </w:rPr>
              <w:t>)</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(223.1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earnings (loss) attributable to Fidelity National Financial, Inc. common shareholders</w:t>
            </w:r>
          </w:p>
        </w:tc>
        <w:tc>
          <w:tcPr>
            <w:tcW w:w="6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right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370.1</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222.3</w:t>
            </w:r>
          </w:p>
        </w:tc>
        <w:tc>
          <w:tcPr>
            <w:tcW w:w="1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Retained earnings (deficit), end of year</w:t>
            </w:r>
          </w:p>
        </w:tc>
        <w:tc>
          <w:tcPr>
            <w:tcW w:w="66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40"/>
              <w:spacing w:after="0"/>
              <w:rPr>
                <w:sz w:val="20"/>
                <w:szCs w:val="20"/>
                <w:color w:val="auto"/>
              </w:rPr>
            </w:pPr>
            <w:r>
              <w:rPr>
                <w:rFonts w:ascii="Arial" w:cs="Arial" w:eastAsia="Arial" w:hAnsi="Arial"/>
                <w:sz w:val="12"/>
                <w:szCs w:val="12"/>
                <w:color w:val="auto"/>
                <w:w w:val="79"/>
              </w:rPr>
              <w:t>110.3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(102.4</w:t>
            </w:r>
          </w:p>
        </w:tc>
        <w:tc>
          <w:tcPr>
            <w:tcW w:w="140" w:type="dxa"/>
            <w:vAlign w:val="bottom"/>
          </w:tcPr>
          <w:p>
            <w:pPr>
              <w:spacing w:after="0"/>
              <w:rPr>
                <w:sz w:val="15"/>
                <w:szCs w:val="15"/>
                <w:color w:val="auto"/>
              </w:rPr>
            </w:pPr>
          </w:p>
        </w:tc>
        <w:tc>
          <w:tcPr>
            <w:tcW w:w="160" w:type="dxa"/>
            <w:vAlign w:val="bottom"/>
          </w:tcPr>
          <w:p>
            <w:pPr>
              <w:jc w:val="right"/>
              <w:ind w:right="40"/>
              <w:spacing w:after="0"/>
              <w:rPr>
                <w:sz w:val="20"/>
                <w:szCs w:val="20"/>
                <w:color w:val="auto"/>
              </w:rPr>
            </w:pPr>
            <w:r>
              <w:rPr>
                <w:rFonts w:ascii="Arial" w:cs="Arial" w:eastAsia="Arial" w:hAnsi="Arial"/>
                <w:sz w:val="12"/>
                <w:szCs w:val="12"/>
                <w:color w:val="auto"/>
                <w:w w:val="98"/>
              </w:rPr>
              <w:t>)</w:t>
            </w:r>
          </w:p>
        </w:tc>
        <w:tc>
          <w:tcPr>
            <w:tcW w:w="300" w:type="dxa"/>
            <w:vAlign w:val="bottom"/>
          </w:tcPr>
          <w:p>
            <w:pPr>
              <w:spacing w:after="0"/>
              <w:rPr>
                <w:sz w:val="15"/>
                <w:szCs w:val="15"/>
                <w:color w:val="auto"/>
              </w:rPr>
            </w:pPr>
          </w:p>
        </w:tc>
        <w:tc>
          <w:tcPr>
            <w:tcW w:w="4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(188.9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900" w:type="dxa"/>
            <w:vAlign w:val="bottom"/>
            <w:gridSpan w:val="5"/>
          </w:tcPr>
          <w:p>
            <w:pPr>
              <w:jc w:val="center"/>
              <w:ind w:left="2760"/>
              <w:spacing w:after="0"/>
              <w:rPr>
                <w:sz w:val="20"/>
                <w:szCs w:val="20"/>
                <w:color w:val="auto"/>
              </w:rPr>
            </w:pPr>
            <w:r>
              <w:rPr>
                <w:rFonts w:ascii="Arial" w:cs="Arial" w:eastAsia="Arial" w:hAnsi="Arial"/>
                <w:sz w:val="12"/>
                <w:szCs w:val="12"/>
                <w:color w:val="auto"/>
                <w:w w:val="88"/>
              </w:rPr>
              <w:t>See Notes to Financial Statements and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340" w:type="dxa"/>
            <w:vAlign w:val="bottom"/>
            <w:gridSpan w:val="8"/>
          </w:tcPr>
          <w:p>
            <w:pPr>
              <w:jc w:val="center"/>
              <w:ind w:left="2300"/>
              <w:spacing w:after="0"/>
              <w:rPr>
                <w:sz w:val="20"/>
                <w:szCs w:val="20"/>
                <w:color w:val="auto"/>
              </w:rPr>
            </w:pPr>
            <w:r>
              <w:rPr>
                <w:rFonts w:ascii="Arial" w:cs="Arial" w:eastAsia="Arial" w:hAnsi="Arial"/>
                <w:sz w:val="12"/>
                <w:szCs w:val="12"/>
                <w:color w:val="auto"/>
                <w:w w:val="92"/>
              </w:rPr>
              <w:t>Accompanying Report of Independent Registered Public Accounting Firm</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60" w:type="dxa"/>
            <w:vAlign w:val="bottom"/>
          </w:tcPr>
          <w:p>
            <w:pPr>
              <w:jc w:val="center"/>
              <w:ind w:left="240"/>
              <w:spacing w:after="0"/>
              <w:rPr>
                <w:sz w:val="20"/>
                <w:szCs w:val="20"/>
                <w:color w:val="auto"/>
              </w:rPr>
            </w:pPr>
            <w:r>
              <w:rPr>
                <w:rFonts w:ascii="Arial" w:cs="Arial" w:eastAsia="Arial" w:hAnsi="Arial"/>
                <w:sz w:val="12"/>
                <w:szCs w:val="12"/>
                <w:color w:val="auto"/>
                <w:w w:val="89"/>
              </w:rPr>
              <w:t>93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900" w:type="dxa"/>
            <w:vAlign w:val="bottom"/>
            <w:gridSpan w:val="5"/>
          </w:tcPr>
          <w:p>
            <w:pPr>
              <w:jc w:val="right"/>
              <w:ind w:right="660"/>
              <w:spacing w:after="0"/>
              <w:rPr>
                <w:sz w:val="20"/>
                <w:szCs w:val="20"/>
                <w:color w:val="auto"/>
              </w:rPr>
            </w:pPr>
            <w:r>
              <w:rPr>
                <w:rFonts w:ascii="Arial" w:cs="Arial" w:eastAsia="Arial" w:hAnsi="Arial"/>
                <w:sz w:val="12"/>
                <w:szCs w:val="12"/>
                <w:color w:val="auto"/>
              </w:rPr>
              <w:t>&lt; hr style="page-break-after:always"&gt;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40" w:type="dxa"/>
            <w:vAlign w:val="bottom"/>
            <w:gridSpan w:val="3"/>
          </w:tcPr>
          <w:p>
            <w:pPr>
              <w:ind w:left="220"/>
              <w:spacing w:after="0" w:line="126" w:lineRule="exact"/>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b w:val="1"/>
                <w:bCs w:val="1"/>
                <w:color w:val="auto"/>
              </w:rPr>
              <w:t>SCHEDULE II</w:t>
            </w:r>
          </w:p>
        </w:tc>
        <w:tc>
          <w:tcPr>
            <w:tcW w:w="0" w:type="dxa"/>
            <w:vAlign w:val="bottom"/>
          </w:tcPr>
          <w:p>
            <w:pPr>
              <w:spacing w:after="0"/>
              <w:rPr>
                <w:sz w:val="1"/>
                <w:szCs w:val="1"/>
                <w:color w:val="auto"/>
              </w:rPr>
            </w:pPr>
          </w:p>
        </w:tc>
      </w:tr>
      <w:tr>
        <w:trPr>
          <w:trHeight w:val="275"/>
        </w:trPr>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900" w:type="dxa"/>
            <w:vAlign w:val="bottom"/>
            <w:gridSpan w:val="5"/>
          </w:tcPr>
          <w:p>
            <w:pPr>
              <w:jc w:val="center"/>
              <w:ind w:left="2740"/>
              <w:spacing w:after="0"/>
              <w:rPr>
                <w:sz w:val="20"/>
                <w:szCs w:val="20"/>
                <w:color w:val="auto"/>
              </w:rPr>
            </w:pPr>
            <w:r>
              <w:rPr>
                <w:rFonts w:ascii="Arial" w:cs="Arial" w:eastAsia="Arial" w:hAnsi="Arial"/>
                <w:sz w:val="12"/>
                <w:szCs w:val="12"/>
                <w:b w:val="1"/>
                <w:bCs w:val="1"/>
                <w:color w:val="auto"/>
              </w:rPr>
              <w:t>FIDELITY NATIONAL FINANCIAL, INC.</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2"/>
              </w:rPr>
              <w:t>(Parent Company)</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00" w:type="dxa"/>
            <w:vAlign w:val="bottom"/>
            <w:gridSpan w:val="5"/>
          </w:tcPr>
          <w:p>
            <w:pPr>
              <w:jc w:val="center"/>
              <w:ind w:left="2740"/>
              <w:spacing w:after="0"/>
              <w:rPr>
                <w:sz w:val="20"/>
                <w:szCs w:val="20"/>
                <w:color w:val="auto"/>
              </w:rPr>
            </w:pPr>
            <w:r>
              <w:rPr>
                <w:rFonts w:ascii="Arial" w:cs="Arial" w:eastAsia="Arial" w:hAnsi="Arial"/>
                <w:sz w:val="12"/>
                <w:szCs w:val="12"/>
                <w:b w:val="1"/>
                <w:bCs w:val="1"/>
                <w:color w:val="auto"/>
                <w:w w:val="98"/>
              </w:rPr>
              <w:t>STATEMENTS OF CASH FLOWS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p>
        </w:tc>
        <w:tc>
          <w:tcPr>
            <w:tcW w:w="7700" w:type="dxa"/>
            <w:vAlign w:val="bottom"/>
            <w:gridSpan w:val="14"/>
          </w:tcPr>
          <w:p>
            <w:pPr>
              <w:jc w:val="center"/>
              <w:ind w:left="940"/>
              <w:spacing w:after="0"/>
              <w:rPr>
                <w:sz w:val="20"/>
                <w:szCs w:val="20"/>
                <w:color w:val="auto"/>
              </w:rPr>
            </w:pPr>
            <w:r>
              <w:rPr>
                <w:rFonts w:ascii="Arial" w:cs="Arial" w:eastAsia="Arial" w:hAnsi="Arial"/>
                <w:sz w:val="12"/>
                <w:szCs w:val="12"/>
                <w:color w:val="auto"/>
                <w:w w:val="93"/>
              </w:rPr>
              <w:t>&lt; td style="vertical-align:bottom;padding-left:2px;padding-top:2px;padding-bottom:2px;border-bottom:3px double #000000;"&gt;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060" w:type="dxa"/>
            <w:vAlign w:val="bottom"/>
            <w:gridSpan w:val="2"/>
            <w:vMerge w:val="continue"/>
          </w:tcPr>
          <w:p>
            <w:pPr>
              <w:spacing w:after="0"/>
              <w:rPr>
                <w:sz w:val="12"/>
                <w:szCs w:val="12"/>
                <w:color w:val="auto"/>
              </w:rPr>
            </w:pPr>
          </w:p>
        </w:tc>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0"/>
                <w:szCs w:val="10"/>
                <w:b w:val="1"/>
                <w:bCs w:val="1"/>
                <w:color w:val="auto"/>
                <w:w w:val="86"/>
              </w:rPr>
              <w:t>Year Ended December 31,</w:t>
            </w:r>
          </w:p>
        </w:tc>
        <w:tc>
          <w:tcPr>
            <w:tcW w:w="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left="81"/>
              <w:spacing w:after="0"/>
              <w:rPr>
                <w:sz w:val="20"/>
                <w:szCs w:val="20"/>
                <w:color w:val="auto"/>
              </w:rPr>
            </w:pPr>
            <w:r>
              <w:rPr>
                <w:rFonts w:ascii="Arial" w:cs="Arial" w:eastAsia="Arial" w:hAnsi="Arial"/>
                <w:sz w:val="10"/>
                <w:szCs w:val="10"/>
                <w:b w:val="1"/>
                <w:bCs w:val="1"/>
                <w:color w:val="auto"/>
                <w:w w:val="89"/>
              </w:rPr>
              <w:t>2009</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9"/>
              </w:rPr>
              <w:t>(In millions)</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Net earnings (loss)</w:t>
            </w:r>
          </w:p>
        </w:tc>
        <w:tc>
          <w:tcPr>
            <w:tcW w:w="11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375.6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3"/>
          </w:tcPr>
          <w:p>
            <w:pPr>
              <w:jc w:val="right"/>
              <w:ind w:right="92"/>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224.5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(183.2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0"/>
              </w:rPr>
              <w:t>Adjustments to reconcile net earnings (loss) to net cash provided by (used in) operating activities:</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180"/>
              <w:spacing w:after="0"/>
              <w:rPr>
                <w:sz w:val="20"/>
                <w:szCs w:val="20"/>
                <w:color w:val="auto"/>
              </w:rPr>
            </w:pPr>
            <w:r>
              <w:rPr>
                <w:rFonts w:ascii="Arial" w:cs="Arial" w:eastAsia="Arial" w:hAnsi="Arial"/>
                <w:sz w:val="12"/>
                <w:szCs w:val="12"/>
                <w:color w:val="auto"/>
              </w:rPr>
              <w:t>Equity in (earnings) losses of subsidiaries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(363.9</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(275.1</w:t>
            </w: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142.4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Losses (gains) on sales of investments and other assets</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180"/>
              <w:spacing w:after="0"/>
              <w:rPr>
                <w:sz w:val="20"/>
                <w:szCs w:val="20"/>
                <w:color w:val="auto"/>
              </w:rPr>
            </w:pPr>
            <w:r>
              <w:rPr>
                <w:rFonts w:ascii="Arial" w:cs="Arial" w:eastAsia="Arial" w:hAnsi="Arial"/>
                <w:sz w:val="12"/>
                <w:szCs w:val="12"/>
                <w:color w:val="auto"/>
              </w:rPr>
              <w:t>Stock-based compensation cost</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2"/>
                <w:szCs w:val="12"/>
                <w:color w:val="auto"/>
              </w:rPr>
              <w:t>33.7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32.7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Tax benefit associated with the exercise of stock options</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180"/>
              <w:spacing w:after="0"/>
              <w:rPr>
                <w:sz w:val="20"/>
                <w:szCs w:val="20"/>
                <w:color w:val="auto"/>
              </w:rPr>
            </w:pPr>
            <w:r>
              <w:rPr>
                <w:rFonts w:ascii="Arial" w:cs="Arial" w:eastAsia="Arial" w:hAnsi="Arial"/>
                <w:sz w:val="12"/>
                <w:szCs w:val="12"/>
                <w:color w:val="auto"/>
              </w:rPr>
              <w:t>Net increase (decrease) in income taxes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159.1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138.3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(72.0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decrease (increase) in prepaid expenses and other assets</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4720" w:type="dxa"/>
            <w:vAlign w:val="bottom"/>
            <w:gridSpan w:val="2"/>
          </w:tcPr>
          <w:p>
            <w:pPr>
              <w:ind w:left="180"/>
              <w:spacing w:after="0"/>
              <w:rPr>
                <w:sz w:val="20"/>
                <w:szCs w:val="20"/>
                <w:color w:val="auto"/>
              </w:rPr>
            </w:pPr>
            <w:r>
              <w:rPr>
                <w:rFonts w:ascii="Arial" w:cs="Arial" w:eastAsia="Arial" w:hAnsi="Arial"/>
                <w:sz w:val="12"/>
                <w:szCs w:val="12"/>
                <w:color w:val="auto"/>
              </w:rPr>
              <w:t>Net increase (decrease) in accounts payable and other accrued liabilities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18.4</w:t>
            </w: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(6.3</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(32.9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8"/>
        </w:trPr>
        <w:tc>
          <w:tcPr>
            <w:tcW w:w="220" w:type="dxa"/>
            <w:vAlign w:val="bottom"/>
            <w:tcBorders>
              <w:top w:val="single" w:sz="8" w:color="CCEEFF"/>
            </w:tcBorders>
            <w:shd w:val="clear" w:color="auto" w:fill="CCEEFF"/>
          </w:tcPr>
          <w:p>
            <w:pPr>
              <w:spacing w:after="0"/>
              <w:rPr>
                <w:sz w:val="15"/>
                <w:szCs w:val="15"/>
                <w:color w:val="auto"/>
              </w:rPr>
            </w:pPr>
          </w:p>
        </w:tc>
        <w:tc>
          <w:tcPr>
            <w:tcW w:w="47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Net cash provided by (used in) operating activities</w:t>
            </w:r>
          </w:p>
        </w:tc>
        <w:tc>
          <w:tcPr>
            <w:tcW w:w="6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115.1</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124.5</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(120.6</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(proceeds) purchases of investments available for sale</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Net additions to investments in subsidiaries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2"/>
                <w:szCs w:val="12"/>
                <w:color w:val="auto"/>
              </w:rPr>
              <w:t>57.5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(purchases) proceeds from short-term investing activities</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50.3</w:t>
            </w: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(89.8</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Net (purchases) sales of property, equipment and other assets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(1.3</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Proceeds from the sale of Sedgwick CMS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193.6</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53.9</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20" w:type="dxa"/>
            <w:vAlign w:val="bottom"/>
            <w:tcBorders>
              <w:bottom w:val="single" w:sz="8" w:color="CCEEFF"/>
            </w:tcBorders>
          </w:tcPr>
          <w:p>
            <w:pPr>
              <w:spacing w:after="0"/>
              <w:rPr>
                <w:sz w:val="15"/>
                <w:szCs w:val="15"/>
                <w:color w:val="auto"/>
              </w:rPr>
            </w:pPr>
          </w:p>
        </w:tc>
        <w:tc>
          <w:tcPr>
            <w:tcW w:w="472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Net cash provided by (used in) investing activities</w:t>
            </w: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111.1</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220" w:type="dxa"/>
            <w:vAlign w:val="bottom"/>
            <w:shd w:val="clear" w:color="auto" w:fill="CCEEFF"/>
          </w:tcPr>
          <w:p>
            <w:pPr>
              <w:spacing w:after="0"/>
              <w:rPr>
                <w:sz w:val="14"/>
                <w:szCs w:val="14"/>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Borrowings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170.0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Equity offering</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33 1.4</w:t>
            </w:r>
          </w:p>
        </w:tc>
        <w:tc>
          <w:tcPr>
            <w:tcW w:w="1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Debt service payments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(509.2</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(264.9</w:t>
            </w: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(120.0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220" w:type="dxa"/>
            <w:vAlign w:val="bottom"/>
            <w:shd w:val="clear" w:color="auto" w:fill="CCEEFF"/>
          </w:tcPr>
          <w:p>
            <w:pPr>
              <w:spacing w:after="0"/>
              <w:rPr>
                <w:sz w:val="14"/>
                <w:szCs w:val="14"/>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Debt issuance costs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&lt; /td&gt;</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Dividends paid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(156.6</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(135.8</w:t>
            </w: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(223.1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(74.9</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(45.9</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Exercise of stock options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2"/>
                <w:szCs w:val="12"/>
                <w:color w:val="auto"/>
              </w:rPr>
              <w:t>19.4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5.3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CCEEFF"/>
          </w:tcPr>
          <w:p>
            <w:pPr>
              <w:spacing w:after="0"/>
              <w:rPr>
                <w:sz w:val="16"/>
                <w:szCs w:val="16"/>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Tax benefit associated with the exercise of stock options</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0" w:type="dxa"/>
            <w:vAlign w:val="bottom"/>
            <w:tcBorders>
              <w:bottom w:val="single" w:sz="8" w:color="CCEEFF"/>
            </w:tcBorders>
          </w:tcPr>
          <w:p>
            <w:pPr>
              <w:spacing w:after="0"/>
              <w:rPr>
                <w:sz w:val="14"/>
                <w:szCs w:val="14"/>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Net (payments) borrowings and dividends from subsidiaries</w:t>
            </w:r>
          </w:p>
        </w:tc>
        <w:tc>
          <w:tcPr>
            <w:tcW w:w="6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(5 8.3</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(113.2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357.8</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shd w:val="clear" w:color="auto" w:fill="CCEEFF"/>
          </w:tcPr>
          <w:p>
            <w:pPr>
              <w:spacing w:after="0"/>
              <w:rPr>
                <w:sz w:val="14"/>
                <w:szCs w:val="14"/>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cash (used in) provided by financing activities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(235.6</w:t>
            </w: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4720" w:type="dxa"/>
            <w:vAlign w:val="bottom"/>
            <w:gridSpan w:val="2"/>
          </w:tcPr>
          <w:p>
            <w:pPr>
              <w:ind w:left="20"/>
              <w:spacing w:after="0"/>
              <w:rPr>
                <w:sz w:val="20"/>
                <w:szCs w:val="20"/>
                <w:color w:val="auto"/>
              </w:rPr>
            </w:pPr>
            <w:r>
              <w:rPr>
                <w:rFonts w:ascii="Arial" w:cs="Arial" w:eastAsia="Arial" w:hAnsi="Arial"/>
                <w:sz w:val="12"/>
                <w:szCs w:val="12"/>
                <w:color w:val="auto"/>
              </w:rPr>
              <w:t>Net change in cash and cash equivalents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at beginning of year</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240" w:type="dxa"/>
        <w:tblCellMar>
          <w:top w:w="0" w:type="dxa"/>
          <w:left w:w="0" w:type="dxa"/>
          <w:bottom w:w="0" w:type="dxa"/>
          <w:right w:w="0" w:type="dxa"/>
        </w:tblCellMar>
      </w:tblPr>
      <w:tr>
        <w:trPr>
          <w:trHeight w:val="178"/>
        </w:trPr>
        <w:tc>
          <w:tcPr>
            <w:tcW w:w="2100" w:type="dxa"/>
            <w:vAlign w:val="bottom"/>
          </w:tcPr>
          <w:p>
            <w:pPr>
              <w:spacing w:after="0"/>
              <w:rPr>
                <w:sz w:val="20"/>
                <w:szCs w:val="20"/>
                <w:color w:val="auto"/>
              </w:rPr>
            </w:pPr>
            <w:r>
              <w:rPr>
                <w:rFonts w:ascii="Arial" w:cs="Arial" w:eastAsia="Arial" w:hAnsi="Arial"/>
                <w:sz w:val="12"/>
                <w:szCs w:val="12"/>
                <w:color w:val="auto"/>
              </w:rPr>
              <w:t>Cash at end of year</w:t>
            </w:r>
          </w:p>
        </w:tc>
        <w:tc>
          <w:tcPr>
            <w:tcW w:w="3460" w:type="dxa"/>
            <w:vAlign w:val="bottom"/>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r>
      <w:tr>
        <w:trPr>
          <w:trHeight w:val="135"/>
        </w:trPr>
        <w:tc>
          <w:tcPr>
            <w:tcW w:w="2100" w:type="dxa"/>
            <w:vAlign w:val="bottom"/>
          </w:tcPr>
          <w:p>
            <w:pPr>
              <w:spacing w:after="0"/>
              <w:rPr>
                <w:sz w:val="11"/>
                <w:szCs w:val="11"/>
                <w:color w:val="auto"/>
              </w:rPr>
            </w:pPr>
          </w:p>
        </w:tc>
        <w:tc>
          <w:tcPr>
            <w:tcW w:w="4580" w:type="dxa"/>
            <w:vAlign w:val="bottom"/>
            <w:gridSpan w:val="2"/>
          </w:tcPr>
          <w:p>
            <w:pPr>
              <w:jc w:val="center"/>
              <w:ind w:left="1520"/>
              <w:spacing w:after="0" w:line="136" w:lineRule="exact"/>
              <w:rPr>
                <w:sz w:val="20"/>
                <w:szCs w:val="20"/>
                <w:color w:val="auto"/>
              </w:rPr>
            </w:pPr>
            <w:r>
              <w:rPr>
                <w:rFonts w:ascii="Arial" w:cs="Arial" w:eastAsia="Arial" w:hAnsi="Arial"/>
                <w:sz w:val="12"/>
                <w:szCs w:val="12"/>
                <w:color w:val="auto"/>
                <w:w w:val="88"/>
              </w:rPr>
              <w:t>See Notes to Financial Statements and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3"/>
        </w:trPr>
        <w:tc>
          <w:tcPr>
            <w:tcW w:w="2100" w:type="dxa"/>
            <w:vAlign w:val="bottom"/>
          </w:tcPr>
          <w:p>
            <w:pPr>
              <w:spacing w:after="0"/>
              <w:rPr>
                <w:sz w:val="13"/>
                <w:szCs w:val="13"/>
                <w:color w:val="auto"/>
              </w:rPr>
            </w:pPr>
          </w:p>
        </w:tc>
        <w:tc>
          <w:tcPr>
            <w:tcW w:w="5040" w:type="dxa"/>
            <w:vAlign w:val="bottom"/>
            <w:gridSpan w:val="4"/>
          </w:tcPr>
          <w:p>
            <w:pPr>
              <w:jc w:val="center"/>
              <w:ind w:left="1040"/>
              <w:spacing w:after="0"/>
              <w:rPr>
                <w:sz w:val="20"/>
                <w:szCs w:val="20"/>
                <w:color w:val="auto"/>
              </w:rPr>
            </w:pPr>
            <w:r>
              <w:rPr>
                <w:rFonts w:ascii="Arial" w:cs="Arial" w:eastAsia="Arial" w:hAnsi="Arial"/>
                <w:sz w:val="12"/>
                <w:szCs w:val="12"/>
                <w:color w:val="auto"/>
                <w:w w:val="91"/>
              </w:rPr>
              <w:t>See Accompanying Report of Independent Registered Public Accounting Firm</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135" w:lineRule="exact"/>
        <w:rPr>
          <w:sz w:val="20"/>
          <w:szCs w:val="20"/>
          <w:color w:val="auto"/>
        </w:rPr>
      </w:pPr>
    </w:p>
    <w:p>
      <w:pPr>
        <w:sectPr>
          <w:pgSz w:w="11900" w:h="16838" w:orient="portrait"/>
          <w:cols w:equalWidth="0" w:num="1">
            <w:col w:w="10620"/>
          </w:cols>
          <w:pgMar w:left="1080" w:top="131" w:right="199" w:bottom="0" w:gutter="0" w:footer="0" w:header="0"/>
        </w:sectPr>
      </w:pPr>
    </w:p>
    <w:p>
      <w:pPr>
        <w:jc w:val="center"/>
        <w:ind w:left="1100"/>
        <w:spacing w:after="0"/>
        <w:rPr>
          <w:sz w:val="20"/>
          <w:szCs w:val="20"/>
          <w:color w:val="auto"/>
        </w:rPr>
      </w:pPr>
      <w:r>
        <w:rPr>
          <w:rFonts w:ascii="Arial" w:cs="Arial" w:eastAsia="Arial" w:hAnsi="Arial"/>
          <w:sz w:val="10"/>
          <w:szCs w:val="10"/>
          <w:color w:val="auto"/>
        </w:rPr>
        <w:t>94</w:t>
      </w:r>
    </w:p>
    <w:p>
      <w:pPr>
        <w:sectPr>
          <w:pgSz w:w="11900" w:h="16838" w:orient="portrait"/>
          <w:cols w:equalWidth="0" w:num="1">
            <w:col w:w="10620"/>
          </w:cols>
          <w:pgMar w:left="1080" w:top="131" w:right="199" w:bottom="0" w:gutter="0" w:footer="0" w:header="0"/>
          <w:type w:val="continuous"/>
        </w:sectPr>
      </w:pPr>
    </w:p>
    <w:bookmarkStart w:id="94" w:name="page95"/>
    <w:bookmarkEnd w:id="94"/>
    <w:p>
      <w:pPr>
        <w:ind w:left="223"/>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SCHEDULE II</w:t>
      </w:r>
    </w:p>
    <w:p>
      <w:pPr>
        <w:spacing w:after="0" w:line="150"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FIDELITY NATIONAL FINANCIAL, INC.</w:t>
      </w:r>
    </w:p>
    <w:p>
      <w:pPr>
        <w:spacing w:after="0" w:line="19"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(Parent Company)</w:t>
      </w:r>
    </w:p>
    <w:p>
      <w:pPr>
        <w:spacing w:after="0" w:line="137"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NOTES TO FINANCIAL STATEMENTS</w:t>
      </w:r>
    </w:p>
    <w:p>
      <w:pPr>
        <w:spacing w:after="0" w:line="150" w:lineRule="exact"/>
        <w:rPr>
          <w:sz w:val="20"/>
          <w:szCs w:val="20"/>
          <w:color w:val="auto"/>
        </w:rPr>
      </w:pPr>
    </w:p>
    <w:p>
      <w:pPr>
        <w:jc w:val="center"/>
        <w:ind w:left="1080"/>
        <w:spacing w:after="0"/>
        <w:tabs>
          <w:tab w:leader="none" w:pos="100" w:val="left"/>
        </w:tabs>
        <w:rPr>
          <w:sz w:val="20"/>
          <w:szCs w:val="20"/>
          <w:color w:val="auto"/>
        </w:rPr>
      </w:pPr>
      <w:r>
        <w:rPr>
          <w:rFonts w:ascii="Arial" w:cs="Arial" w:eastAsia="Arial" w:hAnsi="Arial"/>
          <w:sz w:val="12"/>
          <w:szCs w:val="12"/>
          <w:b w:val="1"/>
          <w:bCs w:val="1"/>
          <w:color w:val="auto"/>
        </w:rPr>
        <w:t>A.</w:t>
      </w:r>
      <w:r>
        <w:rPr>
          <w:sz w:val="20"/>
          <w:szCs w:val="20"/>
          <w:color w:val="auto"/>
        </w:rPr>
        <w:tab/>
      </w:r>
      <w:r>
        <w:rPr>
          <w:rFonts w:ascii="Arial" w:cs="Arial" w:eastAsia="Arial" w:hAnsi="Arial"/>
          <w:sz w:val="10"/>
          <w:szCs w:val="10"/>
          <w:b w:val="1"/>
          <w:bCs w:val="1"/>
          <w:color w:val="auto"/>
        </w:rPr>
        <w:t>Summary of Significant Accounting Policies</w:t>
      </w:r>
    </w:p>
    <w:p>
      <w:pPr>
        <w:spacing w:after="0" w:line="154" w:lineRule="exact"/>
        <w:rPr>
          <w:sz w:val="20"/>
          <w:szCs w:val="20"/>
          <w:color w:val="auto"/>
        </w:rPr>
      </w:pPr>
    </w:p>
    <w:p>
      <w:pPr>
        <w:ind w:left="3" w:right="20" w:firstLine="180"/>
        <w:spacing w:after="0" w:line="276" w:lineRule="auto"/>
        <w:rPr>
          <w:sz w:val="20"/>
          <w:szCs w:val="20"/>
          <w:color w:val="auto"/>
        </w:rPr>
      </w:pPr>
      <w:r>
        <w:rPr>
          <w:rFonts w:ascii="Arial" w:cs="Arial" w:eastAsia="Arial" w:hAnsi="Arial"/>
          <w:sz w:val="12"/>
          <w:szCs w:val="12"/>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 Certain reclassifications have been made in the 2009 presentation to conform to the classifications used in 2010.</w:t>
      </w:r>
    </w:p>
    <w:p>
      <w:pPr>
        <w:spacing w:after="0" w:line="111" w:lineRule="exact"/>
        <w:rPr>
          <w:sz w:val="20"/>
          <w:szCs w:val="20"/>
          <w:color w:val="auto"/>
        </w:rPr>
      </w:pPr>
    </w:p>
    <w:p>
      <w:pPr>
        <w:ind w:left="3"/>
        <w:spacing w:after="0"/>
        <w:tabs>
          <w:tab w:leader="none" w:pos="203" w:val="left"/>
        </w:tabs>
        <w:rPr>
          <w:sz w:val="20"/>
          <w:szCs w:val="20"/>
          <w:color w:val="auto"/>
        </w:rPr>
      </w:pPr>
      <w:r>
        <w:rPr>
          <w:rFonts w:ascii="Arial" w:cs="Arial" w:eastAsia="Arial" w:hAnsi="Arial"/>
          <w:sz w:val="12"/>
          <w:szCs w:val="12"/>
          <w:b w:val="1"/>
          <w:bCs w:val="1"/>
          <w:color w:val="auto"/>
        </w:rPr>
        <w:t>B.</w:t>
      </w:r>
      <w:r>
        <w:rPr>
          <w:sz w:val="20"/>
          <w:szCs w:val="20"/>
          <w:color w:val="auto"/>
        </w:rPr>
        <w:tab/>
      </w:r>
      <w:r>
        <w:rPr>
          <w:rFonts w:ascii="Arial" w:cs="Arial" w:eastAsia="Arial" w:hAnsi="Arial"/>
          <w:sz w:val="10"/>
          <w:szCs w:val="10"/>
          <w:b w:val="1"/>
          <w:bCs w:val="1"/>
          <w:color w:val="auto"/>
        </w:rPr>
        <w:t>Notes Payable</w:t>
      </w:r>
    </w:p>
    <w:p>
      <w:pPr>
        <w:spacing w:after="0" w:line="226" w:lineRule="exact"/>
        <w:rPr>
          <w:sz w:val="20"/>
          <w:szCs w:val="20"/>
          <w:color w:val="auto"/>
        </w:rPr>
      </w:pPr>
    </w:p>
    <w:p>
      <w:pPr>
        <w:ind w:left="223"/>
        <w:spacing w:after="0"/>
        <w:rPr>
          <w:sz w:val="20"/>
          <w:szCs w:val="20"/>
          <w:color w:val="auto"/>
        </w:rPr>
      </w:pPr>
      <w:r>
        <w:rPr>
          <w:rFonts w:ascii="Arial" w:cs="Arial" w:eastAsia="Arial" w:hAnsi="Arial"/>
          <w:sz w:val="12"/>
          <w:szCs w:val="12"/>
          <w:color w:val="auto"/>
        </w:rPr>
        <w:t>Notes payable consist of the following:</w:t>
      </w:r>
    </w:p>
    <w:p>
      <w:pPr>
        <w:spacing w:after="0" w:line="109" w:lineRule="exact"/>
        <w:rPr>
          <w:sz w:val="20"/>
          <w:szCs w:val="20"/>
          <w:color w:val="auto"/>
        </w:rPr>
      </w:pPr>
    </w:p>
    <w:tbl>
      <w:tblPr>
        <w:tblLayout w:type="fixed"/>
        <w:tblInd w:w="3"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December 31,</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2010</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2009</w:t>
            </w:r>
          </w:p>
        </w:tc>
        <w:tc>
          <w:tcPr>
            <w:tcW w:w="0" w:type="dxa"/>
            <w:vAlign w:val="bottom"/>
          </w:tcPr>
          <w:p>
            <w:pPr>
              <w:spacing w:after="0"/>
              <w:rPr>
                <w:sz w:val="1"/>
                <w:szCs w:val="1"/>
                <w:color w:val="auto"/>
              </w:rPr>
            </w:pPr>
          </w:p>
        </w:tc>
      </w:tr>
      <w:tr>
        <w:trPr>
          <w:trHeight w:val="124"/>
        </w:trPr>
        <w:tc>
          <w:tcPr>
            <w:tcW w:w="7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w w:val="92"/>
              </w:rPr>
              <w:t>(Dollars in millions)</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Unsecured notes, net of discount, interest payable semi-annually at 6.60%, due May 2017</w:t>
            </w:r>
          </w:p>
        </w:tc>
        <w:tc>
          <w:tcPr>
            <w:tcW w:w="5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299.7</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7600" w:type="dxa"/>
            <w:vAlign w:val="bottom"/>
          </w:tcPr>
          <w:p>
            <w:pPr>
              <w:ind w:left="240"/>
              <w:spacing w:after="0"/>
              <w:rPr>
                <w:sz w:val="20"/>
                <w:szCs w:val="20"/>
                <w:color w:val="auto"/>
              </w:rPr>
            </w:pPr>
            <w:r>
              <w:rPr>
                <w:rFonts w:ascii="Arial" w:cs="Arial" w:eastAsia="Arial" w:hAnsi="Arial"/>
                <w:sz w:val="12"/>
                <w:szCs w:val="12"/>
                <w:color w:val="auto"/>
              </w:rPr>
              <w:t>Unsecured notes, net of discount, interest payable semi-annually at 5.25%, due March 2013</w:t>
            </w:r>
          </w:p>
        </w:tc>
        <w:tc>
          <w:tcPr>
            <w:tcW w:w="5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236.2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202"/>
              <w:spacing w:after="0"/>
              <w:rPr>
                <w:sz w:val="20"/>
                <w:szCs w:val="20"/>
                <w:color w:val="auto"/>
              </w:rPr>
            </w:pPr>
            <w:r>
              <w:rPr>
                <w:rFonts w:ascii="Arial" w:cs="Arial" w:eastAsia="Arial" w:hAnsi="Arial"/>
                <w:sz w:val="12"/>
                <w:szCs w:val="12"/>
                <w:color w:val="auto"/>
              </w:rPr>
              <w:t>245.2</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Unsecured notes, net of discount, interest payable semi-annually at 7.30%, due August 2011</w:t>
            </w:r>
          </w:p>
        </w:tc>
        <w:tc>
          <w:tcPr>
            <w:tcW w:w="5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165.6</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165.5</w:t>
            </w:r>
          </w:p>
        </w:tc>
        <w:tc>
          <w:tcPr>
            <w:tcW w:w="0" w:type="dxa"/>
            <w:vAlign w:val="bottom"/>
          </w:tcPr>
          <w:p>
            <w:pPr>
              <w:spacing w:after="0"/>
              <w:rPr>
                <w:sz w:val="1"/>
                <w:szCs w:val="1"/>
                <w:color w:val="auto"/>
              </w:rPr>
            </w:pPr>
          </w:p>
        </w:tc>
      </w:tr>
      <w:tr>
        <w:trPr>
          <w:trHeight w:val="153"/>
        </w:trPr>
        <w:tc>
          <w:tcPr>
            <w:tcW w:w="7600" w:type="dxa"/>
            <w:vAlign w:val="bottom"/>
          </w:tcPr>
          <w:p>
            <w:pPr>
              <w:ind w:left="240"/>
              <w:spacing w:after="0"/>
              <w:rPr>
                <w:sz w:val="20"/>
                <w:szCs w:val="20"/>
                <w:color w:val="auto"/>
              </w:rPr>
            </w:pPr>
            <w:r>
              <w:rPr>
                <w:rFonts w:ascii="Arial" w:cs="Arial" w:eastAsia="Arial" w:hAnsi="Arial"/>
                <w:sz w:val="12"/>
                <w:szCs w:val="12"/>
                <w:color w:val="auto"/>
                <w:w w:val="94"/>
              </w:rPr>
              <w:t>Syndicated credit agreement, unsecured, unused portion of $701.2 million at December 31, 2010, composed of $6.9 million due October 2011 with</w:t>
            </w: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600" w:type="dxa"/>
            <w:vAlign w:val="bottom"/>
          </w:tcPr>
          <w:p>
            <w:pPr>
              <w:ind w:left="20"/>
              <w:spacing w:after="0"/>
              <w:rPr>
                <w:sz w:val="20"/>
                <w:szCs w:val="20"/>
                <w:color w:val="auto"/>
              </w:rPr>
            </w:pPr>
            <w:r>
              <w:rPr>
                <w:rFonts w:ascii="Arial" w:cs="Arial" w:eastAsia="Arial" w:hAnsi="Arial"/>
                <w:sz w:val="12"/>
                <w:szCs w:val="12"/>
                <w:color w:val="auto"/>
                <w:w w:val="92"/>
              </w:rPr>
              <w:t>interest payable monthly at LIBOR plus 0.475% (0.74% at December 31, 2010) and $243.1 million due March 2013 with interest payable monthly at LIBOR</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20"/>
              <w:spacing w:after="0"/>
              <w:rPr>
                <w:sz w:val="20"/>
                <w:szCs w:val="20"/>
                <w:color w:val="auto"/>
              </w:rPr>
            </w:pPr>
            <w:r>
              <w:rPr>
                <w:rFonts w:ascii="Arial" w:cs="Arial" w:eastAsia="Arial" w:hAnsi="Arial"/>
                <w:sz w:val="12"/>
                <w:szCs w:val="12"/>
                <w:color w:val="auto"/>
              </w:rPr>
              <w:t>plus 1.50% (1.76% at December 31, 2010)</w:t>
            </w:r>
          </w:p>
        </w:tc>
        <w:tc>
          <w:tcPr>
            <w:tcW w:w="5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250.0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202"/>
              <w:spacing w:after="0"/>
              <w:rPr>
                <w:sz w:val="20"/>
                <w:szCs w:val="20"/>
                <w:color w:val="auto"/>
              </w:rPr>
            </w:pPr>
            <w:r>
              <w:rPr>
                <w:rFonts w:ascii="Arial" w:cs="Arial" w:eastAsia="Arial" w:hAnsi="Arial"/>
                <w:sz w:val="12"/>
                <w:szCs w:val="12"/>
                <w:color w:val="auto"/>
              </w:rPr>
              <w:t>400.0</w:t>
            </w:r>
          </w:p>
        </w:tc>
        <w:tc>
          <w:tcPr>
            <w:tcW w:w="0" w:type="dxa"/>
            <w:vAlign w:val="bottom"/>
          </w:tcPr>
          <w:p>
            <w:pPr>
              <w:spacing w:after="0"/>
              <w:rPr>
                <w:sz w:val="1"/>
                <w:szCs w:val="1"/>
                <w:color w:val="auto"/>
              </w:rPr>
            </w:pPr>
          </w:p>
        </w:tc>
      </w:tr>
      <w:tr>
        <w:trPr>
          <w:trHeight w:val="171"/>
        </w:trPr>
        <w:tc>
          <w:tcPr>
            <w:tcW w:w="7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Subordinated note payable to LFG Liquidation Trust, interest payable annually</w:t>
            </w:r>
          </w:p>
        </w:tc>
        <w:tc>
          <w:tcPr>
            <w:tcW w:w="5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02"/>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53"/>
        </w:trPr>
        <w:tc>
          <w:tcPr>
            <w:tcW w:w="76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600" w:type="dxa"/>
            <w:vAlign w:val="bottom"/>
          </w:tcPr>
          <w:p>
            <w:pPr>
              <w:spacing w:after="0"/>
              <w:rPr>
                <w:sz w:val="16"/>
                <w:szCs w:val="16"/>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951.5</w:t>
            </w:r>
          </w:p>
        </w:tc>
        <w:tc>
          <w:tcPr>
            <w:tcW w:w="2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860.7</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463" w:hanging="241"/>
        <w:spacing w:after="0"/>
        <w:tabs>
          <w:tab w:leader="none" w:pos="4463"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Supplemental Cash Flow Information</w:t>
      </w:r>
    </w:p>
    <w:p>
      <w:pPr>
        <w:spacing w:after="0" w:line="113" w:lineRule="exact"/>
        <w:rPr>
          <w:sz w:val="20"/>
          <w:szCs w:val="20"/>
          <w:color w:val="auto"/>
        </w:rPr>
      </w:pPr>
    </w:p>
    <w:p>
      <w:pPr>
        <w:ind w:left="7983"/>
        <w:spacing w:after="0"/>
        <w:rPr>
          <w:sz w:val="20"/>
          <w:szCs w:val="20"/>
          <w:color w:val="auto"/>
        </w:rPr>
      </w:pPr>
      <w:r>
        <w:rPr>
          <w:rFonts w:ascii="Arial" w:cs="Arial" w:eastAsia="Arial" w:hAnsi="Arial"/>
          <w:sz w:val="10"/>
          <w:szCs w:val="10"/>
          <w:b w:val="1"/>
          <w:bCs w:val="1"/>
          <w:color w:val="auto"/>
        </w:rPr>
        <w:t>Year Ended December 31,</w:t>
      </w:r>
    </w:p>
    <w:p>
      <w:pPr>
        <w:spacing w:after="0" w:line="9" w:lineRule="exact"/>
        <w:rPr>
          <w:sz w:val="20"/>
          <w:szCs w:val="20"/>
          <w:color w:val="auto"/>
        </w:rPr>
      </w:pPr>
    </w:p>
    <w:tbl>
      <w:tblPr>
        <w:tblLayout w:type="fixed"/>
        <w:tblInd w:w="243" w:type="dxa"/>
        <w:tblCellMar>
          <w:top w:w="0" w:type="dxa"/>
          <w:left w:w="0" w:type="dxa"/>
          <w:bottom w:w="0" w:type="dxa"/>
          <w:right w:w="0" w:type="dxa"/>
        </w:tblCellMar>
      </w:tblPr>
      <w:tr>
        <w:trPr>
          <w:trHeight w:val="159"/>
        </w:trPr>
        <w:tc>
          <w:tcPr>
            <w:tcW w:w="59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sp;</w:t>
            </w:r>
          </w:p>
        </w:tc>
        <w:tc>
          <w:tcPr>
            <w:tcW w:w="720" w:type="dxa"/>
            <w:vAlign w:val="bottom"/>
            <w:tcBorders>
              <w:top w:val="single" w:sz="8" w:color="auto"/>
            </w:tcBorders>
          </w:tcPr>
          <w:p>
            <w:pPr>
              <w:jc w:val="right"/>
              <w:ind w:right="420"/>
              <w:spacing w:after="0"/>
              <w:rPr>
                <w:sz w:val="20"/>
                <w:szCs w:val="20"/>
                <w:color w:val="auto"/>
              </w:rPr>
            </w:pPr>
            <w:r>
              <w:rPr>
                <w:rFonts w:ascii="Arial" w:cs="Arial" w:eastAsia="Arial" w:hAnsi="Arial"/>
                <w:sz w:val="12"/>
                <w:szCs w:val="12"/>
                <w:color w:val="auto"/>
              </w:rPr>
              <w:t>&amp;nb</w:t>
            </w: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2010</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rPr>
              <w:t>2009</w:t>
            </w:r>
          </w:p>
        </w:tc>
        <w:tc>
          <w:tcPr>
            <w:tcW w:w="38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2008</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0"/>
              </w:rPr>
              <w:t>(Dollars in millions)</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960" w:type="dxa"/>
            <w:vAlign w:val="bottom"/>
          </w:tcPr>
          <w:p>
            <w:pPr>
              <w:spacing w:after="0"/>
              <w:rPr>
                <w:sz w:val="20"/>
                <w:szCs w:val="20"/>
                <w:color w:val="auto"/>
              </w:rPr>
            </w:pPr>
            <w:r>
              <w:rPr>
                <w:rFonts w:ascii="Arial" w:cs="Arial" w:eastAsia="Arial" w:hAnsi="Arial"/>
                <w:sz w:val="12"/>
                <w:szCs w:val="12"/>
                <w:color w:val="auto"/>
              </w:rPr>
              <w:t>Cash paid (received) durin g the year:</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960" w:type="dxa"/>
            <w:vAlign w:val="bottom"/>
          </w:tcPr>
          <w:p>
            <w:pPr>
              <w:spacing w:after="0"/>
              <w:rPr>
                <w:sz w:val="20"/>
                <w:szCs w:val="20"/>
                <w:color w:val="auto"/>
              </w:rPr>
            </w:pPr>
            <w:r>
              <w:rPr>
                <w:rFonts w:ascii="Arial" w:cs="Arial" w:eastAsia="Arial" w:hAnsi="Arial"/>
                <w:sz w:val="12"/>
                <w:szCs w:val="12"/>
                <w:color w:val="auto"/>
              </w:rPr>
              <w:t>Interest paid</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324"/>
              <w:spacing w:after="0"/>
              <w:rPr>
                <w:sz w:val="20"/>
                <w:szCs w:val="20"/>
                <w:color w:val="auto"/>
              </w:rPr>
            </w:pPr>
            <w:r>
              <w:rPr>
                <w:rFonts w:ascii="Arial" w:cs="Arial" w:eastAsia="Arial" w:hAnsi="Arial"/>
                <w:sz w:val="12"/>
                <w:szCs w:val="12"/>
                <w:color w:val="auto"/>
              </w:rPr>
              <w:t>49.2</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6"/>
              <w:spacing w:after="0"/>
              <w:rPr>
                <w:sz w:val="20"/>
                <w:szCs w:val="20"/>
                <w:color w:val="auto"/>
              </w:rPr>
            </w:pPr>
            <w:r>
              <w:rPr>
                <w:rFonts w:ascii="Arial" w:cs="Arial" w:eastAsia="Arial" w:hAnsi="Arial"/>
                <w:sz w:val="12"/>
                <w:szCs w:val="12"/>
                <w:color w:val="auto"/>
              </w:rPr>
              <w:t>40.6</w:t>
            </w:r>
          </w:p>
        </w:tc>
        <w:tc>
          <w:tcPr>
            <w:tcW w:w="380" w:type="dxa"/>
            <w:vAlign w:val="bottom"/>
          </w:tcPr>
          <w:p>
            <w:pPr>
              <w:spacing w:after="0"/>
              <w:rPr>
                <w:sz w:val="17"/>
                <w:szCs w:val="17"/>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4"/>
              <w:spacing w:after="0"/>
              <w:rPr>
                <w:sz w:val="20"/>
                <w:szCs w:val="20"/>
                <w:color w:val="auto"/>
              </w:rPr>
            </w:pPr>
            <w:r>
              <w:rPr>
                <w:rFonts w:ascii="Arial" w:cs="Arial" w:eastAsia="Arial" w:hAnsi="Arial"/>
                <w:sz w:val="12"/>
                <w:szCs w:val="12"/>
                <w:color w:val="auto"/>
              </w:rPr>
              <w:t>50.3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20"/>
                <w:szCs w:val="20"/>
                <w:color w:val="auto"/>
              </w:rPr>
            </w:pPr>
            <w:r>
              <w:rPr>
                <w:rFonts w:ascii="Arial" w:cs="Arial" w:eastAsia="Arial" w:hAnsi="Arial"/>
                <w:sz w:val="12"/>
                <w:szCs w:val="12"/>
                <w:color w:val="auto"/>
              </w:rPr>
              <w:t>Income tax payments (refunds)</w:t>
            </w:r>
          </w:p>
        </w:tc>
        <w:tc>
          <w:tcPr>
            <w:tcW w:w="460" w:type="dxa"/>
            <w:vAlign w:val="bottom"/>
          </w:tcPr>
          <w:p>
            <w:pPr>
              <w:spacing w:after="0"/>
              <w:rPr>
                <w:sz w:val="14"/>
                <w:szCs w:val="14"/>
                <w:color w:val="auto"/>
              </w:rPr>
            </w:pPr>
          </w:p>
        </w:tc>
        <w:tc>
          <w:tcPr>
            <w:tcW w:w="900" w:type="dxa"/>
            <w:vAlign w:val="bottom"/>
          </w:tcPr>
          <w:p>
            <w:pPr>
              <w:jc w:val="right"/>
              <w:ind w:right="324"/>
              <w:spacing w:after="0"/>
              <w:rPr>
                <w:sz w:val="20"/>
                <w:szCs w:val="20"/>
                <w:color w:val="auto"/>
              </w:rPr>
            </w:pPr>
            <w:r>
              <w:rPr>
                <w:rFonts w:ascii="Arial" w:cs="Arial" w:eastAsia="Arial" w:hAnsi="Arial"/>
                <w:sz w:val="12"/>
                <w:szCs w:val="12"/>
                <w:color w:val="auto"/>
              </w:rPr>
              <w:t>33.8</w:t>
            </w:r>
          </w:p>
        </w:tc>
        <w:tc>
          <w:tcPr>
            <w:tcW w:w="5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2"/>
                <w:szCs w:val="12"/>
                <w:color w:val="auto"/>
              </w:rPr>
              <w:t>(2.5</w:t>
            </w:r>
          </w:p>
        </w:tc>
        <w:tc>
          <w:tcPr>
            <w:tcW w:w="38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4"/>
                <w:szCs w:val="14"/>
                <w:color w:val="auto"/>
              </w:rPr>
            </w:pPr>
          </w:p>
        </w:tc>
        <w:tc>
          <w:tcPr>
            <w:tcW w:w="540" w:type="dxa"/>
            <w:vAlign w:val="bottom"/>
          </w:tcPr>
          <w:p>
            <w:pPr>
              <w:jc w:val="right"/>
              <w:ind w:right="44"/>
              <w:spacing w:after="0"/>
              <w:rPr>
                <w:sz w:val="20"/>
                <w:szCs w:val="20"/>
                <w:color w:val="auto"/>
              </w:rPr>
            </w:pPr>
            <w:r>
              <w:rPr>
                <w:rFonts w:ascii="Arial" w:cs="Arial" w:eastAsia="Arial" w:hAnsi="Arial"/>
                <w:sz w:val="12"/>
                <w:szCs w:val="12"/>
                <w:color w:val="auto"/>
              </w:rPr>
              <w:t>(37.4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3" w:firstLine="216"/>
        <w:spacing w:after="0" w:line="259" w:lineRule="auto"/>
        <w:rPr>
          <w:sz w:val="20"/>
          <w:szCs w:val="20"/>
          <w:color w:val="auto"/>
        </w:rPr>
      </w:pPr>
      <w:r>
        <w:rPr>
          <w:rFonts w:ascii="Arial" w:cs="Arial" w:eastAsia="Arial" w:hAnsi="Arial"/>
          <w:sz w:val="12"/>
          <w:szCs w:val="12"/>
          <w:color w:val="auto"/>
        </w:rPr>
        <w:t>On December 22, 2008 we, along with two of our subsidiaries, Chicago Title Insurance Company and Fidelity National Title&amp;nbs p;Insurance Company (“FNTIC’’), completed the acquisition of certain title insurance subsidiaries from LandAmerica Financial Group, Inc. (“LFG”). The purchase price of one of these subsidiaries, Lawyers Title Insurance Corporation (“Lawyers”), included a $50 million subordinated note from us, which was paid in full during 2010 (see note B), and $50 million of our common stock (3,176,620 shares valued at $15.74 per share at the time of closing). Immediately subsequent to the acquisition, we contributed our ownership interest in Lawyers to FNTIC.</w:t>
      </w:r>
    </w:p>
    <w:p>
      <w:pPr>
        <w:spacing w:after="0" w:line="121" w:lineRule="exact"/>
        <w:rPr>
          <w:sz w:val="20"/>
          <w:szCs w:val="20"/>
          <w:color w:val="auto"/>
        </w:rPr>
      </w:pPr>
    </w:p>
    <w:p>
      <w:pPr>
        <w:ind w:left="263" w:hanging="263"/>
        <w:spacing w:after="0"/>
        <w:tabs>
          <w:tab w:leader="none" w:pos="263"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Cash Dividends Received</w:t>
      </w:r>
    </w:p>
    <w:p>
      <w:pPr>
        <w:spacing w:after="0" w:line="154" w:lineRule="exact"/>
        <w:rPr>
          <w:sz w:val="20"/>
          <w:szCs w:val="20"/>
          <w:color w:val="auto"/>
        </w:rPr>
      </w:pPr>
    </w:p>
    <w:p>
      <w:pPr>
        <w:ind w:left="183"/>
        <w:spacing w:after="0"/>
        <w:rPr>
          <w:sz w:val="20"/>
          <w:szCs w:val="20"/>
          <w:color w:val="auto"/>
        </w:rPr>
      </w:pPr>
      <w:r>
        <w:rPr>
          <w:rFonts w:ascii="Arial" w:cs="Arial" w:eastAsia="Arial" w:hAnsi="Arial"/>
          <w:sz w:val="12"/>
          <w:szCs w:val="12"/>
          <w:color w:val="auto"/>
        </w:rPr>
        <w:t>We have received cash dividends from subsidiaries and affiliates of $0.3 billion, $0.2 billion, and $0.2 billion during the years ended December 31, 2010, 2009, and 2008, respectively.</w:t>
      </w:r>
    </w:p>
    <w:p>
      <w:pPr>
        <w:spacing w:after="0" w:line="150" w:lineRule="exact"/>
        <w:rPr>
          <w:sz w:val="20"/>
          <w:szCs w:val="20"/>
          <w:color w:val="auto"/>
        </w:rPr>
      </w:pPr>
    </w:p>
    <w:p>
      <w:pPr>
        <w:jc w:val="center"/>
        <w:ind w:left="1080"/>
        <w:spacing w:after="0"/>
        <w:rPr>
          <w:sz w:val="20"/>
          <w:szCs w:val="20"/>
          <w:color w:val="auto"/>
        </w:rPr>
      </w:pPr>
      <w:r>
        <w:rPr>
          <w:rFonts w:ascii="Arial" w:cs="Arial" w:eastAsia="Arial" w:hAnsi="Arial"/>
          <w:sz w:val="12"/>
          <w:szCs w:val="12"/>
          <w:color w:val="auto"/>
        </w:rPr>
        <w:t>See Accompanying Report of Independent Registered Public Accounting Firm</w:t>
      </w:r>
    </w:p>
    <w:p>
      <w:pPr>
        <w:spacing w:after="0" w:line="294" w:lineRule="exact"/>
        <w:rPr>
          <w:sz w:val="20"/>
          <w:szCs w:val="20"/>
          <w:color w:val="auto"/>
        </w:rPr>
      </w:pPr>
    </w:p>
    <w:p>
      <w:pPr>
        <w:jc w:val="center"/>
        <w:ind w:left="10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623"/>
          </w:cols>
          <w:pgMar w:left="1077" w:top="131" w:right="199" w:bottom="1440" w:gutter="0" w:footer="0" w:header="0"/>
        </w:sectPr>
      </w:pPr>
    </w:p>
    <w:bookmarkStart w:id="95" w:name="page96"/>
    <w:bookmarkEnd w:id="95"/>
    <w:p>
      <w:pPr>
        <w:ind w:left="2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 nts</w:t>
        </w:r>
      </w:hyperlink>
    </w:p>
    <w:p>
      <w:pPr>
        <w:spacing w:after="0" w:line="14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SCHEDULE V</w:t>
      </w:r>
    </w:p>
    <w:p>
      <w:pPr>
        <w:spacing w:after="0" w:line="150"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FIDELITY NATIONAL FINANCIAL, INC. AND SUBSIDIARIES</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VALUATION AND QUALIFYING ACCOUNTS</w:t>
      </w:r>
    </w:p>
    <w:p>
      <w:pPr>
        <w:spacing w:after="0" w:line="137"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Years Ended December 31, 2010, 2009 and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12"/>
              <w:spacing w:after="0"/>
              <w:rPr>
                <w:sz w:val="20"/>
                <w:szCs w:val="20"/>
                <w:color w:val="auto"/>
              </w:rPr>
            </w:pPr>
            <w:r>
              <w:rPr>
                <w:rFonts w:ascii="Arial" w:cs="Arial" w:eastAsia="Arial" w:hAnsi="Arial"/>
                <w:sz w:val="10"/>
                <w:szCs w:val="10"/>
                <w:b w:val="1"/>
                <w:bCs w:val="1"/>
                <w:color w:val="auto"/>
                <w:w w:val="88"/>
              </w:rPr>
              <w:t>Column C</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85"/>
              <w:spacing w:after="0"/>
              <w:rPr>
                <w:sz w:val="20"/>
                <w:szCs w:val="20"/>
                <w:color w:val="auto"/>
              </w:rPr>
            </w:pPr>
            <w:r>
              <w:rPr>
                <w:rFonts w:ascii="Arial" w:cs="Arial" w:eastAsia="Arial" w:hAnsi="Arial"/>
                <w:sz w:val="10"/>
                <w:szCs w:val="10"/>
                <w:b w:val="1"/>
                <w:bCs w:val="1"/>
                <w:color w:val="auto"/>
                <w:w w:val="88"/>
              </w:rPr>
              <w:t>Column B</w:t>
            </w: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0"/>
                <w:szCs w:val="10"/>
                <w:b w:val="1"/>
                <w:bCs w:val="1"/>
                <w:color w:val="auto"/>
                <w:w w:val="86"/>
              </w:rPr>
              <w:t>Additions</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25"/>
              <w:spacing w:after="0"/>
              <w:rPr>
                <w:sz w:val="20"/>
                <w:szCs w:val="20"/>
                <w:color w:val="auto"/>
              </w:rPr>
            </w:pPr>
            <w:r>
              <w:rPr>
                <w:rFonts w:ascii="Arial" w:cs="Arial" w:eastAsia="Arial" w:hAnsi="Arial"/>
                <w:sz w:val="10"/>
                <w:szCs w:val="10"/>
                <w:b w:val="1"/>
                <w:bCs w:val="1"/>
                <w:color w:val="auto"/>
                <w:w w:val="89"/>
              </w:rPr>
              <w:t>Column E</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3"/>
              </w:rPr>
              <w:t>Balance at</w:t>
            </w:r>
          </w:p>
        </w:tc>
        <w:tc>
          <w:tcPr>
            <w:tcW w:w="380" w:type="dxa"/>
            <w:vAlign w:val="bottom"/>
          </w:tcPr>
          <w:p>
            <w:pPr>
              <w:spacing w:after="0"/>
              <w:rPr>
                <w:sz w:val="14"/>
                <w:szCs w:val="14"/>
                <w:color w:val="auto"/>
              </w:rPr>
            </w:pPr>
          </w:p>
        </w:tc>
        <w:tc>
          <w:tcPr>
            <w:tcW w:w="780" w:type="dxa"/>
            <w:vAlign w:val="bottom"/>
          </w:tcPr>
          <w:p>
            <w:pPr>
              <w:jc w:val="right"/>
              <w:ind w:right="223"/>
              <w:spacing w:after="0"/>
              <w:rPr>
                <w:sz w:val="20"/>
                <w:szCs w:val="20"/>
                <w:color w:val="auto"/>
              </w:rPr>
            </w:pPr>
            <w:r>
              <w:rPr>
                <w:rFonts w:ascii="Arial" w:cs="Arial" w:eastAsia="Arial" w:hAnsi="Arial"/>
                <w:sz w:val="10"/>
                <w:szCs w:val="10"/>
                <w:b w:val="1"/>
                <w:bCs w:val="1"/>
                <w:color w:val="auto"/>
              </w:rPr>
              <w:t>Charge to</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124"/>
              <w:spacing w:after="0"/>
              <w:rPr>
                <w:sz w:val="20"/>
                <w:szCs w:val="20"/>
                <w:color w:val="auto"/>
              </w:rPr>
            </w:pPr>
            <w:r>
              <w:rPr>
                <w:rFonts w:ascii="Arial" w:cs="Arial" w:eastAsia="Arial" w:hAnsi="Arial"/>
                <w:sz w:val="10"/>
                <w:szCs w:val="10"/>
                <w:b w:val="1"/>
                <w:bCs w:val="1"/>
                <w:color w:val="auto"/>
                <w:w w:val="88"/>
              </w:rPr>
              <w:t>Column D</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center"/>
              <w:ind w:right="125"/>
              <w:spacing w:after="0"/>
              <w:rPr>
                <w:sz w:val="20"/>
                <w:szCs w:val="20"/>
                <w:color w:val="auto"/>
              </w:rPr>
            </w:pPr>
            <w:r>
              <w:rPr>
                <w:rFonts w:ascii="Arial" w:cs="Arial" w:eastAsia="Arial" w:hAnsi="Arial"/>
                <w:sz w:val="10"/>
                <w:szCs w:val="10"/>
                <w:b w:val="1"/>
                <w:bCs w:val="1"/>
                <w:color w:val="auto"/>
                <w:w w:val="83"/>
              </w:rPr>
              <w:t>Balance at</w:t>
            </w:r>
          </w:p>
        </w:tc>
        <w:tc>
          <w:tcPr>
            <w:tcW w:w="0" w:type="dxa"/>
            <w:vAlign w:val="bottom"/>
          </w:tcPr>
          <w:p>
            <w:pPr>
              <w:spacing w:after="0"/>
              <w:rPr>
                <w:sz w:val="1"/>
                <w:szCs w:val="1"/>
                <w:color w:val="auto"/>
              </w:rPr>
            </w:pPr>
          </w:p>
        </w:tc>
      </w:tr>
      <w:tr>
        <w:trPr>
          <w:trHeight w:val="137"/>
        </w:trPr>
        <w:tc>
          <w:tcPr>
            <w:tcW w:w="240" w:type="dxa"/>
            <w:vAlign w:val="bottom"/>
          </w:tcPr>
          <w:p>
            <w:pPr>
              <w:spacing w:after="0"/>
              <w:rPr>
                <w:sz w:val="11"/>
                <w:szCs w:val="1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4"/>
              </w:rPr>
              <w:t>Column A</w:t>
            </w: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5"/>
              </w:rPr>
              <w:t>Beginning of</w:t>
            </w:r>
          </w:p>
        </w:tc>
        <w:tc>
          <w:tcPr>
            <w:tcW w:w="1160" w:type="dxa"/>
            <w:vAlign w:val="bottom"/>
            <w:gridSpan w:val="2"/>
          </w:tcPr>
          <w:p>
            <w:pPr>
              <w:ind w:left="220"/>
              <w:spacing w:after="0"/>
              <w:rPr>
                <w:sz w:val="20"/>
                <w:szCs w:val="20"/>
                <w:color w:val="auto"/>
              </w:rPr>
            </w:pPr>
            <w:r>
              <w:rPr>
                <w:rFonts w:ascii="Arial" w:cs="Arial" w:eastAsia="Arial" w:hAnsi="Arial"/>
                <w:sz w:val="10"/>
                <w:szCs w:val="10"/>
                <w:b w:val="1"/>
                <w:bCs w:val="1"/>
                <w:color w:val="auto"/>
              </w:rPr>
              <w:t>Costs and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jc w:val="center"/>
              <w:ind w:left="143"/>
              <w:spacing w:after="0"/>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jc w:val="center"/>
              <w:ind w:left="124"/>
              <w:spacing w:after="0"/>
              <w:rPr>
                <w:sz w:val="20"/>
                <w:szCs w:val="20"/>
                <w:color w:val="auto"/>
              </w:rPr>
            </w:pPr>
            <w:r>
              <w:rPr>
                <w:rFonts w:ascii="Arial" w:cs="Arial" w:eastAsia="Arial" w:hAnsi="Arial"/>
                <w:sz w:val="10"/>
                <w:szCs w:val="10"/>
                <w:b w:val="1"/>
                <w:bCs w:val="1"/>
                <w:color w:val="auto"/>
                <w:w w:val="88"/>
              </w:rPr>
              <w:t>Deductio n</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jc w:val="center"/>
              <w:ind w:right="125"/>
              <w:spacing w:after="0"/>
              <w:rPr>
                <w:sz w:val="20"/>
                <w:szCs w:val="20"/>
                <w:color w:val="auto"/>
              </w:rPr>
            </w:pPr>
            <w:r>
              <w:rPr>
                <w:rFonts w:ascii="Arial" w:cs="Arial" w:eastAsia="Arial" w:hAnsi="Arial"/>
                <w:sz w:val="10"/>
                <w:szCs w:val="10"/>
                <w:b w:val="1"/>
                <w:bCs w:val="1"/>
                <w:color w:val="auto"/>
                <w:w w:val="83"/>
              </w:rPr>
              <w:t>End of</w:t>
            </w:r>
          </w:p>
        </w:tc>
        <w:tc>
          <w:tcPr>
            <w:tcW w:w="0" w:type="dxa"/>
            <w:vAlign w:val="bottom"/>
          </w:tcPr>
          <w:p>
            <w:pPr>
              <w:spacing w:after="0"/>
              <w:rPr>
                <w:sz w:val="1"/>
                <w:szCs w:val="1"/>
                <w:color w:val="auto"/>
              </w:rPr>
            </w:pPr>
          </w:p>
        </w:tc>
      </w:tr>
      <w:tr>
        <w:trPr>
          <w:trHeight w:val="183"/>
        </w:trPr>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Description</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Period</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Expenses</w:t>
            </w:r>
          </w:p>
        </w:tc>
        <w:tc>
          <w:tcPr>
            <w:tcW w:w="2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left="143"/>
              <w:spacing w:after="0"/>
              <w:rPr>
                <w:sz w:val="20"/>
                <w:szCs w:val="20"/>
                <w:color w:val="auto"/>
              </w:rPr>
            </w:pPr>
            <w:r>
              <w:rPr>
                <w:rFonts w:ascii="Arial" w:cs="Arial" w:eastAsia="Arial" w:hAnsi="Arial"/>
                <w:sz w:val="10"/>
                <w:szCs w:val="10"/>
                <w:b w:val="1"/>
                <w:bCs w:val="1"/>
                <w:color w:val="auto"/>
                <w:w w:val="83"/>
              </w:rPr>
              <w:t>(Described)</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left="124"/>
              <w:spacing w:after="0"/>
              <w:rPr>
                <w:sz w:val="20"/>
                <w:szCs w:val="20"/>
                <w:color w:val="auto"/>
              </w:rPr>
            </w:pPr>
            <w:r>
              <w:rPr>
                <w:rFonts w:ascii="Arial" w:cs="Arial" w:eastAsia="Arial" w:hAnsi="Arial"/>
                <w:sz w:val="10"/>
                <w:szCs w:val="10"/>
                <w:b w:val="1"/>
                <w:bCs w:val="1"/>
                <w:color w:val="auto"/>
                <w:w w:val="83"/>
              </w:rPr>
              <w:t>(Described)</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45"/>
              <w:spacing w:after="0"/>
              <w:rPr>
                <w:sz w:val="20"/>
                <w:szCs w:val="20"/>
                <w:color w:val="auto"/>
              </w:rPr>
            </w:pPr>
            <w:r>
              <w:rPr>
                <w:rFonts w:ascii="Arial" w:cs="Arial" w:eastAsia="Arial" w:hAnsi="Arial"/>
                <w:sz w:val="10"/>
                <w:szCs w:val="10"/>
                <w:b w:val="1"/>
                <w:bCs w:val="1"/>
                <w:color w:val="auto"/>
                <w:w w:val="89"/>
              </w:rPr>
              <w:t>Period</w:t>
            </w: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0"/>
                <w:szCs w:val="10"/>
                <w:b w:val="1"/>
                <w:bCs w:val="1"/>
                <w:color w:val="auto"/>
              </w:rPr>
              <w:t>(Dollars in millions)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6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w w:val="98"/>
              </w:rPr>
              <w:t>Year ended December 31, 2010:</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2"/>
                <w:szCs w:val="12"/>
                <w:color w:val="auto"/>
              </w:rPr>
              <w:t>Reserve for claim losses</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5"/>
              <w:spacing w:after="0"/>
              <w:rPr>
                <w:sz w:val="20"/>
                <w:szCs w:val="20"/>
                <w:color w:val="auto"/>
              </w:rPr>
            </w:pPr>
            <w:r>
              <w:rPr>
                <w:rFonts w:ascii="Arial" w:cs="Arial" w:eastAsia="Arial" w:hAnsi="Arial"/>
                <w:sz w:val="12"/>
                <w:szCs w:val="12"/>
                <w:color w:val="auto"/>
              </w:rPr>
              <w:t>2,541.4</w:t>
            </w:r>
          </w:p>
        </w:tc>
        <w:tc>
          <w:tcPr>
            <w:tcW w:w="30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3"/>
              <w:spacing w:after="0"/>
              <w:rPr>
                <w:sz w:val="20"/>
                <w:szCs w:val="20"/>
                <w:color w:val="auto"/>
              </w:rPr>
            </w:pPr>
            <w:r>
              <w:rPr>
                <w:rFonts w:ascii="Arial" w:cs="Arial" w:eastAsia="Arial" w:hAnsi="Arial"/>
                <w:sz w:val="12"/>
                <w:szCs w:val="12"/>
                <w:color w:val="auto"/>
              </w:rPr>
              <w:t>402.9</w:t>
            </w:r>
          </w:p>
        </w:tc>
        <w:tc>
          <w:tcPr>
            <w:tcW w:w="800" w:type="dxa"/>
            <w:vAlign w:val="bottom"/>
            <w:gridSpan w:val="2"/>
          </w:tcPr>
          <w:p>
            <w:pPr>
              <w:jc w:val="right"/>
              <w:ind w:right="17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04"/>
              <w:spacing w:after="0"/>
              <w:rPr>
                <w:sz w:val="20"/>
                <w:szCs w:val="20"/>
                <w:color w:val="auto"/>
              </w:rPr>
            </w:pPr>
            <w:r>
              <w:rPr>
                <w:rFonts w:ascii="Arial" w:cs="Arial" w:eastAsia="Arial" w:hAnsi="Arial"/>
                <w:sz w:val="12"/>
                <w:szCs w:val="12"/>
                <w:color w:val="auto"/>
              </w:rPr>
              <w:t>671.6</w:t>
            </w:r>
          </w:p>
        </w:tc>
        <w:tc>
          <w:tcPr>
            <w:tcW w:w="18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5"/>
              <w:spacing w:after="0"/>
              <w:rPr>
                <w:sz w:val="20"/>
                <w:szCs w:val="20"/>
                <w:color w:val="auto"/>
              </w:rPr>
            </w:pPr>
            <w:r>
              <w:rPr>
                <w:rFonts w:ascii="Arial" w:cs="Arial" w:eastAsia="Arial" w:hAnsi="Arial"/>
                <w:sz w:val="12"/>
                <w:szCs w:val="12"/>
                <w:color w:val="auto"/>
              </w:rPr>
              <w:t>2,272.7</w:t>
            </w:r>
          </w:p>
        </w:tc>
        <w:tc>
          <w:tcPr>
            <w:tcW w:w="0" w:type="dxa"/>
            <w:vAlign w:val="bottom"/>
          </w:tcPr>
          <w:p>
            <w:pPr>
              <w:spacing w:after="0"/>
              <w:rPr>
                <w:sz w:val="1"/>
                <w:szCs w:val="1"/>
                <w:color w:val="auto"/>
              </w:rPr>
            </w:pPr>
          </w:p>
        </w:tc>
      </w:tr>
      <w:tr>
        <w:trPr>
          <w:trHeight w:val="162"/>
        </w:trPr>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Allowance on trade and notes</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receivables</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85"/>
              <w:spacing w:after="0"/>
              <w:rPr>
                <w:sz w:val="20"/>
                <w:szCs w:val="20"/>
                <w:color w:val="auto"/>
              </w:rPr>
            </w:pPr>
            <w:r>
              <w:rPr>
                <w:rFonts w:ascii="Arial" w:cs="Arial" w:eastAsia="Arial" w:hAnsi="Arial"/>
                <w:sz w:val="12"/>
                <w:szCs w:val="12"/>
                <w:color w:val="auto"/>
              </w:rPr>
              <w:t>29.5</w:t>
            </w: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11.0</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11.7</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(2)</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28.8</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Year ended December 31, 2009:</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2"/>
                <w:szCs w:val="12"/>
                <w:color w:val="auto"/>
              </w:rPr>
              <w:t>Reserve for claim losses</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85"/>
              <w:spacing w:after="0"/>
              <w:rPr>
                <w:sz w:val="20"/>
                <w:szCs w:val="20"/>
                <w:color w:val="auto"/>
              </w:rPr>
            </w:pPr>
            <w:r>
              <w:rPr>
                <w:rFonts w:ascii="Arial" w:cs="Arial" w:eastAsia="Arial" w:hAnsi="Arial"/>
                <w:sz w:val="12"/>
                <w:szCs w:val="12"/>
                <w:color w:val="auto"/>
              </w:rPr>
              <w:t>2,738.6</w:t>
            </w:r>
          </w:p>
        </w:tc>
        <w:tc>
          <w:tcPr>
            <w:tcW w:w="30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3"/>
              <w:spacing w:after="0"/>
              <w:rPr>
                <w:sz w:val="20"/>
                <w:szCs w:val="20"/>
                <w:color w:val="auto"/>
              </w:rPr>
            </w:pPr>
            <w:r>
              <w:rPr>
                <w:rFonts w:ascii="Arial" w:cs="Arial" w:eastAsia="Arial" w:hAnsi="Arial"/>
                <w:sz w:val="12"/>
                <w:szCs w:val="12"/>
                <w:color w:val="auto"/>
              </w:rPr>
              <w:t>329.4</w:t>
            </w:r>
          </w:p>
        </w:tc>
        <w:tc>
          <w:tcPr>
            <w:tcW w:w="800" w:type="dxa"/>
            <w:vAlign w:val="bottom"/>
            <w:gridSpan w:val="2"/>
          </w:tcPr>
          <w:p>
            <w:pPr>
              <w:jc w:val="right"/>
              <w:ind w:right="17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(3.1</w:t>
            </w:r>
          </w:p>
        </w:tc>
        <w:tc>
          <w:tcPr>
            <w:tcW w:w="8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04"/>
              <w:spacing w:after="0"/>
              <w:rPr>
                <w:sz w:val="20"/>
                <w:szCs w:val="20"/>
                <w:color w:val="auto"/>
              </w:rPr>
            </w:pPr>
            <w:r>
              <w:rPr>
                <w:rFonts w:ascii="Arial" w:cs="Arial" w:eastAsia="Arial" w:hAnsi="Arial"/>
                <w:sz w:val="12"/>
                <w:szCs w:val="12"/>
                <w:color w:val="auto"/>
              </w:rPr>
              <w:t>523.5</w:t>
            </w:r>
          </w:p>
        </w:tc>
        <w:tc>
          <w:tcPr>
            <w:tcW w:w="18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05"/>
              <w:spacing w:after="0"/>
              <w:rPr>
                <w:sz w:val="20"/>
                <w:szCs w:val="20"/>
                <w:color w:val="auto"/>
              </w:rPr>
            </w:pPr>
            <w:r>
              <w:rPr>
                <w:rFonts w:ascii="Arial" w:cs="Arial" w:eastAsia="Arial" w:hAnsi="Arial"/>
                <w:sz w:val="12"/>
                <w:szCs w:val="12"/>
                <w:color w:val="auto"/>
              </w:rPr>
              <w:t>2,541.4</w:t>
            </w:r>
          </w:p>
        </w:tc>
        <w:tc>
          <w:tcPr>
            <w:tcW w:w="0" w:type="dxa"/>
            <w:vAlign w:val="bottom"/>
          </w:tcPr>
          <w:p>
            <w:pPr>
              <w:spacing w:after="0"/>
              <w:rPr>
                <w:sz w:val="1"/>
                <w:szCs w:val="1"/>
                <w:color w:val="auto"/>
              </w:rPr>
            </w:pPr>
          </w:p>
        </w:tc>
      </w:tr>
      <w:tr>
        <w:trPr>
          <w:trHeight w:val="162"/>
        </w:trPr>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Allowance on trade and notes</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receivables</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85"/>
              <w:spacing w:after="0"/>
              <w:rPr>
                <w:sz w:val="20"/>
                <w:szCs w:val="20"/>
                <w:color w:val="auto"/>
              </w:rPr>
            </w:pPr>
            <w:r>
              <w:rPr>
                <w:rFonts w:ascii="Arial" w:cs="Arial" w:eastAsia="Arial" w:hAnsi="Arial"/>
                <w:sz w:val="12"/>
                <w:szCs w:val="12"/>
                <w:color w:val="auto"/>
              </w:rPr>
              <w:t>32.6</w:t>
            </w: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5.7</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9.4</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(2)</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05"/>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89"/>
        </w:trPr>
        <w:tc>
          <w:tcPr>
            <w:tcW w:w="24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Year ended December 31, 2008:</w:t>
            </w: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720" w:type="dxa"/>
            <w:vAlign w:val="bottom"/>
            <w:gridSpan w:val="2"/>
            <w:vMerge w:val="restart"/>
          </w:tcPr>
          <w:p>
            <w:pPr>
              <w:spacing w:after="0"/>
              <w:rPr>
                <w:sz w:val="20"/>
                <w:szCs w:val="20"/>
                <w:color w:val="auto"/>
              </w:rPr>
            </w:pPr>
            <w:r>
              <w:rPr>
                <w:rFonts w:ascii="Arial" w:cs="Arial" w:eastAsia="Arial" w:hAnsi="Arial"/>
                <w:sz w:val="12"/>
                <w:szCs w:val="12"/>
                <w:color w:val="auto"/>
              </w:rPr>
              <w:t>Reserve for claim losses</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85"/>
              <w:spacing w:after="0"/>
              <w:rPr>
                <w:sz w:val="20"/>
                <w:szCs w:val="20"/>
                <w:color w:val="auto"/>
              </w:rPr>
            </w:pPr>
            <w:r>
              <w:rPr>
                <w:rFonts w:ascii="Arial" w:cs="Arial" w:eastAsia="Arial" w:hAnsi="Arial"/>
                <w:sz w:val="12"/>
                <w:szCs w:val="12"/>
                <w:color w:val="auto"/>
              </w:rPr>
              <w:t>1,419.9</w:t>
            </w:r>
          </w:p>
        </w:tc>
        <w:tc>
          <w:tcPr>
            <w:tcW w:w="300" w:type="dxa"/>
            <w:vAlign w:val="bottom"/>
          </w:tcPr>
          <w:p>
            <w:pPr>
              <w:spacing w:after="0"/>
              <w:rPr>
                <w:sz w:val="14"/>
                <w:szCs w:val="14"/>
                <w:color w:val="auto"/>
              </w:rPr>
            </w:pPr>
          </w:p>
        </w:tc>
        <w:tc>
          <w:tcPr>
            <w:tcW w:w="380" w:type="dxa"/>
            <w:vAlign w:val="bottom"/>
            <w:vMerge w:val="restart"/>
          </w:tcPr>
          <w:p>
            <w:pPr>
              <w:ind w:left="220"/>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203"/>
              <w:spacing w:after="0"/>
              <w:rPr>
                <w:sz w:val="20"/>
                <w:szCs w:val="20"/>
                <w:color w:val="auto"/>
              </w:rPr>
            </w:pPr>
            <w:r>
              <w:rPr>
                <w:rFonts w:ascii="Arial" w:cs="Arial" w:eastAsia="Arial" w:hAnsi="Arial"/>
                <w:sz w:val="12"/>
                <w:szCs w:val="12"/>
                <w:color w:val="auto"/>
              </w:rPr>
              <w:t>630.4</w:t>
            </w:r>
          </w:p>
        </w:tc>
        <w:tc>
          <w:tcPr>
            <w:tcW w:w="800" w:type="dxa"/>
            <w:vAlign w:val="bottom"/>
            <w:gridSpan w:val="2"/>
            <w:vMerge w:val="restart"/>
          </w:tcPr>
          <w:p>
            <w:pPr>
              <w:jc w:val="right"/>
              <w:ind w:right="172"/>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1,115.8</w:t>
            </w:r>
          </w:p>
        </w:tc>
        <w:tc>
          <w:tcPr>
            <w:tcW w:w="8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04"/>
              <w:spacing w:after="0"/>
              <w:rPr>
                <w:sz w:val="20"/>
                <w:szCs w:val="20"/>
                <w:color w:val="auto"/>
              </w:rPr>
            </w:pPr>
            <w:r>
              <w:rPr>
                <w:rFonts w:ascii="Arial" w:cs="Arial" w:eastAsia="Arial" w:hAnsi="Arial"/>
                <w:sz w:val="12"/>
                <w:szCs w:val="12"/>
                <w:color w:val="auto"/>
              </w:rPr>
              <w:t>427.5</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w w:val="93"/>
              </w:rPr>
              <w:t>1)</w:t>
            </w: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4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205"/>
              <w:spacing w:after="0"/>
              <w:rPr>
                <w:sz w:val="20"/>
                <w:szCs w:val="20"/>
                <w:color w:val="auto"/>
              </w:rPr>
            </w:pPr>
            <w:r>
              <w:rPr>
                <w:rFonts w:ascii="Arial" w:cs="Arial" w:eastAsia="Arial" w:hAnsi="Arial"/>
                <w:sz w:val="12"/>
                <w:szCs w:val="12"/>
                <w:color w:val="auto"/>
              </w:rPr>
              <w:t>2,738.6</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Allowance on t rade and notes</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receivables</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85"/>
              <w:spacing w:after="0"/>
              <w:rPr>
                <w:sz w:val="20"/>
                <w:szCs w:val="20"/>
                <w:color w:val="auto"/>
              </w:rPr>
            </w:pPr>
            <w:r>
              <w:rPr>
                <w:rFonts w:ascii="Arial" w:cs="Arial" w:eastAsia="Arial" w:hAnsi="Arial"/>
                <w:sz w:val="12"/>
                <w:szCs w:val="12"/>
                <w:color w:val="auto"/>
              </w:rPr>
              <w:t>13.1</w:t>
            </w: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9.9</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6.0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(2)</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15.3</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05"/>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5"/>
          </w:tcPr>
          <w:p>
            <w:pPr>
              <w:jc w:val="center"/>
              <w:ind w:left="263"/>
              <w:spacing w:after="0"/>
              <w:rPr>
                <w:sz w:val="20"/>
                <w:szCs w:val="20"/>
                <w:color w:val="auto"/>
              </w:rPr>
            </w:pPr>
            <w:r>
              <w:rPr>
                <w:rFonts w:ascii="Arial" w:cs="Arial" w:eastAsia="Arial" w:hAnsi="Arial"/>
                <w:sz w:val="12"/>
                <w:szCs w:val="12"/>
                <w:color w:val="auto"/>
                <w:w w:val="89"/>
              </w:rPr>
              <w:t>____________________________</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900" w:hanging="471"/>
        <w:spacing w:after="0"/>
        <w:tabs>
          <w:tab w:leader="none" w:pos="9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Represents payments of claim losses, net of recoupments.</w:t>
      </w:r>
    </w:p>
    <w:p>
      <w:pPr>
        <w:spacing w:after="0" w:line="14" w:lineRule="exact"/>
        <w:rPr>
          <w:rFonts w:ascii="Arial" w:cs="Arial" w:eastAsia="Arial" w:hAnsi="Arial"/>
          <w:sz w:val="12"/>
          <w:szCs w:val="12"/>
          <w:color w:val="auto"/>
        </w:rPr>
      </w:pPr>
    </w:p>
    <w:p>
      <w:pPr>
        <w:ind w:left="900" w:hanging="471"/>
        <w:spacing w:after="0"/>
        <w:tabs>
          <w:tab w:leader="none" w:pos="9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Represents uncollectible accounts written-off, change in reserve due to reevaluation of specific items and change in reserve due to purchases and sales of certain assets.</w:t>
      </w:r>
    </w:p>
    <w:p>
      <w:pPr>
        <w:spacing w:after="0" w:line="6" w:lineRule="exact"/>
        <w:rPr>
          <w:rFonts w:ascii="Arial" w:cs="Arial" w:eastAsia="Arial" w:hAnsi="Arial"/>
          <w:sz w:val="12"/>
          <w:szCs w:val="12"/>
          <w:color w:val="auto"/>
        </w:rPr>
      </w:pPr>
    </w:p>
    <w:p>
      <w:pPr>
        <w:ind w:left="700" w:hanging="271"/>
        <w:spacing w:after="0" w:line="261" w:lineRule="auto"/>
        <w:tabs>
          <w:tab w:leader="none" w:pos="916"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Represents reserves assumed in the acquisition of certain title insurance underwriters from LandAmerica Financial Group, Inc. on December 22, 2008 and related purchase accounting adjustments recorded in the year ended December 31, 2009 (see note B to Notes to Consolidated Financial Statements).</w:t>
      </w:r>
    </w:p>
    <w:p>
      <w:pPr>
        <w:spacing w:after="0" w:line="123"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See Accompanying Report of Independent Registered Public Accounting Firm</w:t>
      </w:r>
    </w:p>
    <w:p>
      <w:pPr>
        <w:spacing w:after="0" w:line="294"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&lt; font style="font-family:inherit;"&gt;96</w:t>
      </w:r>
    </w:p>
    <w:p>
      <w:pPr>
        <w:sectPr>
          <w:pgSz w:w="11900" w:h="16838" w:orient="portrait"/>
          <w:cols w:equalWidth="0" w:num="1">
            <w:col w:w="10620"/>
          </w:cols>
          <w:pgMar w:left="1080" w:top="130" w:right="199" w:bottom="1440" w:gutter="0" w:footer="0" w:header="0"/>
        </w:sectPr>
      </w:pPr>
    </w:p>
    <w:bookmarkStart w:id="96" w:name="page97"/>
    <w:bookmarkEnd w:id="9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20" w:type="dxa"/>
            <w:vAlign w:val="bottom"/>
            <w:gridSpan w:val="3"/>
          </w:tcPr>
          <w:p>
            <w:pPr>
              <w:jc w:val="right"/>
              <w:ind w:right="4740"/>
              <w:spacing w:after="0"/>
              <w:rPr>
                <w:sz w:val="20"/>
                <w:szCs w:val="20"/>
                <w:color w:val="auto"/>
              </w:rPr>
            </w:pPr>
            <w:r>
              <w:rPr>
                <w:rFonts w:ascii="Arial" w:cs="Arial" w:eastAsia="Arial" w:hAnsi="Arial"/>
                <w:sz w:val="12"/>
                <w:szCs w:val="12"/>
                <w:b w:val="1"/>
                <w:bCs w:val="1"/>
                <w:color w:val="auto"/>
              </w:rPr>
              <w:t>EXHIBIT INDEX</w:t>
            </w:r>
          </w:p>
        </w:tc>
      </w:tr>
      <w:tr>
        <w:trPr>
          <w:trHeight w:val="522"/>
        </w:trPr>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gridSpan w:val="3"/>
          </w:tcPr>
          <w:p>
            <w:pPr>
              <w:jc w:val="right"/>
              <w:spacing w:after="0"/>
              <w:rPr>
                <w:sz w:val="20"/>
                <w:szCs w:val="20"/>
                <w:color w:val="auto"/>
              </w:rPr>
            </w:pPr>
            <w:r>
              <w:rPr>
                <w:rFonts w:ascii="Arial" w:cs="Arial" w:eastAsia="Arial" w:hAnsi="Arial"/>
                <w:sz w:val="12"/>
                <w:szCs w:val="12"/>
                <w:color w:val="auto"/>
              </w:rPr>
              <w:t>3.1</w:t>
            </w:r>
          </w:p>
        </w:tc>
      </w:tr>
      <w:tr>
        <w:trPr>
          <w:trHeight w:val="247"/>
        </w:trPr>
        <w:tc>
          <w:tcPr>
            <w:tcW w:w="8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Exhibit</w:t>
            </w:r>
          </w:p>
        </w:tc>
        <w:tc>
          <w:tcPr>
            <w:tcW w:w="4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60" w:type="dxa"/>
            <w:vAlign w:val="bottom"/>
          </w:tcPr>
          <w:p>
            <w:pPr>
              <w:spacing w:after="0"/>
              <w:rPr>
                <w:sz w:val="21"/>
                <w:szCs w:val="21"/>
                <w:color w:val="auto"/>
              </w:rPr>
            </w:pPr>
          </w:p>
        </w:tc>
      </w:tr>
      <w:tr>
        <w:trPr>
          <w:trHeight w:val="105"/>
        </w:trPr>
        <w:tc>
          <w:tcPr>
            <w:tcW w:w="80" w:type="dxa"/>
            <w:vAlign w:val="bottom"/>
          </w:tcPr>
          <w:p>
            <w:pPr>
              <w:spacing w:after="0"/>
              <w:rPr>
                <w:sz w:val="9"/>
                <w:szCs w:val="9"/>
                <w:color w:val="auto"/>
              </w:rPr>
            </w:pPr>
          </w:p>
        </w:tc>
        <w:tc>
          <w:tcPr>
            <w:tcW w:w="340" w:type="dxa"/>
            <w:vAlign w:val="bottom"/>
          </w:tcPr>
          <w:p>
            <w:pPr>
              <w:spacing w:after="0" w:line="105" w:lineRule="exact"/>
              <w:rPr>
                <w:sz w:val="20"/>
                <w:szCs w:val="20"/>
                <w:color w:val="auto"/>
              </w:rPr>
            </w:pPr>
            <w:r>
              <w:rPr>
                <w:rFonts w:ascii="Arial" w:cs="Arial" w:eastAsia="Arial" w:hAnsi="Arial"/>
                <w:sz w:val="10"/>
                <w:szCs w:val="10"/>
                <w:b w:val="1"/>
                <w:bCs w:val="1"/>
                <w:color w:val="auto"/>
                <w:w w:val="84"/>
              </w:rPr>
              <w:t>Number</w:t>
            </w:r>
          </w:p>
        </w:tc>
        <w:tc>
          <w:tcPr>
            <w:tcW w:w="220" w:type="dxa"/>
            <w:vAlign w:val="bottom"/>
          </w:tcPr>
          <w:p>
            <w:pPr>
              <w:spacing w:after="0"/>
              <w:rPr>
                <w:sz w:val="9"/>
                <w:szCs w:val="9"/>
                <w:color w:val="auto"/>
              </w:rPr>
            </w:pPr>
          </w:p>
        </w:tc>
        <w:tc>
          <w:tcPr>
            <w:tcW w:w="9420" w:type="dxa"/>
            <w:vAlign w:val="bottom"/>
            <w:gridSpan w:val="3"/>
          </w:tcPr>
          <w:p>
            <w:pPr>
              <w:jc w:val="center"/>
              <w:ind w:left="362"/>
              <w:spacing w:after="0" w:line="105" w:lineRule="exact"/>
              <w:rPr>
                <w:sz w:val="20"/>
                <w:szCs w:val="20"/>
                <w:color w:val="auto"/>
              </w:rPr>
            </w:pPr>
            <w:r>
              <w:rPr>
                <w:rFonts w:ascii="Arial" w:cs="Arial" w:eastAsia="Arial" w:hAnsi="Arial"/>
                <w:sz w:val="10"/>
                <w:szCs w:val="10"/>
                <w:b w:val="1"/>
                <w:bCs w:val="1"/>
                <w:color w:val="auto"/>
                <w:w w:val="87"/>
              </w:rPr>
              <w:t>Description</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41"/>
        </w:trPr>
        <w:tc>
          <w:tcPr>
            <w:tcW w:w="420" w:type="dxa"/>
            <w:vAlign w:val="bottom"/>
            <w:gridSpan w:val="2"/>
          </w:tcPr>
          <w:p>
            <w:pPr>
              <w:jc w:val="right"/>
              <w:ind w:right="232"/>
              <w:spacing w:after="0"/>
              <w:rPr>
                <w:sz w:val="20"/>
                <w:szCs w:val="20"/>
                <w:color w:val="auto"/>
              </w:rPr>
            </w:pPr>
            <w:r>
              <w:rPr>
                <w:rFonts w:ascii="Arial" w:cs="Arial" w:eastAsia="Arial" w:hAnsi="Arial"/>
                <w:sz w:val="12"/>
                <w:szCs w:val="12"/>
                <w:color w:val="auto"/>
                <w:w w:val="71"/>
              </w:rPr>
              <w:t>2.1</w:t>
            </w:r>
          </w:p>
        </w:tc>
        <w:tc>
          <w:tcPr>
            <w:tcW w:w="220" w:type="dxa"/>
            <w:vAlign w:val="bottom"/>
          </w:tcPr>
          <w:p>
            <w:pPr>
              <w:spacing w:after="0"/>
              <w:rPr>
                <w:sz w:val="20"/>
                <w:szCs w:val="20"/>
                <w:color w:val="auto"/>
              </w:rPr>
            </w:pPr>
          </w:p>
        </w:tc>
        <w:tc>
          <w:tcPr>
            <w:tcW w:w="9420" w:type="dxa"/>
            <w:vAlign w:val="bottom"/>
            <w:gridSpan w:val="3"/>
          </w:tcPr>
          <w:p>
            <w:pPr>
              <w:jc w:val="center"/>
              <w:ind w:left="342"/>
              <w:spacing w:after="0"/>
              <w:rPr>
                <w:sz w:val="20"/>
                <w:szCs w:val="20"/>
                <w:color w:val="auto"/>
              </w:rPr>
            </w:pPr>
            <w:r>
              <w:rPr>
                <w:rFonts w:ascii="Arial" w:cs="Arial" w:eastAsia="Arial" w:hAnsi="Arial"/>
                <w:sz w:val="12"/>
                <w:szCs w:val="12"/>
                <w:color w:val="auto"/>
                <w:w w:val="91"/>
              </w:rPr>
              <w:t>Securities Exchange and Distribution Agreement between Old FNF and the Registrant, dated as of June 25, 2006, as amended and restated as of September 18, 2006 (incorporated by</w:t>
            </w:r>
          </w:p>
        </w:tc>
      </w:tr>
      <w:tr>
        <w:trPr>
          <w:trHeight w:val="153"/>
        </w:trPr>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20" w:type="dxa"/>
            <w:vAlign w:val="bottom"/>
            <w:gridSpan w:val="3"/>
          </w:tcPr>
          <w:p>
            <w:pPr>
              <w:jc w:val="right"/>
              <w:ind w:right="3660"/>
              <w:spacing w:after="0"/>
              <w:rPr>
                <w:sz w:val="20"/>
                <w:szCs w:val="20"/>
                <w:color w:val="auto"/>
              </w:rPr>
            </w:pPr>
            <w:r>
              <w:rPr>
                <w:rFonts w:ascii="Arial" w:cs="Arial" w:eastAsia="Arial" w:hAnsi="Arial"/>
                <w:sz w:val="12"/>
                <w:szCs w:val="12"/>
                <w:color w:val="auto"/>
                <w:w w:val="94"/>
              </w:rPr>
              <w:t>reference to Annex A to the Registrant’s Schedule 14C filed on September 19, 2006 (the “Information Statement”))</w:t>
            </w:r>
          </w:p>
        </w:tc>
      </w:tr>
    </w:tbl>
    <w:p>
      <w:pPr>
        <w:spacing w:after="0" w:line="27" w:lineRule="exact"/>
        <w:rPr>
          <w:sz w:val="20"/>
          <w:szCs w:val="20"/>
          <w:color w:val="auto"/>
        </w:rPr>
      </w:pPr>
    </w:p>
    <w:p>
      <w:pPr>
        <w:ind w:left="720"/>
        <w:spacing w:after="0"/>
        <w:rPr>
          <w:sz w:val="20"/>
          <w:szCs w:val="20"/>
          <w:color w:val="auto"/>
        </w:rPr>
      </w:pPr>
      <w:r>
        <w:rPr>
          <w:rFonts w:ascii="Arial" w:cs="Arial" w:eastAsia="Arial" w:hAnsi="Arial"/>
          <w:sz w:val="12"/>
          <w:szCs w:val="12"/>
          <w:color w:val="auto"/>
        </w:rPr>
        <w:t>Form of</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Amended</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and Restated</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Certificate of</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Incorporation</w:t>
      </w:r>
    </w:p>
    <w:p>
      <w:pPr>
        <w:spacing w:after="0" w:line="6"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2"/>
          <w:szCs w:val="12"/>
          <w:color w:val="auto"/>
        </w:rPr>
        <w:t>of</w:t>
      </w:r>
      <w:r>
        <w:rPr>
          <w:sz w:val="20"/>
          <w:szCs w:val="20"/>
          <w:color w:val="auto"/>
        </w:rPr>
        <w:tab/>
      </w:r>
      <w:r>
        <w:rPr>
          <w:rFonts w:ascii="Arial" w:cs="Arial" w:eastAsia="Arial" w:hAnsi="Arial"/>
          <w:sz w:val="12"/>
          <w:szCs w:val="12"/>
          <w:color w:val="auto"/>
        </w:rPr>
        <w:t>the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Registrant</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(incorporated</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by  reference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to  Annex  C</w:t>
      </w:r>
    </w:p>
    <w:p>
      <w:pPr>
        <w:spacing w:after="0" w:line="6"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2"/>
          <w:szCs w:val="12"/>
          <w:color w:val="auto"/>
        </w:rPr>
        <w:t>the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Information</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Statement)</w:t>
      </w:r>
    </w:p>
    <w:p>
      <w:pPr>
        <w:spacing w:after="0" w:line="33" w:lineRule="exact"/>
        <w:rPr>
          <w:sz w:val="20"/>
          <w:szCs w:val="20"/>
          <w:color w:val="auto"/>
        </w:rPr>
      </w:pPr>
    </w:p>
    <w:tbl>
      <w:tblPr>
        <w:tblLayout w:type="fixed"/>
        <w:tblInd w:w="340" w:type="dxa"/>
        <w:tblCellMar>
          <w:top w:w="0" w:type="dxa"/>
          <w:left w:w="0" w:type="dxa"/>
          <w:bottom w:w="0" w:type="dxa"/>
          <w:right w:w="0" w:type="dxa"/>
        </w:tblCellMar>
      </w:tblPr>
      <w:tr>
        <w:trPr>
          <w:trHeight w:val="144"/>
        </w:trPr>
        <w:tc>
          <w:tcPr>
            <w:tcW w:w="500" w:type="dxa"/>
            <w:vAlign w:val="bottom"/>
          </w:tcPr>
          <w:p>
            <w:pPr>
              <w:jc w:val="right"/>
              <w:ind w:right="300"/>
              <w:spacing w:after="0"/>
              <w:rPr>
                <w:sz w:val="20"/>
                <w:szCs w:val="20"/>
                <w:color w:val="auto"/>
              </w:rPr>
            </w:pPr>
            <w:r>
              <w:rPr>
                <w:rFonts w:ascii="Arial" w:cs="Arial" w:eastAsia="Arial" w:hAnsi="Arial"/>
                <w:sz w:val="12"/>
                <w:szCs w:val="12"/>
                <w:color w:val="auto"/>
                <w:w w:val="71"/>
              </w:rPr>
              <w:t>3.2</w:t>
            </w:r>
          </w:p>
        </w:tc>
        <w:tc>
          <w:tcPr>
            <w:tcW w:w="9540" w:type="dxa"/>
            <w:vAlign w:val="bottom"/>
          </w:tcPr>
          <w:p>
            <w:pPr>
              <w:ind w:left="580"/>
              <w:spacing w:after="0"/>
              <w:rPr>
                <w:sz w:val="20"/>
                <w:szCs w:val="20"/>
                <w:color w:val="auto"/>
              </w:rPr>
            </w:pPr>
            <w:r>
              <w:rPr>
                <w:rFonts w:ascii="Arial" w:cs="Arial" w:eastAsia="Arial" w:hAnsi="Arial"/>
                <w:sz w:val="12"/>
                <w:szCs w:val="12"/>
                <w:color w:val="auto"/>
                <w:w w:val="91"/>
              </w:rPr>
              <w:t>Amended and Restated Bylaws of the Registrant, as adopted on September 26, 2005 (incorporated by reference to Exhibit 3.2 to the Registrant’s Quarterly Report on Form 10-Q for the</w:t>
            </w:r>
          </w:p>
        </w:tc>
      </w:tr>
      <w:tr>
        <w:trPr>
          <w:trHeight w:val="153"/>
        </w:trPr>
        <w:tc>
          <w:tcPr>
            <w:tcW w:w="500" w:type="dxa"/>
            <w:vAlign w:val="bottom"/>
          </w:tcPr>
          <w:p>
            <w:pPr>
              <w:spacing w:after="0"/>
              <w:rPr>
                <w:sz w:val="13"/>
                <w:szCs w:val="13"/>
                <w:color w:val="auto"/>
              </w:rPr>
            </w:pPr>
          </w:p>
        </w:tc>
        <w:tc>
          <w:tcPr>
            <w:tcW w:w="9540" w:type="dxa"/>
            <w:vAlign w:val="bottom"/>
          </w:tcPr>
          <w:p>
            <w:pPr>
              <w:ind w:left="360"/>
              <w:spacing w:after="0"/>
              <w:rPr>
                <w:sz w:val="20"/>
                <w:szCs w:val="20"/>
                <w:color w:val="auto"/>
              </w:rPr>
            </w:pPr>
            <w:r>
              <w:rPr>
                <w:rFonts w:ascii="Arial" w:cs="Arial" w:eastAsia="Arial" w:hAnsi="Arial"/>
                <w:sz w:val="12"/>
                <w:szCs w:val="12"/>
                <w:color w:val="auto"/>
              </w:rPr>
              <w:t>quarter ended September 30, 2005)</w:t>
            </w:r>
          </w:p>
        </w:tc>
      </w:tr>
      <w:tr>
        <w:trPr>
          <w:trHeight w:val="171"/>
        </w:trPr>
        <w:tc>
          <w:tcPr>
            <w:tcW w:w="500" w:type="dxa"/>
            <w:vAlign w:val="bottom"/>
          </w:tcPr>
          <w:p>
            <w:pPr>
              <w:jc w:val="right"/>
              <w:ind w:right="300"/>
              <w:spacing w:after="0"/>
              <w:rPr>
                <w:sz w:val="20"/>
                <w:szCs w:val="20"/>
                <w:color w:val="auto"/>
              </w:rPr>
            </w:pPr>
            <w:r>
              <w:rPr>
                <w:rFonts w:ascii="Arial" w:cs="Arial" w:eastAsia="Arial" w:hAnsi="Arial"/>
                <w:sz w:val="12"/>
                <w:szCs w:val="12"/>
                <w:color w:val="auto"/>
                <w:w w:val="71"/>
              </w:rPr>
              <w:t>4.1</w:t>
            </w:r>
          </w:p>
        </w:tc>
        <w:tc>
          <w:tcPr>
            <w:tcW w:w="9540" w:type="dxa"/>
            <w:vAlign w:val="bottom"/>
          </w:tcPr>
          <w:p>
            <w:pPr>
              <w:ind w:left="580"/>
              <w:spacing w:after="0"/>
              <w:rPr>
                <w:sz w:val="20"/>
                <w:szCs w:val="20"/>
                <w:color w:val="auto"/>
              </w:rPr>
            </w:pPr>
            <w:r>
              <w:rPr>
                <w:rFonts w:ascii="Arial" w:cs="Arial" w:eastAsia="Arial" w:hAnsi="Arial"/>
                <w:sz w:val="12"/>
                <w:szCs w:val="12"/>
                <w:color w:val="auto"/>
                <w:w w:val="91"/>
              </w:rPr>
              <w:t>Indenture between the Registrant and The Bank of New York Trust Company, N.A., dated December 8, 2005, relating to the 7.30% and 5.25% notes referred to below (incorporated by</w:t>
            </w:r>
          </w:p>
        </w:tc>
      </w:tr>
      <w:tr>
        <w:trPr>
          <w:trHeight w:val="153"/>
        </w:trPr>
        <w:tc>
          <w:tcPr>
            <w:tcW w:w="500" w:type="dxa"/>
            <w:vAlign w:val="bottom"/>
          </w:tcPr>
          <w:p>
            <w:pPr>
              <w:spacing w:after="0"/>
              <w:rPr>
                <w:sz w:val="13"/>
                <w:szCs w:val="13"/>
                <w:color w:val="auto"/>
              </w:rPr>
            </w:pPr>
          </w:p>
        </w:tc>
        <w:tc>
          <w:tcPr>
            <w:tcW w:w="9540" w:type="dxa"/>
            <w:vAlign w:val="bottom"/>
          </w:tcPr>
          <w:p>
            <w:pPr>
              <w:ind w:left="360"/>
              <w:spacing w:after="0"/>
              <w:rPr>
                <w:sz w:val="20"/>
                <w:szCs w:val="20"/>
                <w:color w:val="auto"/>
              </w:rPr>
            </w:pPr>
            <w:r>
              <w:rPr>
                <w:rFonts w:ascii="Arial" w:cs="Arial" w:eastAsia="Arial" w:hAnsi="Arial"/>
                <w:sz w:val="12"/>
                <w:szCs w:val="12"/>
                <w:color w:val="auto"/>
              </w:rPr>
              <w:t>reference to Exhibit 4.1 to the Registrant’s Annual Report on Form 10-K for the year ended December 31, 2005)</w:t>
            </w:r>
          </w:p>
        </w:tc>
      </w:tr>
      <w:tr>
        <w:trPr>
          <w:trHeight w:val="171"/>
        </w:trPr>
        <w:tc>
          <w:tcPr>
            <w:tcW w:w="500" w:type="dxa"/>
            <w:vAlign w:val="bottom"/>
          </w:tcPr>
          <w:p>
            <w:pPr>
              <w:jc w:val="right"/>
              <w:ind w:right="300"/>
              <w:spacing w:after="0"/>
              <w:rPr>
                <w:sz w:val="20"/>
                <w:szCs w:val="20"/>
                <w:color w:val="auto"/>
              </w:rPr>
            </w:pPr>
            <w:r>
              <w:rPr>
                <w:rFonts w:ascii="Arial" w:cs="Arial" w:eastAsia="Arial" w:hAnsi="Arial"/>
                <w:sz w:val="12"/>
                <w:szCs w:val="12"/>
                <w:color w:val="auto"/>
                <w:w w:val="71"/>
              </w:rPr>
              <w:t>4.2</w:t>
            </w:r>
          </w:p>
        </w:tc>
        <w:tc>
          <w:tcPr>
            <w:tcW w:w="9540" w:type="dxa"/>
            <w:vAlign w:val="bottom"/>
          </w:tcPr>
          <w:p>
            <w:pPr>
              <w:ind w:left="580"/>
              <w:spacing w:after="0"/>
              <w:rPr>
                <w:sz w:val="20"/>
                <w:szCs w:val="20"/>
                <w:color w:val="auto"/>
              </w:rPr>
            </w:pPr>
            <w:r>
              <w:rPr>
                <w:rFonts w:ascii="Arial" w:cs="Arial" w:eastAsia="Arial" w:hAnsi="Arial"/>
                <w:sz w:val="12"/>
                <w:szCs w:val="12"/>
                <w:color w:val="auto"/>
                <w:w w:val="94"/>
              </w:rPr>
              <w:t>First Supplemental Indenture between the Registrant and the Bank of New York Trust Company, N.A., dated as of January  6, 2006 (incorporated by reference to Exhibit 4.1 to the</w:t>
            </w:r>
          </w:p>
        </w:tc>
      </w:tr>
      <w:tr>
        <w:trPr>
          <w:trHeight w:val="153"/>
        </w:trPr>
        <w:tc>
          <w:tcPr>
            <w:tcW w:w="500" w:type="dxa"/>
            <w:vAlign w:val="bottom"/>
          </w:tcPr>
          <w:p>
            <w:pPr>
              <w:spacing w:after="0"/>
              <w:rPr>
                <w:sz w:val="13"/>
                <w:szCs w:val="13"/>
                <w:color w:val="auto"/>
              </w:rPr>
            </w:pPr>
          </w:p>
        </w:tc>
        <w:tc>
          <w:tcPr>
            <w:tcW w:w="9540" w:type="dxa"/>
            <w:vAlign w:val="bottom"/>
          </w:tcPr>
          <w:p>
            <w:pPr>
              <w:ind w:left="360"/>
              <w:spacing w:after="0"/>
              <w:rPr>
                <w:sz w:val="20"/>
                <w:szCs w:val="20"/>
                <w:color w:val="auto"/>
              </w:rPr>
            </w:pPr>
            <w:r>
              <w:rPr>
                <w:rFonts w:ascii="Arial" w:cs="Arial" w:eastAsia="Arial" w:hAnsi="Arial"/>
                <w:sz w:val="12"/>
                <w:szCs w:val="12"/>
                <w:color w:val="auto"/>
              </w:rPr>
              <w:t>Registrant’s Current Report on Form 8-K filed on January 24, 2006)</w:t>
            </w:r>
          </w:p>
        </w:tc>
      </w:tr>
      <w:tr>
        <w:trPr>
          <w:trHeight w:val="171"/>
        </w:trPr>
        <w:tc>
          <w:tcPr>
            <w:tcW w:w="500" w:type="dxa"/>
            <w:vAlign w:val="bottom"/>
          </w:tcPr>
          <w:p>
            <w:pPr>
              <w:jc w:val="right"/>
              <w:ind w:right="300"/>
              <w:spacing w:after="0"/>
              <w:rPr>
                <w:sz w:val="20"/>
                <w:szCs w:val="20"/>
                <w:color w:val="auto"/>
              </w:rPr>
            </w:pPr>
            <w:r>
              <w:rPr>
                <w:rFonts w:ascii="Arial" w:cs="Arial" w:eastAsia="Arial" w:hAnsi="Arial"/>
                <w:sz w:val="12"/>
                <w:szCs w:val="12"/>
                <w:color w:val="auto"/>
                <w:w w:val="71"/>
              </w:rPr>
              <w:t>4.3</w:t>
            </w:r>
          </w:p>
        </w:tc>
        <w:tc>
          <w:tcPr>
            <w:tcW w:w="9540" w:type="dxa"/>
            <w:vAlign w:val="bottom"/>
          </w:tcPr>
          <w:p>
            <w:pPr>
              <w:ind w:left="580"/>
              <w:spacing w:after="0"/>
              <w:rPr>
                <w:sz w:val="20"/>
                <w:szCs w:val="20"/>
                <w:color w:val="auto"/>
              </w:rPr>
            </w:pPr>
            <w:r>
              <w:rPr>
                <w:rFonts w:ascii="Arial" w:cs="Arial" w:eastAsia="Arial" w:hAnsi="Arial"/>
                <w:sz w:val="12"/>
                <w:szCs w:val="12"/>
                <w:color w:val="auto"/>
                <w:w w:val="93"/>
              </w:rPr>
              <w:t>Form of Subordinated Indenture between the Registrant and the Bank of New York Trust Company, N.A. (incorporated by reference to Exhibit 4.2(A) to the Registrant’s Registration</w:t>
            </w:r>
          </w:p>
        </w:tc>
      </w:tr>
      <w:tr>
        <w:trPr>
          <w:trHeight w:val="153"/>
        </w:trPr>
        <w:tc>
          <w:tcPr>
            <w:tcW w:w="500" w:type="dxa"/>
            <w:vAlign w:val="bottom"/>
          </w:tcPr>
          <w:p>
            <w:pPr>
              <w:spacing w:after="0"/>
              <w:rPr>
                <w:sz w:val="13"/>
                <w:szCs w:val="13"/>
                <w:color w:val="auto"/>
              </w:rPr>
            </w:pPr>
          </w:p>
        </w:tc>
        <w:tc>
          <w:tcPr>
            <w:tcW w:w="9540" w:type="dxa"/>
            <w:vAlign w:val="bottom"/>
          </w:tcPr>
          <w:p>
            <w:pPr>
              <w:ind w:left="360"/>
              <w:spacing w:after="0"/>
              <w:rPr>
                <w:sz w:val="20"/>
                <w:szCs w:val="20"/>
                <w:color w:val="auto"/>
              </w:rPr>
            </w:pPr>
            <w:r>
              <w:rPr>
                <w:rFonts w:ascii="Arial" w:cs="Arial" w:eastAsia="Arial" w:hAnsi="Arial"/>
                <w:sz w:val="12"/>
                <w:szCs w:val="12"/>
                <w:color w:val="auto"/>
              </w:rPr>
              <w:t>Statement on Form S-3 filed on November 14, 2007)</w:t>
            </w:r>
          </w:p>
        </w:tc>
      </w:tr>
      <w:tr>
        <w:trPr>
          <w:trHeight w:val="171"/>
        </w:trPr>
        <w:tc>
          <w:tcPr>
            <w:tcW w:w="500" w:type="dxa"/>
            <w:vAlign w:val="bottom"/>
          </w:tcPr>
          <w:p>
            <w:pPr>
              <w:spacing w:after="0"/>
              <w:rPr>
                <w:sz w:val="14"/>
                <w:szCs w:val="14"/>
                <w:color w:val="auto"/>
              </w:rPr>
            </w:pPr>
          </w:p>
        </w:tc>
        <w:tc>
          <w:tcPr>
            <w:tcW w:w="9540" w:type="dxa"/>
            <w:vAlign w:val="bottom"/>
          </w:tcPr>
          <w:p>
            <w:pPr>
              <w:ind w:left="580"/>
              <w:spacing w:after="0"/>
              <w:rPr>
                <w:sz w:val="20"/>
                <w:szCs w:val="20"/>
                <w:color w:val="auto"/>
              </w:rPr>
            </w:pPr>
            <w:r>
              <w:rPr>
                <w:rFonts w:ascii="Arial" w:cs="Arial" w:eastAsia="Arial" w:hAnsi="Arial"/>
                <w:sz w:val="12"/>
                <w:szCs w:val="12"/>
                <w:color w:val="auto"/>
                <w:w w:val="93"/>
              </w:rPr>
              <w:t>Second Supplemental Indenture, dated May 5, 2010, between the Registrant and The Bank of New York Mellon Trust Company, N.A., dated as of May 5, 2010, relating to the 6.60%</w:t>
            </w:r>
          </w:p>
        </w:tc>
      </w:tr>
      <w:tr>
        <w:trPr>
          <w:trHeight w:val="153"/>
        </w:trPr>
        <w:tc>
          <w:tcPr>
            <w:tcW w:w="500" w:type="dxa"/>
            <w:vAlign w:val="bottom"/>
          </w:tcPr>
          <w:p>
            <w:pPr>
              <w:jc w:val="right"/>
              <w:ind w:right="300"/>
              <w:spacing w:after="0"/>
              <w:rPr>
                <w:sz w:val="20"/>
                <w:szCs w:val="20"/>
                <w:color w:val="auto"/>
              </w:rPr>
            </w:pPr>
            <w:r>
              <w:rPr>
                <w:rFonts w:ascii="Arial" w:cs="Arial" w:eastAsia="Arial" w:hAnsi="Arial"/>
                <w:sz w:val="12"/>
                <w:szCs w:val="12"/>
                <w:color w:val="auto"/>
                <w:w w:val="71"/>
              </w:rPr>
              <w:t>4.4</w:t>
            </w:r>
          </w:p>
        </w:tc>
        <w:tc>
          <w:tcPr>
            <w:tcW w:w="9540" w:type="dxa"/>
            <w:vAlign w:val="bottom"/>
          </w:tcPr>
          <w:p>
            <w:pPr>
              <w:ind w:left="360"/>
              <w:spacing w:after="0"/>
              <w:rPr>
                <w:sz w:val="20"/>
                <w:szCs w:val="20"/>
                <w:color w:val="auto"/>
              </w:rPr>
            </w:pPr>
            <w:r>
              <w:rPr>
                <w:rFonts w:ascii="Arial" w:cs="Arial" w:eastAsia="Arial" w:hAnsi="Arial"/>
                <w:sz w:val="12"/>
                <w:szCs w:val="12"/>
                <w:color w:val="auto"/>
              </w:rPr>
              <w:t>notes referred to below (incorporated by reference to Exhibit 4.1 to the Registrant's Current Report on Form 8-K filed on May 5, 2010)</w:t>
            </w:r>
          </w:p>
        </w:tc>
      </w:tr>
      <w:tr>
        <w:trPr>
          <w:trHeight w:val="324"/>
        </w:trPr>
        <w:tc>
          <w:tcPr>
            <w:tcW w:w="500" w:type="dxa"/>
            <w:vAlign w:val="bottom"/>
          </w:tcPr>
          <w:p>
            <w:pPr>
              <w:jc w:val="right"/>
              <w:ind w:right="300"/>
              <w:spacing w:after="0"/>
              <w:rPr>
                <w:sz w:val="20"/>
                <w:szCs w:val="20"/>
                <w:color w:val="auto"/>
              </w:rPr>
            </w:pPr>
            <w:r>
              <w:rPr>
                <w:rFonts w:ascii="Arial" w:cs="Arial" w:eastAsia="Arial" w:hAnsi="Arial"/>
                <w:sz w:val="12"/>
                <w:szCs w:val="12"/>
                <w:color w:val="auto"/>
                <w:w w:val="71"/>
              </w:rPr>
              <w:t>4.5</w:t>
            </w:r>
          </w:p>
        </w:tc>
        <w:tc>
          <w:tcPr>
            <w:tcW w:w="9540" w:type="dxa"/>
            <w:vAlign w:val="bottom"/>
          </w:tcPr>
          <w:p>
            <w:pPr>
              <w:ind w:left="580"/>
              <w:spacing w:after="0"/>
              <w:rPr>
                <w:sz w:val="20"/>
                <w:szCs w:val="20"/>
                <w:color w:val="auto"/>
              </w:rPr>
            </w:pPr>
            <w:r>
              <w:rPr>
                <w:rFonts w:ascii="Arial" w:cs="Arial" w:eastAsia="Arial" w:hAnsi="Arial"/>
                <w:sz w:val="12"/>
                <w:szCs w:val="12"/>
                <w:color w:val="auto"/>
              </w:rPr>
              <w:t>Form of 7.30% note due August 15, 2011 (incorporated by reference to Exhibit 4.6 to the Registrant’s Registration Statement on Form S-4 filed on October 28, 2005)</w:t>
            </w:r>
          </w:p>
        </w:tc>
      </w:tr>
      <w:tr>
        <w:trPr>
          <w:trHeight w:val="180"/>
        </w:trPr>
        <w:tc>
          <w:tcPr>
            <w:tcW w:w="500" w:type="dxa"/>
            <w:vAlign w:val="bottom"/>
          </w:tcPr>
          <w:p>
            <w:pPr>
              <w:jc w:val="right"/>
              <w:ind w:right="300"/>
              <w:spacing w:after="0"/>
              <w:rPr>
                <w:sz w:val="20"/>
                <w:szCs w:val="20"/>
                <w:color w:val="auto"/>
              </w:rPr>
            </w:pPr>
            <w:r>
              <w:rPr>
                <w:rFonts w:ascii="Arial" w:cs="Arial" w:eastAsia="Arial" w:hAnsi="Arial"/>
                <w:sz w:val="12"/>
                <w:szCs w:val="12"/>
                <w:color w:val="auto"/>
                <w:w w:val="71"/>
              </w:rPr>
              <w:t>4.6</w:t>
            </w:r>
          </w:p>
        </w:tc>
        <w:tc>
          <w:tcPr>
            <w:tcW w:w="9540" w:type="dxa"/>
            <w:vAlign w:val="bottom"/>
          </w:tcPr>
          <w:p>
            <w:pPr>
              <w:ind w:left="580"/>
              <w:spacing w:after="0"/>
              <w:rPr>
                <w:sz w:val="20"/>
                <w:szCs w:val="20"/>
                <w:color w:val="auto"/>
              </w:rPr>
            </w:pPr>
            <w:r>
              <w:rPr>
                <w:rFonts w:ascii="Arial" w:cs="Arial" w:eastAsia="Arial" w:hAnsi="Arial"/>
                <w:sz w:val="12"/>
                <w:szCs w:val="12"/>
                <w:color w:val="auto"/>
              </w:rPr>
              <w:t>Form of 5.25% note due March 15, 2013 (incorporated by reference to Exhibit 4.7 to the Registrant’s Registration Statement on Form S-4 filed on October 28, 2005)</w:t>
            </w:r>
          </w:p>
        </w:tc>
      </w:tr>
      <w:tr>
        <w:trPr>
          <w:trHeight w:val="180"/>
        </w:trPr>
        <w:tc>
          <w:tcPr>
            <w:tcW w:w="500" w:type="dxa"/>
            <w:vAlign w:val="bottom"/>
          </w:tcPr>
          <w:p>
            <w:pPr>
              <w:jc w:val="right"/>
              <w:ind w:right="300"/>
              <w:spacing w:after="0"/>
              <w:rPr>
                <w:sz w:val="20"/>
                <w:szCs w:val="20"/>
                <w:color w:val="auto"/>
              </w:rPr>
            </w:pPr>
            <w:r>
              <w:rPr>
                <w:rFonts w:ascii="Arial" w:cs="Arial" w:eastAsia="Arial" w:hAnsi="Arial"/>
                <w:sz w:val="12"/>
                <w:szCs w:val="12"/>
                <w:color w:val="auto"/>
                <w:w w:val="71"/>
              </w:rPr>
              <w:t>4.7</w:t>
            </w:r>
          </w:p>
        </w:tc>
        <w:tc>
          <w:tcPr>
            <w:tcW w:w="9540" w:type="dxa"/>
            <w:vAlign w:val="bottom"/>
          </w:tcPr>
          <w:p>
            <w:pPr>
              <w:ind w:left="580"/>
              <w:spacing w:after="0"/>
              <w:rPr>
                <w:sz w:val="20"/>
                <w:szCs w:val="20"/>
                <w:color w:val="auto"/>
              </w:rPr>
            </w:pPr>
            <w:r>
              <w:rPr>
                <w:rFonts w:ascii="Arial" w:cs="Arial" w:eastAsia="Arial" w:hAnsi="Arial"/>
                <w:sz w:val="12"/>
                <w:szCs w:val="12"/>
                <w:color w:val="auto"/>
              </w:rPr>
              <w:t>Form of 6.60% Not e due 2017 (incorporated by reference to Exhibit 4.3 to the Registrant's Current Report on Form 8-K filed on May 5, 2010)</w:t>
            </w:r>
          </w:p>
        </w:tc>
      </w:tr>
      <w:tr>
        <w:trPr>
          <w:trHeight w:val="315"/>
        </w:trPr>
        <w:tc>
          <w:tcPr>
            <w:tcW w:w="500" w:type="dxa"/>
            <w:vAlign w:val="bottom"/>
          </w:tcPr>
          <w:p>
            <w:pPr>
              <w:jc w:val="right"/>
              <w:ind w:right="300"/>
              <w:spacing w:after="0"/>
              <w:rPr>
                <w:sz w:val="20"/>
                <w:szCs w:val="20"/>
                <w:color w:val="auto"/>
              </w:rPr>
            </w:pPr>
            <w:r>
              <w:rPr>
                <w:rFonts w:ascii="Arial" w:cs="Arial" w:eastAsia="Arial" w:hAnsi="Arial"/>
                <w:sz w:val="12"/>
                <w:szCs w:val="12"/>
                <w:color w:val="auto"/>
                <w:w w:val="71"/>
              </w:rPr>
              <w:t>4.8</w:t>
            </w:r>
          </w:p>
        </w:tc>
        <w:tc>
          <w:tcPr>
            <w:tcW w:w="9540" w:type="dxa"/>
            <w:vAlign w:val="bottom"/>
          </w:tcPr>
          <w:p>
            <w:pPr>
              <w:ind w:left="580"/>
              <w:spacing w:after="0"/>
              <w:rPr>
                <w:sz w:val="20"/>
                <w:szCs w:val="20"/>
                <w:color w:val="auto"/>
              </w:rPr>
            </w:pPr>
            <w:r>
              <w:rPr>
                <w:rFonts w:ascii="Arial" w:cs="Arial" w:eastAsia="Arial" w:hAnsi="Arial"/>
                <w:sz w:val="12"/>
                <w:szCs w:val="12"/>
                <w:color w:val="auto"/>
                <w:w w:val="91"/>
              </w:rPr>
              <w:t>Form of the Registrant’s Common Stock Certificate (incorporated by reference to Exhibit 4.5 to the Registrant’s Annual Report on Form 10-K for the year ended December 31, 2006 (the</w:t>
            </w:r>
          </w:p>
        </w:tc>
      </w:tr>
      <w:tr>
        <w:trPr>
          <w:trHeight w:val="153"/>
        </w:trPr>
        <w:tc>
          <w:tcPr>
            <w:tcW w:w="500" w:type="dxa"/>
            <w:vAlign w:val="bottom"/>
          </w:tcPr>
          <w:p>
            <w:pPr>
              <w:spacing w:after="0"/>
              <w:rPr>
                <w:sz w:val="13"/>
                <w:szCs w:val="13"/>
                <w:color w:val="auto"/>
              </w:rPr>
            </w:pPr>
          </w:p>
        </w:tc>
        <w:tc>
          <w:tcPr>
            <w:tcW w:w="9540" w:type="dxa"/>
            <w:vAlign w:val="bottom"/>
          </w:tcPr>
          <w:p>
            <w:pPr>
              <w:ind w:left="360"/>
              <w:spacing w:after="0"/>
              <w:rPr>
                <w:sz w:val="20"/>
                <w:szCs w:val="20"/>
                <w:color w:val="auto"/>
              </w:rPr>
            </w:pPr>
            <w:r>
              <w:rPr>
                <w:rFonts w:ascii="Arial" w:cs="Arial" w:eastAsia="Arial" w:hAnsi="Arial"/>
                <w:sz w:val="12"/>
                <w:szCs w:val="12"/>
                <w:color w:val="auto"/>
              </w:rPr>
              <w:t>“2006 Annual Report ”))</w:t>
            </w:r>
          </w:p>
        </w:tc>
      </w:tr>
    </w:tbl>
    <w:p>
      <w:pPr>
        <w:spacing w:after="0" w:line="27" w:lineRule="exact"/>
        <w:rPr>
          <w:sz w:val="20"/>
          <w:szCs w:val="20"/>
          <w:color w:val="auto"/>
        </w:rPr>
      </w:pPr>
    </w:p>
    <w:p>
      <w:pPr>
        <w:sectPr>
          <w:pgSz w:w="11900" w:h="16838" w:orient="portrait"/>
          <w:cols w:equalWidth="0" w:num="1">
            <w:col w:w="10400"/>
          </w:cols>
          <w:pgMar w:left="1300" w:top="131" w:right="199" w:bottom="1440" w:gutter="0" w:footer="0" w:header="0"/>
        </w:sectPr>
      </w:pPr>
    </w:p>
    <w:p>
      <w:pPr>
        <w:ind w:left="280"/>
        <w:spacing w:after="0"/>
        <w:rPr>
          <w:sz w:val="20"/>
          <w:szCs w:val="20"/>
          <w:color w:val="auto"/>
        </w:rPr>
      </w:pPr>
      <w:r>
        <w:rPr>
          <w:rFonts w:ascii="Arial" w:cs="Arial" w:eastAsia="Arial" w:hAnsi="Arial"/>
          <w:sz w:val="10"/>
          <w:szCs w:val="10"/>
          <w:color w:val="auto"/>
        </w:rPr>
        <w:t>10.1</w:t>
      </w:r>
    </w:p>
    <w:p>
      <w:pPr>
        <w:spacing w:after="0" w:line="200" w:lineRule="exact"/>
        <w:rPr>
          <w:sz w:val="20"/>
          <w:szCs w:val="20"/>
          <w:color w:val="auto"/>
        </w:rPr>
      </w:pPr>
    </w:p>
    <w:p>
      <w:pPr>
        <w:spacing w:after="0" w:line="225" w:lineRule="exact"/>
        <w:rPr>
          <w:sz w:val="20"/>
          <w:szCs w:val="20"/>
          <w:color w:val="auto"/>
        </w:rPr>
      </w:pPr>
    </w:p>
    <w:p>
      <w:pPr>
        <w:ind w:left="280"/>
        <w:spacing w:after="0"/>
        <w:rPr>
          <w:sz w:val="20"/>
          <w:szCs w:val="20"/>
          <w:color w:val="auto"/>
        </w:rPr>
      </w:pPr>
      <w:r>
        <w:rPr>
          <w:rFonts w:ascii="Arial" w:cs="Arial" w:eastAsia="Arial" w:hAnsi="Arial"/>
          <w:sz w:val="10"/>
          <w:szCs w:val="10"/>
          <w:color w:val="auto"/>
        </w:rPr>
        <w:t>10.2</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0"/>
          <w:szCs w:val="10"/>
          <w:color w:val="auto"/>
        </w:rPr>
        <w:t>10.3</w:t>
      </w:r>
    </w:p>
    <w:p>
      <w:pPr>
        <w:spacing w:after="0" w:line="20" w:lineRule="exact"/>
        <w:rPr>
          <w:sz w:val="20"/>
          <w:szCs w:val="20"/>
          <w:color w:val="auto"/>
        </w:rPr>
      </w:pPr>
      <w:r>
        <w:rPr>
          <w:sz w:val="20"/>
          <w:szCs w:val="20"/>
          <w:color w:val="auto"/>
        </w:rPr>
        <w:br w:type="column"/>
      </w:r>
    </w:p>
    <w:p>
      <w:pPr>
        <w:jc w:val="both"/>
        <w:ind w:right="20" w:firstLine="216"/>
        <w:spacing w:after="0" w:line="276" w:lineRule="auto"/>
        <w:rPr>
          <w:sz w:val="20"/>
          <w:szCs w:val="20"/>
          <w:color w:val="auto"/>
        </w:rPr>
      </w:pPr>
      <w:r>
        <w:rPr>
          <w:rFonts w:ascii="Arial" w:cs="Arial" w:eastAsia="Arial" w:hAnsi="Arial"/>
          <w:sz w:val="12"/>
          <w:szCs w:val="12"/>
          <w:color w:val="auto"/>
        </w:rPr>
        <w:t>Credit Agreement among the Registrant, Bank of America, N.A., and certain agents and other lenders party thereto, dated as of September 12, 2006 (incorporated by reference to Exhibit 10.1 to the Registrant’s Current Report on Form 8-K filed on October 30, 2006)</w:t>
      </w:r>
    </w:p>
    <w:p>
      <w:pPr>
        <w:spacing w:after="0" w:line="151"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Amendment and Restatement Agreement dated as of March 5, 2010 to the Credit Agreement among the Registrant, Bank of America, N.A., and certain agents and other lenders party thereto (incorporated by reference to Exhibit 10.1 to the Registrant’s Current Report on Form 8-K filed on March 10, 2010)</w:t>
      </w:r>
    </w:p>
    <w:p>
      <w:pPr>
        <w:spacing w:after="0" w:line="7"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Stock Purchase Agreement, dated as of November 25, 2008, as amended and restated as of December 12, 2008, as further amended and restated as of December 21, 2008, among Fidelity National Title Insurance Company, Chicago Title Insurance Company, and LandAmerica Financial Group, Inc. (incorporated by reference to Exhibit 10.1 to the Registrant’s Current Report on Form 8-K filed on December 24, 2008.)</w:t>
      </w:r>
    </w:p>
    <w:p>
      <w:pPr>
        <w:spacing w:after="0" w:line="15" w:lineRule="exact"/>
        <w:rPr>
          <w:sz w:val="20"/>
          <w:szCs w:val="20"/>
          <w:color w:val="auto"/>
        </w:rPr>
      </w:pPr>
    </w:p>
    <w:p>
      <w:pPr>
        <w:sectPr>
          <w:pgSz w:w="11900" w:h="16838" w:orient="portrait"/>
          <w:cols w:equalWidth="0" w:num="2">
            <w:col w:w="480" w:space="720"/>
            <w:col w:w="9200"/>
          </w:cols>
          <w:pgMar w:left="1300" w:top="131" w:right="199" w:bottom="1440" w:gutter="0" w:footer="0" w:header="0"/>
          <w:type w:val="continuous"/>
        </w:sectPr>
      </w:pPr>
    </w:p>
    <w:tbl>
      <w:tblPr>
        <w:tblLayout w:type="fixed"/>
        <w:tblInd w:w="280" w:type="dxa"/>
        <w:tblCellMar>
          <w:top w:w="0" w:type="dxa"/>
          <w:left w:w="0" w:type="dxa"/>
          <w:bottom w:w="0" w:type="dxa"/>
          <w:right w:w="0" w:type="dxa"/>
        </w:tblCellMar>
      </w:tblPr>
      <w:tr>
        <w:trPr>
          <w:trHeight w:val="144"/>
        </w:trPr>
        <w:tc>
          <w:tcPr>
            <w:tcW w:w="560" w:type="dxa"/>
            <w:vAlign w:val="bottom"/>
          </w:tcPr>
          <w:p>
            <w:pPr>
              <w:jc w:val="right"/>
              <w:ind w:right="300"/>
              <w:spacing w:after="0"/>
              <w:rPr>
                <w:sz w:val="20"/>
                <w:szCs w:val="20"/>
                <w:color w:val="auto"/>
              </w:rPr>
            </w:pPr>
            <w:r>
              <w:rPr>
                <w:rFonts w:ascii="Arial" w:cs="Arial" w:eastAsia="Arial" w:hAnsi="Arial"/>
                <w:sz w:val="12"/>
                <w:szCs w:val="12"/>
                <w:color w:val="auto"/>
                <w:w w:val="76"/>
              </w:rPr>
              <w:t>10.4</w:t>
            </w:r>
          </w:p>
        </w:tc>
        <w:tc>
          <w:tcPr>
            <w:tcW w:w="9540" w:type="dxa"/>
            <w:vAlign w:val="bottom"/>
          </w:tcPr>
          <w:p>
            <w:pPr>
              <w:jc w:val="right"/>
              <w:spacing w:after="0"/>
              <w:rPr>
                <w:sz w:val="20"/>
                <w:szCs w:val="20"/>
                <w:color w:val="auto"/>
              </w:rPr>
            </w:pPr>
            <w:r>
              <w:rPr>
                <w:rFonts w:ascii="Arial" w:cs="Arial" w:eastAsia="Arial" w:hAnsi="Arial"/>
                <w:sz w:val="12"/>
                <w:szCs w:val="12"/>
                <w:color w:val="auto"/>
              </w:rPr>
              <w:t>Amended and Restated Fidelity National Financial, Inc. 2005 Omnibus Incentive Plan, effective as of September 26, 2005 (incorporated by reference to Annex A to the Registrant’s</w:t>
            </w:r>
          </w:p>
        </w:tc>
      </w:tr>
      <w:tr>
        <w:trPr>
          <w:trHeight w:val="153"/>
        </w:trPr>
        <w:tc>
          <w:tcPr>
            <w:tcW w:w="560" w:type="dxa"/>
            <w:vAlign w:val="bottom"/>
          </w:tcPr>
          <w:p>
            <w:pPr>
              <w:spacing w:after="0"/>
              <w:rPr>
                <w:sz w:val="13"/>
                <w:szCs w:val="13"/>
                <w:color w:val="auto"/>
              </w:rPr>
            </w:pPr>
          </w:p>
        </w:tc>
        <w:tc>
          <w:tcPr>
            <w:tcW w:w="9540" w:type="dxa"/>
            <w:vAlign w:val="bottom"/>
          </w:tcPr>
          <w:p>
            <w:pPr>
              <w:ind w:left="360"/>
              <w:spacing w:after="0"/>
              <w:rPr>
                <w:sz w:val="20"/>
                <w:szCs w:val="20"/>
                <w:color w:val="auto"/>
              </w:rPr>
            </w:pPr>
            <w:r>
              <w:rPr>
                <w:rFonts w:ascii="Arial" w:cs="Arial" w:eastAsia="Arial" w:hAnsi="Arial"/>
                <w:sz w:val="12"/>
                <w:szCs w:val="12"/>
                <w:color w:val="auto"/>
              </w:rPr>
              <w:t>Schedule 14A filed on April 15, 2008).(1)</w:t>
            </w:r>
          </w:p>
        </w:tc>
      </w:tr>
      <w:tr>
        <w:trPr>
          <w:trHeight w:val="171"/>
        </w:trPr>
        <w:tc>
          <w:tcPr>
            <w:tcW w:w="560" w:type="dxa"/>
            <w:vAlign w:val="bottom"/>
          </w:tcPr>
          <w:p>
            <w:pPr>
              <w:jc w:val="right"/>
              <w:ind w:right="300"/>
              <w:spacing w:after="0"/>
              <w:rPr>
                <w:sz w:val="20"/>
                <w:szCs w:val="20"/>
                <w:color w:val="auto"/>
              </w:rPr>
            </w:pPr>
            <w:r>
              <w:rPr>
                <w:rFonts w:ascii="Arial" w:cs="Arial" w:eastAsia="Arial" w:hAnsi="Arial"/>
                <w:sz w:val="12"/>
                <w:szCs w:val="12"/>
                <w:color w:val="auto"/>
                <w:w w:val="76"/>
              </w:rPr>
              <w:t>10.5</w:t>
            </w:r>
          </w:p>
        </w:tc>
        <w:tc>
          <w:tcPr>
            <w:tcW w:w="9540" w:type="dxa"/>
            <w:vAlign w:val="bottom"/>
          </w:tcPr>
          <w:p>
            <w:pPr>
              <w:jc w:val="right"/>
              <w:spacing w:after="0"/>
              <w:rPr>
                <w:sz w:val="20"/>
                <w:szCs w:val="20"/>
                <w:color w:val="auto"/>
              </w:rPr>
            </w:pPr>
            <w:r>
              <w:rPr>
                <w:rFonts w:ascii="Arial" w:cs="Arial" w:eastAsia="Arial" w:hAnsi="Arial"/>
                <w:sz w:val="12"/>
                <w:szCs w:val="12"/>
                <w:color w:val="auto"/>
                <w:w w:val="97"/>
              </w:rPr>
              <w:t>Fidelity National Title Group, Inc. Employee Stock Purchase Plan, effective as of September 26, 2005 (incorporated by reference to Exhibit 10.50 to the Registrant’s Quarterly Report on</w:t>
            </w:r>
          </w:p>
        </w:tc>
      </w:tr>
      <w:tr>
        <w:trPr>
          <w:trHeight w:val="153"/>
        </w:trPr>
        <w:tc>
          <w:tcPr>
            <w:tcW w:w="560" w:type="dxa"/>
            <w:vAlign w:val="bottom"/>
          </w:tcPr>
          <w:p>
            <w:pPr>
              <w:spacing w:after="0"/>
              <w:rPr>
                <w:sz w:val="13"/>
                <w:szCs w:val="13"/>
                <w:color w:val="auto"/>
              </w:rPr>
            </w:pPr>
          </w:p>
        </w:tc>
        <w:tc>
          <w:tcPr>
            <w:tcW w:w="9540" w:type="dxa"/>
            <w:vAlign w:val="bottom"/>
          </w:tcPr>
          <w:p>
            <w:pPr>
              <w:jc w:val="right"/>
              <w:ind w:right="6360"/>
              <w:spacing w:after="0"/>
              <w:rPr>
                <w:sz w:val="20"/>
                <w:szCs w:val="20"/>
                <w:color w:val="auto"/>
              </w:rPr>
            </w:pPr>
            <w:r>
              <w:rPr>
                <w:rFonts w:ascii="Arial" w:cs="Arial" w:eastAsia="Arial" w:hAnsi="Arial"/>
                <w:sz w:val="12"/>
                <w:szCs w:val="12"/>
                <w:color w:val="auto"/>
              </w:rPr>
              <w:t>Form 10-Q for the quarter ended September 30, 2005).(1)</w:t>
            </w:r>
          </w:p>
        </w:tc>
      </w:tr>
      <w:tr>
        <w:trPr>
          <w:trHeight w:val="171"/>
        </w:trPr>
        <w:tc>
          <w:tcPr>
            <w:tcW w:w="560" w:type="dxa"/>
            <w:vAlign w:val="bottom"/>
          </w:tcPr>
          <w:p>
            <w:pPr>
              <w:jc w:val="right"/>
              <w:ind w:right="300"/>
              <w:spacing w:after="0"/>
              <w:rPr>
                <w:sz w:val="20"/>
                <w:szCs w:val="20"/>
                <w:color w:val="auto"/>
              </w:rPr>
            </w:pPr>
            <w:r>
              <w:rPr>
                <w:rFonts w:ascii="Arial" w:cs="Arial" w:eastAsia="Arial" w:hAnsi="Arial"/>
                <w:sz w:val="12"/>
                <w:szCs w:val="12"/>
                <w:color w:val="auto"/>
                <w:w w:val="76"/>
              </w:rPr>
              <w:t>10.6</w:t>
            </w:r>
          </w:p>
        </w:tc>
        <w:tc>
          <w:tcPr>
            <w:tcW w:w="9540" w:type="dxa"/>
            <w:vAlign w:val="bottom"/>
          </w:tcPr>
          <w:p>
            <w:pPr>
              <w:jc w:val="right"/>
              <w:spacing w:after="0"/>
              <w:rPr>
                <w:sz w:val="20"/>
                <w:szCs w:val="20"/>
                <w:color w:val="auto"/>
              </w:rPr>
            </w:pPr>
            <w:r>
              <w:rPr>
                <w:rFonts w:ascii="Arial" w:cs="Arial" w:eastAsia="Arial" w:hAnsi="Arial"/>
                <w:sz w:val="12"/>
                <w:szCs w:val="12"/>
                <w:color w:val="auto"/>
              </w:rPr>
              <w:t>Form of Notice of Restric ted Stock Grant and Restricted Stock Award Agreement under Amended and Restated Fidelity National Financial, Inc. 2005 Omnibus Incentive Plan</w:t>
            </w:r>
          </w:p>
        </w:tc>
      </w:tr>
      <w:tr>
        <w:trPr>
          <w:trHeight w:val="153"/>
        </w:trPr>
        <w:tc>
          <w:tcPr>
            <w:tcW w:w="560" w:type="dxa"/>
            <w:vAlign w:val="bottom"/>
          </w:tcPr>
          <w:p>
            <w:pPr>
              <w:spacing w:after="0"/>
              <w:rPr>
                <w:sz w:val="13"/>
                <w:szCs w:val="13"/>
                <w:color w:val="auto"/>
              </w:rPr>
            </w:pPr>
          </w:p>
        </w:tc>
        <w:tc>
          <w:tcPr>
            <w:tcW w:w="9540" w:type="dxa"/>
            <w:vAlign w:val="bottom"/>
          </w:tcPr>
          <w:p>
            <w:pPr>
              <w:ind w:left="360"/>
              <w:spacing w:after="0"/>
              <w:rPr>
                <w:sz w:val="20"/>
                <w:szCs w:val="20"/>
                <w:color w:val="auto"/>
              </w:rPr>
            </w:pPr>
            <w:r>
              <w:rPr>
                <w:rFonts w:ascii="Arial" w:cs="Arial" w:eastAsia="Arial" w:hAnsi="Arial"/>
                <w:sz w:val="12"/>
                <w:szCs w:val="12"/>
                <w:color w:val="auto"/>
              </w:rPr>
              <w:t>(incorporated by reference to Exhibit 10.5 to the Registrant’s Annual Report on Form 10-K for the year ended December 31, 2008).(1)</w:t>
            </w:r>
          </w:p>
        </w:tc>
      </w:tr>
      <w:tr>
        <w:trPr>
          <w:trHeight w:val="171"/>
        </w:trPr>
        <w:tc>
          <w:tcPr>
            <w:tcW w:w="560" w:type="dxa"/>
            <w:vAlign w:val="bottom"/>
          </w:tcPr>
          <w:p>
            <w:pPr>
              <w:jc w:val="right"/>
              <w:ind w:right="300"/>
              <w:spacing w:after="0"/>
              <w:rPr>
                <w:sz w:val="20"/>
                <w:szCs w:val="20"/>
                <w:color w:val="auto"/>
              </w:rPr>
            </w:pPr>
            <w:r>
              <w:rPr>
                <w:rFonts w:ascii="Arial" w:cs="Arial" w:eastAsia="Arial" w:hAnsi="Arial"/>
                <w:sz w:val="12"/>
                <w:szCs w:val="12"/>
                <w:color w:val="auto"/>
                <w:w w:val="76"/>
              </w:rPr>
              <w:t>10.7</w:t>
            </w:r>
          </w:p>
        </w:tc>
        <w:tc>
          <w:tcPr>
            <w:tcW w:w="9540" w:type="dxa"/>
            <w:vAlign w:val="bottom"/>
          </w:tcPr>
          <w:p>
            <w:pPr>
              <w:jc w:val="right"/>
              <w:spacing w:after="0"/>
              <w:rPr>
                <w:sz w:val="20"/>
                <w:szCs w:val="20"/>
                <w:color w:val="auto"/>
              </w:rPr>
            </w:pPr>
            <w:r>
              <w:rPr>
                <w:rFonts w:ascii="Arial" w:cs="Arial" w:eastAsia="Arial" w:hAnsi="Arial"/>
                <w:sz w:val="12"/>
                <w:szCs w:val="12"/>
                <w:color w:val="auto"/>
              </w:rPr>
              <w:t>Form of Notice of Restricted Stock Grant and Restricted Stock Award Agreement under Amended and Restated Fidelity National Financial, Inc. 2005 Omnibus Incentive Plan for</w:t>
            </w:r>
          </w:p>
        </w:tc>
      </w:tr>
      <w:tr>
        <w:trPr>
          <w:trHeight w:val="153"/>
        </w:trPr>
        <w:tc>
          <w:tcPr>
            <w:tcW w:w="560" w:type="dxa"/>
            <w:vAlign w:val="bottom"/>
          </w:tcPr>
          <w:p>
            <w:pPr>
              <w:spacing w:after="0"/>
              <w:rPr>
                <w:sz w:val="13"/>
                <w:szCs w:val="13"/>
                <w:color w:val="auto"/>
              </w:rPr>
            </w:pPr>
          </w:p>
        </w:tc>
        <w:tc>
          <w:tcPr>
            <w:tcW w:w="9540" w:type="dxa"/>
            <w:vAlign w:val="bottom"/>
          </w:tcPr>
          <w:p>
            <w:pPr>
              <w:ind w:left="360"/>
              <w:spacing w:after="0"/>
              <w:rPr>
                <w:sz w:val="20"/>
                <w:szCs w:val="20"/>
                <w:color w:val="auto"/>
              </w:rPr>
            </w:pPr>
            <w:r>
              <w:rPr>
                <w:rFonts w:ascii="Arial" w:cs="Arial" w:eastAsia="Arial" w:hAnsi="Arial"/>
                <w:sz w:val="12"/>
                <w:szCs w:val="12"/>
                <w:color w:val="auto"/>
              </w:rPr>
              <w:t>November 2010 awards.(1)</w:t>
            </w:r>
          </w:p>
        </w:tc>
      </w:tr>
      <w:tr>
        <w:trPr>
          <w:trHeight w:val="171"/>
        </w:trPr>
        <w:tc>
          <w:tcPr>
            <w:tcW w:w="560" w:type="dxa"/>
            <w:vAlign w:val="bottom"/>
          </w:tcPr>
          <w:p>
            <w:pPr>
              <w:jc w:val="right"/>
              <w:ind w:right="300"/>
              <w:spacing w:after="0"/>
              <w:rPr>
                <w:sz w:val="20"/>
                <w:szCs w:val="20"/>
                <w:color w:val="auto"/>
              </w:rPr>
            </w:pPr>
            <w:r>
              <w:rPr>
                <w:rFonts w:ascii="Arial" w:cs="Arial" w:eastAsia="Arial" w:hAnsi="Arial"/>
                <w:sz w:val="12"/>
                <w:szCs w:val="12"/>
                <w:color w:val="auto"/>
                <w:w w:val="76"/>
              </w:rPr>
              <w:t>10.8</w:t>
            </w:r>
          </w:p>
        </w:tc>
        <w:tc>
          <w:tcPr>
            <w:tcW w:w="9540" w:type="dxa"/>
            <w:vAlign w:val="bottom"/>
          </w:tcPr>
          <w:p>
            <w:pPr>
              <w:jc w:val="right"/>
              <w:spacing w:after="0"/>
              <w:rPr>
                <w:sz w:val="20"/>
                <w:szCs w:val="20"/>
                <w:color w:val="auto"/>
              </w:rPr>
            </w:pPr>
            <w:r>
              <w:rPr>
                <w:rFonts w:ascii="Arial" w:cs="Arial" w:eastAsia="Arial" w:hAnsi="Arial"/>
                <w:sz w:val="12"/>
                <w:szCs w:val="12"/>
                <w:color w:val="auto"/>
              </w:rPr>
              <w:t>Form of Notice of Restricted Stock Grant and Restricted Stock Award Agreement under Amended and Restated Fidelity National Financial, Inc. 2005 Omnibus Incentive Plan for</w:t>
            </w:r>
          </w:p>
        </w:tc>
      </w:tr>
      <w:tr>
        <w:trPr>
          <w:trHeight w:val="153"/>
        </w:trPr>
        <w:tc>
          <w:tcPr>
            <w:tcW w:w="560" w:type="dxa"/>
            <w:vAlign w:val="bottom"/>
          </w:tcPr>
          <w:p>
            <w:pPr>
              <w:spacing w:after="0"/>
              <w:rPr>
                <w:sz w:val="13"/>
                <w:szCs w:val="13"/>
                <w:color w:val="auto"/>
              </w:rPr>
            </w:pPr>
          </w:p>
        </w:tc>
        <w:tc>
          <w:tcPr>
            <w:tcW w:w="9540" w:type="dxa"/>
            <w:vAlign w:val="bottom"/>
          </w:tcPr>
          <w:p>
            <w:pPr>
              <w:ind w:left="360"/>
              <w:spacing w:after="0"/>
              <w:rPr>
                <w:sz w:val="20"/>
                <w:szCs w:val="20"/>
                <w:color w:val="auto"/>
              </w:rPr>
            </w:pPr>
            <w:r>
              <w:rPr>
                <w:rFonts w:ascii="Arial" w:cs="Arial" w:eastAsia="Arial" w:hAnsi="Arial"/>
                <w:sz w:val="12"/>
                <w:szCs w:val="12"/>
                <w:color w:val="auto"/>
              </w:rPr>
              <w:t>November 2009 awards (incorporated by reference to Exhibit 10.6 to the Registrant's Annual Report on Form 10-K for the year ended December 31, 2009).(1)</w:t>
            </w:r>
          </w:p>
        </w:tc>
      </w:tr>
      <w:tr>
        <w:trPr>
          <w:trHeight w:val="594"/>
        </w:trPr>
        <w:tc>
          <w:tcPr>
            <w:tcW w:w="560" w:type="dxa"/>
            <w:vAlign w:val="bottom"/>
          </w:tcPr>
          <w:p>
            <w:pPr>
              <w:spacing w:after="0"/>
              <w:rPr>
                <w:sz w:val="24"/>
                <w:szCs w:val="24"/>
                <w:color w:val="auto"/>
              </w:rPr>
            </w:pPr>
          </w:p>
        </w:tc>
        <w:tc>
          <w:tcPr>
            <w:tcW w:w="9540" w:type="dxa"/>
            <w:vAlign w:val="bottom"/>
          </w:tcPr>
          <w:p>
            <w:pPr>
              <w:jc w:val="right"/>
              <w:ind w:right="5060"/>
              <w:spacing w:after="0"/>
              <w:rPr>
                <w:sz w:val="20"/>
                <w:szCs w:val="20"/>
                <w:color w:val="auto"/>
              </w:rPr>
            </w:pPr>
            <w:r>
              <w:rPr>
                <w:rFonts w:ascii="Arial" w:cs="Arial" w:eastAsia="Arial" w:hAnsi="Arial"/>
                <w:sz w:val="12"/>
                <w:szCs w:val="12"/>
                <w:color w:val="auto"/>
              </w:rPr>
              <w:t>97</w:t>
            </w:r>
          </w:p>
        </w:tc>
      </w:tr>
    </w:tbl>
    <w:p>
      <w:pPr>
        <w:sectPr>
          <w:pgSz w:w="11900" w:h="16838" w:orient="portrait"/>
          <w:cols w:equalWidth="0" w:num="1">
            <w:col w:w="10400"/>
          </w:cols>
          <w:pgMar w:left="1300" w:top="131" w:right="199" w:bottom="1440" w:gutter="0" w:footer="0" w:header="0"/>
          <w:type w:val="continuous"/>
        </w:sectPr>
      </w:pPr>
    </w:p>
    <w:bookmarkStart w:id="97" w:name="page98"/>
    <w:bookmarkEnd w:id="9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Exhibit</w:t>
            </w:r>
          </w:p>
        </w:tc>
        <w:tc>
          <w:tcPr>
            <w:tcW w:w="4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80" w:type="dxa"/>
            <w:vAlign w:val="bottom"/>
          </w:tcPr>
          <w:p>
            <w:pPr>
              <w:spacing w:after="0"/>
              <w:rPr>
                <w:sz w:val="10"/>
                <w:szCs w:val="10"/>
                <w:color w:val="auto"/>
              </w:rPr>
            </w:pPr>
          </w:p>
        </w:tc>
      </w:tr>
      <w:tr>
        <w:trPr>
          <w:trHeight w:val="105"/>
        </w:trPr>
        <w:tc>
          <w:tcPr>
            <w:tcW w:w="46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9"/>
              </w:rPr>
              <w:t>Number</w:t>
            </w:r>
          </w:p>
        </w:tc>
        <w:tc>
          <w:tcPr>
            <w:tcW w:w="9740" w:type="dxa"/>
            <w:vAlign w:val="bottom"/>
            <w:gridSpan w:val="3"/>
          </w:tcPr>
          <w:p>
            <w:pPr>
              <w:ind w:left="4780"/>
              <w:spacing w:after="0" w:line="105" w:lineRule="exact"/>
              <w:rPr>
                <w:sz w:val="20"/>
                <w:szCs w:val="20"/>
                <w:color w:val="auto"/>
              </w:rPr>
            </w:pPr>
            <w:r>
              <w:rPr>
                <w:rFonts w:ascii="Arial" w:cs="Arial" w:eastAsia="Arial" w:hAnsi="Arial"/>
                <w:sz w:val="10"/>
                <w:szCs w:val="10"/>
                <w:b w:val="1"/>
                <w:bCs w:val="1"/>
                <w:color w:val="auto"/>
              </w:rPr>
              <w:t>Description</w:t>
            </w:r>
          </w:p>
        </w:tc>
      </w:tr>
      <w:tr>
        <w:trPr>
          <w:trHeight w:val="20"/>
        </w:trPr>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68"/>
        </w:trPr>
        <w:tc>
          <w:tcPr>
            <w:tcW w:w="340" w:type="dxa"/>
            <w:vAlign w:val="bottom"/>
          </w:tcPr>
          <w:p>
            <w:pPr>
              <w:jc w:val="right"/>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23"/>
                <w:szCs w:val="23"/>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6"/>
              </w:rPr>
              <w:t>Form of Notice of Stock Option Grant and Stock Option Award Agreement under Amended and Restated Fidelity National Financial, Inc. 2005 Omnibus Incentive Plan (incorporated by</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reference to Exhibit 10.6 to the Registrant’s Annual Report on Form 10-K for the year ended December 31, 2008).(1)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10.10</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7"/>
              </w:rPr>
              <w:t>Tax Disaffiliation Agreement by and among Old FNF, the Registrant and FIS, dated as of October 23, 2006 (incorporated by reference to Exhibit 99.1 to Old FNF’s Form 8-K, filed on</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October 27, 2006)</w:t>
            </w:r>
          </w:p>
        </w:tc>
      </w:tr>
      <w:tr>
        <w:trPr>
          <w:trHeight w:val="180"/>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10.11</w:t>
            </w:r>
          </w:p>
        </w:tc>
        <w:tc>
          <w:tcPr>
            <w:tcW w:w="120" w:type="dxa"/>
            <w:vAlign w:val="bottom"/>
          </w:tcPr>
          <w:p>
            <w:pPr>
              <w:spacing w:after="0"/>
              <w:rPr>
                <w:sz w:val="15"/>
                <w:szCs w:val="15"/>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4"/>
              </w:rPr>
              <w:t>Cross-Indemnity Agreement by and between the Registrant and FIS, dated as of October 23, 2006 (incorporated by reference to Exhibit 99.2 to FIS’s Form 8-K, filed on October 27, 2006)</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10.12</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2"/>
              </w:rPr>
              <w:t>Fidelity Sedgwick Holdings, Inc. 2006 Stock Incentive Plan (the &amp;ldqu o;FSH Plan”), effective as of January 31, 2006 (incorporated by reference to Exhibit 99.3 to Old FNF's Current Report on</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Form 8-K filed on February 6, 2006).(1)</w:t>
            </w:r>
          </w:p>
        </w:tc>
      </w:tr>
      <w:tr>
        <w:trPr>
          <w:trHeight w:val="180"/>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10.13</w:t>
            </w:r>
          </w:p>
        </w:tc>
        <w:tc>
          <w:tcPr>
            <w:tcW w:w="120" w:type="dxa"/>
            <w:vAlign w:val="bottom"/>
          </w:tcPr>
          <w:p>
            <w:pPr>
              <w:spacing w:after="0"/>
              <w:rPr>
                <w:sz w:val="15"/>
                <w:szCs w:val="15"/>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rPr>
              <w:t>Form of Stock Option Agreement under the FSH Plan (incorporated by reference to Exhibit 99.4 to Old FNF's Current Report on Form 8-K filed on February 6, 2006).(1)</w:t>
            </w:r>
          </w:p>
        </w:tc>
      </w:tr>
      <w:tr>
        <w:trPr>
          <w:trHeight w:val="315"/>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10.14</w:t>
            </w:r>
          </w:p>
        </w:tc>
        <w:tc>
          <w:tcPr>
            <w:tcW w:w="120" w:type="dxa"/>
            <w:vAlign w:val="bottom"/>
          </w:tcPr>
          <w:p>
            <w:pPr>
              <w:spacing w:after="0"/>
              <w:rPr>
                <w:sz w:val="24"/>
                <w:szCs w:val="2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2"/>
              </w:rPr>
              <w:t>Amended and Restated Employment Agreement between the registrant and George P. Scanlon, effective as of November 1, 2010. (incorporated by reference to Exhibit 10.2 to the Registrant's</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Quarterly Report on Form 10-Q for the period ended September 30, 2010) (1)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10.15</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2"/>
              </w:rPr>
              <w:t>Amended and Restated Employment Agreement between the registrant and Daniel K. Murphy, effective as of September 30, 2010. (incorporated by reference to Exhibit 10.1 to the Registrant's</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Quarterly Report on Form 10-Q for the period ended September 30, 2010)(1)</w:t>
            </w:r>
          </w:p>
        </w:tc>
      </w:tr>
      <w:tr>
        <w:trPr>
          <w:trHeight w:val="315"/>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10.16</w:t>
            </w:r>
          </w:p>
        </w:tc>
        <w:tc>
          <w:tcPr>
            <w:tcW w:w="120" w:type="dxa"/>
            <w:vAlign w:val="bottom"/>
          </w:tcPr>
          <w:p>
            <w:pPr>
              <w:spacing w:after="0"/>
              <w:rPr>
                <w:sz w:val="24"/>
                <w:szCs w:val="2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3"/>
              </w:rPr>
              <w:t>Amended and Restated Employment Agreement between the Registrant and Anthony J. Park, effective as of October 10, 2008(1) (incorporated by reference to Exhibit 10.11 to Registrant’s</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Annual Report on Form 10-K for the year ended December 31, 2008)</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10.17</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0"/>
              </w:rPr>
              <w:t>Amendment effective February 4, 2010 to Amended and Restated Employment Agreement between the Registrant and Anthony J. Park, effective as of October 10, 2008(incorporated by reference</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to Exhibit 10.13 to the Registrant's Annual Report on Form 10-K for the year ended December 31, 2009)(1)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10.18</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2"/>
              </w:rPr>
              <w:t>Amended and Restated Employment Agree ment between the Registrant and Brent B. Bickett, effective as of July 2, 2008(incorporated by reference to Exhibit 10.14 to the Registrant's Annual</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Report on Form 10-K for the year ended December 31, 2009)(1).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10.19</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1"/>
              </w:rPr>
              <w:t>Amendment effective February 4, 2010 to Amended and Restated Employment Agreement between the Registrant and Brent B. Bickett, effective as of July 2, 2008(incorporated by reference to</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Exhibit 10.15 to the Registrant's Annual Report on Form 10-K for the year ended December 31, 2009)(1)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10.20</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1"/>
              </w:rPr>
              <w:t>Amendment effective February 4, 2010 to Amended and Restated Employment Agreement between the Registrant and William P. Foley, II, effective as of July 2, 2008(incorporated by reference</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to Exhibit 10.17 to the Registrant's Annual Report on Form 10-K for the year ended December 31, 2009)(1).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10.21</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4"/>
              </w:rPr>
              <w:t>Amended and Restated Employment Agreement between the registrant and Alan L. Stinson, effective as of October 20, 2010. (incorporated by reference to Exhibit 10.3 to the Registrant's</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Quarterly Report on Form 10-Q for the period ended September 30, 2010)(1)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10.22</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1"/>
              </w:rPr>
              <w:t>Amended and Restated Employment Agreement between the Registrant and Alan L. Stinson, effective as of January 1, 2009(1) (incorporated by reference to Exhibit 10.15 to Registrant’s Annual</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Report on Form 10-K for the year ended December 31, 2008).</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10.23</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1"/>
              </w:rPr>
              <w:t>Amendment effective February 4, 2010 to Amended and Restated Employment Agreement between the Registrant and Alan L. Stinson, effective as of January 1, 2009(incorporated by reference</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to Exhibit 10.19 to the Registrant's Annual Report on Form 10-K for the year ended December 31, 2009)(1).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10.24</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2"/>
              </w:rPr>
              <w:t>Amended and Restated Employment Agreement betwee n the Registrant and Raymond R. Quirk, effective as of October 10, 2008(1) (incorporated by reference to Exhibit 10.16 to Registrant’s</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Annual Report on Form 10-K for the year ended December 31, 2008)</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10.25</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4"/>
              </w:rPr>
              <w:t>Amendment effective February 4, 2010 to Amended and Restated Employment Agreement between the Registrant and Raymond R. Quirk, effective as of October 10, 2008(incorporated by</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reference to Exhibit 10.21 to the Regist rant's Annual Report on Form 10-K for the year ended December 31, 2009)(1)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10.26</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2"/>
              </w:rPr>
              <w:t>Amended and Restated Employment Agreement between the Registrant and Michael L. Gravelle, effective as of January 1, 2010(incorporated by reference to Exhibit 10.22 to the Registrant's</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Annual Report on Form 10-K for the year ended December 31, 2009)(1)</w:t>
            </w:r>
          </w:p>
        </w:tc>
      </w:tr>
      <w:tr>
        <w:trPr>
          <w:trHeight w:val="180"/>
        </w:trPr>
        <w:tc>
          <w:tcPr>
            <w:tcW w:w="340" w:type="dxa"/>
            <w:vAlign w:val="bottom"/>
          </w:tcPr>
          <w:p>
            <w:pPr>
              <w:jc w:val="right"/>
              <w:spacing w:after="0"/>
              <w:rPr>
                <w:sz w:val="20"/>
                <w:szCs w:val="20"/>
                <w:color w:val="auto"/>
              </w:rPr>
            </w:pPr>
            <w:r>
              <w:rPr>
                <w:rFonts w:ascii="Arial" w:cs="Arial" w:eastAsia="Arial" w:hAnsi="Arial"/>
                <w:sz w:val="12"/>
                <w:szCs w:val="12"/>
                <w:color w:val="auto"/>
                <w:w w:val="93"/>
              </w:rPr>
              <w:t>10.27</w:t>
            </w:r>
          </w:p>
        </w:tc>
        <w:tc>
          <w:tcPr>
            <w:tcW w:w="120" w:type="dxa"/>
            <w:vAlign w:val="bottom"/>
          </w:tcPr>
          <w:p>
            <w:pPr>
              <w:spacing w:after="0"/>
              <w:rPr>
                <w:sz w:val="15"/>
                <w:szCs w:val="15"/>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rPr>
              <w:t>Fidelity National Title Group, Inc. Annual Incentive Plan (incorporated by reference to Annex E to the Information Statement).(1)</w:t>
            </w:r>
          </w:p>
        </w:tc>
      </w:tr>
      <w:tr>
        <w:trPr>
          <w:trHeight w:val="171"/>
        </w:trPr>
        <w:tc>
          <w:tcPr>
            <w:tcW w:w="340" w:type="dxa"/>
            <w:vAlign w:val="bottom"/>
          </w:tcPr>
          <w:p>
            <w:pPr>
              <w:jc w:val="right"/>
              <w:spacing w:after="0"/>
              <w:rPr>
                <w:sz w:val="20"/>
                <w:szCs w:val="20"/>
                <w:color w:val="auto"/>
              </w:rPr>
            </w:pPr>
            <w:r>
              <w:rPr>
                <w:rFonts w:ascii="Arial" w:cs="Arial" w:eastAsia="Arial" w:hAnsi="Arial"/>
                <w:sz w:val="12"/>
                <w:szCs w:val="12"/>
                <w:color w:val="auto"/>
                <w:w w:val="93"/>
              </w:rPr>
              <w:t>10.28</w:t>
            </w:r>
          </w:p>
        </w:tc>
        <w:tc>
          <w:tcPr>
            <w:tcW w:w="120" w:type="dxa"/>
            <w:vAlign w:val="bottom"/>
          </w:tcPr>
          <w:p>
            <w:pPr>
              <w:spacing w:after="0"/>
              <w:rPr>
                <w:sz w:val="14"/>
                <w:szCs w:val="14"/>
                <w:color w:val="auto"/>
              </w:rPr>
            </w:pPr>
          </w:p>
        </w:tc>
        <w:tc>
          <w:tcPr>
            <w:tcW w:w="9740" w:type="dxa"/>
            <w:vAlign w:val="bottom"/>
            <w:gridSpan w:val="3"/>
          </w:tcPr>
          <w:p>
            <w:pPr>
              <w:ind w:left="340"/>
              <w:spacing w:after="0"/>
              <w:rPr>
                <w:sz w:val="20"/>
                <w:szCs w:val="20"/>
                <w:color w:val="auto"/>
              </w:rPr>
            </w:pPr>
            <w:r>
              <w:rPr>
                <w:rFonts w:ascii="Arial" w:cs="Arial" w:eastAsia="Arial" w:hAnsi="Arial"/>
                <w:sz w:val="12"/>
                <w:szCs w:val="12"/>
                <w:color w:val="auto"/>
                <w:w w:val="90"/>
              </w:rPr>
              <w:t>Fidelity National Financial, Inc. Deferred Compensation Plan, as amended and restated, effective January 1, 2009 (incorporated by reference to Exhibit 10.18 to the Registrant’s Annual Report on</w:t>
            </w:r>
          </w:p>
        </w:tc>
      </w:tr>
      <w:tr>
        <w:trPr>
          <w:trHeight w:val="153"/>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gridSpan w:val="3"/>
          </w:tcPr>
          <w:p>
            <w:pPr>
              <w:ind w:left="120"/>
              <w:spacing w:after="0"/>
              <w:rPr>
                <w:sz w:val="20"/>
                <w:szCs w:val="20"/>
                <w:color w:val="auto"/>
              </w:rPr>
            </w:pPr>
            <w:r>
              <w:rPr>
                <w:rFonts w:ascii="Arial" w:cs="Arial" w:eastAsia="Arial" w:hAnsi="Arial"/>
                <w:sz w:val="12"/>
                <w:szCs w:val="12"/>
                <w:color w:val="auto"/>
              </w:rPr>
              <w:t>Form 10-K for the year ended December 31, 2008).(1)</w:t>
            </w:r>
          </w:p>
        </w:tc>
      </w:tr>
      <w:tr>
        <w:trPr>
          <w:trHeight w:val="477"/>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tcPr>
          <w:p>
            <w:pPr>
              <w:ind w:left="4480"/>
              <w:spacing w:after="0"/>
              <w:rPr>
                <w:sz w:val="20"/>
                <w:szCs w:val="20"/>
                <w:color w:val="auto"/>
              </w:rPr>
            </w:pPr>
            <w:r>
              <w:rPr>
                <w:rFonts w:ascii="Arial" w:cs="Arial" w:eastAsia="Arial" w:hAnsi="Arial"/>
                <w:sz w:val="12"/>
                <w:szCs w:val="12"/>
                <w:color w:val="auto"/>
              </w:rPr>
              <w:t>98</w:t>
            </w:r>
          </w:p>
        </w:tc>
        <w:tc>
          <w:tcPr>
            <w:tcW w:w="48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0400"/>
          </w:cols>
          <w:pgMar w:left="1300" w:top="131" w:right="199" w:bottom="1440" w:gutter="0" w:footer="0" w:header="0"/>
        </w:sectPr>
      </w:pPr>
    </w:p>
    <w:bookmarkStart w:id="98" w:name="page99"/>
    <w:bookmarkEnd w:id="9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Exhibit</w:t>
            </w:r>
          </w:p>
        </w:tc>
        <w:tc>
          <w:tcPr>
            <w:tcW w:w="46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w w:val="87"/>
              </w:rPr>
              <w:t>Description</w:t>
            </w: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60" w:type="dxa"/>
            <w:vAlign w:val="bottom"/>
            <w:gridSpan w:val="2"/>
          </w:tcPr>
          <w:p>
            <w:pPr>
              <w:jc w:val="center"/>
              <w:ind w:right="220"/>
              <w:spacing w:after="0" w:line="76" w:lineRule="exact"/>
              <w:rPr>
                <w:sz w:val="20"/>
                <w:szCs w:val="20"/>
                <w:color w:val="auto"/>
              </w:rPr>
            </w:pPr>
            <w:r>
              <w:rPr>
                <w:rFonts w:ascii="Arial" w:cs="Arial" w:eastAsia="Arial" w:hAnsi="Arial"/>
                <w:sz w:val="8"/>
                <w:szCs w:val="8"/>
                <w:b w:val="1"/>
                <w:bCs w:val="1"/>
                <w:color w:val="auto"/>
              </w:rPr>
              <w:t>Number</w:t>
            </w:r>
          </w:p>
        </w:tc>
        <w:tc>
          <w:tcPr>
            <w:tcW w:w="46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21.1</w:t>
            </w:r>
          </w:p>
        </w:tc>
        <w:tc>
          <w:tcPr>
            <w:tcW w:w="220" w:type="dxa"/>
            <w:vAlign w:val="bottom"/>
          </w:tcPr>
          <w:p>
            <w:pPr>
              <w:spacing w:after="0"/>
              <w:rPr>
                <w:sz w:val="15"/>
                <w:szCs w:val="15"/>
                <w:color w:val="auto"/>
              </w:rPr>
            </w:pPr>
          </w:p>
        </w:tc>
        <w:tc>
          <w:tcPr>
            <w:tcW w:w="4620" w:type="dxa"/>
            <w:vAlign w:val="bottom"/>
          </w:tcPr>
          <w:p>
            <w:pPr>
              <w:ind w:left="240"/>
              <w:spacing w:after="0"/>
              <w:rPr>
                <w:sz w:val="20"/>
                <w:szCs w:val="20"/>
                <w:color w:val="auto"/>
              </w:rPr>
            </w:pPr>
            <w:r>
              <w:rPr>
                <w:rFonts w:ascii="Arial" w:cs="Arial" w:eastAsia="Arial" w:hAnsi="Arial"/>
                <w:sz w:val="12"/>
                <w:szCs w:val="12"/>
                <w:color w:val="auto"/>
              </w:rPr>
              <w:t>Subsidiaries of the Registrant</w:t>
            </w:r>
          </w:p>
        </w:tc>
        <w:tc>
          <w:tcPr>
            <w:tcW w:w="600" w:type="dxa"/>
            <w:vAlign w:val="bottom"/>
            <w:tcBorders>
              <w:top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 w:type="dxa"/>
            <w:vAlign w:val="bottom"/>
          </w:tcPr>
          <w:p>
            <w:pPr>
              <w:jc w:val="right"/>
              <w:spacing w:after="0"/>
              <w:rPr>
                <w:sz w:val="20"/>
                <w:szCs w:val="20"/>
                <w:color w:val="auto"/>
              </w:rPr>
            </w:pPr>
            <w:r>
              <w:rPr>
                <w:rFonts w:ascii="Arial" w:cs="Arial" w:eastAsia="Arial" w:hAnsi="Arial"/>
                <w:sz w:val="12"/>
                <w:szCs w:val="12"/>
                <w:color w:val="auto"/>
              </w:rPr>
              <w:t>23.1</w:t>
            </w:r>
          </w:p>
        </w:tc>
        <w:tc>
          <w:tcPr>
            <w:tcW w:w="220" w:type="dxa"/>
            <w:vAlign w:val="bottom"/>
          </w:tcPr>
          <w:p>
            <w:pPr>
              <w:spacing w:after="0"/>
              <w:rPr>
                <w:sz w:val="15"/>
                <w:szCs w:val="15"/>
                <w:color w:val="auto"/>
              </w:rPr>
            </w:pPr>
          </w:p>
        </w:tc>
        <w:tc>
          <w:tcPr>
            <w:tcW w:w="7680" w:type="dxa"/>
            <w:vAlign w:val="bottom"/>
            <w:gridSpan w:val="3"/>
          </w:tcPr>
          <w:p>
            <w:pPr>
              <w:ind w:left="240"/>
              <w:spacing w:after="0"/>
              <w:rPr>
                <w:sz w:val="20"/>
                <w:szCs w:val="20"/>
                <w:color w:val="auto"/>
              </w:rPr>
            </w:pPr>
            <w:r>
              <w:rPr>
                <w:rFonts w:ascii="Arial" w:cs="Arial" w:eastAsia="Arial" w:hAnsi="Arial"/>
                <w:sz w:val="12"/>
                <w:szCs w:val="12"/>
                <w:color w:val="auto"/>
              </w:rPr>
              <w:t>Consent of KPMG LLP, Independent Registered Public Accounting Firm</w:t>
            </w:r>
          </w:p>
        </w:tc>
        <w:tc>
          <w:tcPr>
            <w:tcW w:w="0" w:type="dxa"/>
            <w:vAlign w:val="bottom"/>
          </w:tcPr>
          <w:p>
            <w:pPr>
              <w:spacing w:after="0"/>
              <w:rPr>
                <w:sz w:val="1"/>
                <w:szCs w:val="1"/>
                <w:color w:val="auto"/>
              </w:rPr>
            </w:pPr>
          </w:p>
        </w:tc>
      </w:tr>
      <w:tr>
        <w:trPr>
          <w:trHeight w:val="180"/>
        </w:trPr>
        <w:tc>
          <w:tcPr>
            <w:tcW w:w="340" w:type="dxa"/>
            <w:vAlign w:val="bottom"/>
          </w:tcPr>
          <w:p>
            <w:pPr>
              <w:jc w:val="right"/>
              <w:spacing w:after="0"/>
              <w:rPr>
                <w:sz w:val="20"/>
                <w:szCs w:val="20"/>
                <w:color w:val="auto"/>
              </w:rPr>
            </w:pPr>
            <w:r>
              <w:rPr>
                <w:rFonts w:ascii="Arial" w:cs="Arial" w:eastAsia="Arial" w:hAnsi="Arial"/>
                <w:sz w:val="12"/>
                <w:szCs w:val="12"/>
                <w:color w:val="auto"/>
              </w:rPr>
              <w:t>31.1</w:t>
            </w:r>
          </w:p>
        </w:tc>
        <w:tc>
          <w:tcPr>
            <w:tcW w:w="220" w:type="dxa"/>
            <w:vAlign w:val="bottom"/>
          </w:tcPr>
          <w:p>
            <w:pPr>
              <w:spacing w:after="0"/>
              <w:rPr>
                <w:sz w:val="15"/>
                <w:szCs w:val="15"/>
                <w:color w:val="auto"/>
              </w:rPr>
            </w:pPr>
          </w:p>
        </w:tc>
        <w:tc>
          <w:tcPr>
            <w:tcW w:w="7680" w:type="dxa"/>
            <w:vAlign w:val="bottom"/>
            <w:gridSpan w:val="3"/>
          </w:tcPr>
          <w:p>
            <w:pPr>
              <w:ind w:left="240"/>
              <w:spacing w:after="0"/>
              <w:rPr>
                <w:sz w:val="20"/>
                <w:szCs w:val="20"/>
                <w:color w:val="auto"/>
              </w:rPr>
            </w:pPr>
            <w:r>
              <w:rPr>
                <w:rFonts w:ascii="Arial" w:cs="Arial" w:eastAsia="Arial" w:hAnsi="Arial"/>
                <w:sz w:val="12"/>
                <w:szCs w:val="12"/>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80"/>
        </w:trPr>
        <w:tc>
          <w:tcPr>
            <w:tcW w:w="340" w:type="dxa"/>
            <w:vAlign w:val="bottom"/>
          </w:tcPr>
          <w:p>
            <w:pPr>
              <w:jc w:val="right"/>
              <w:spacing w:after="0"/>
              <w:rPr>
                <w:sz w:val="20"/>
                <w:szCs w:val="20"/>
                <w:color w:val="auto"/>
              </w:rPr>
            </w:pPr>
            <w:r>
              <w:rPr>
                <w:rFonts w:ascii="Arial" w:cs="Arial" w:eastAsia="Arial" w:hAnsi="Arial"/>
                <w:sz w:val="12"/>
                <w:szCs w:val="12"/>
                <w:color w:val="auto"/>
              </w:rPr>
              <w:t>31.2</w:t>
            </w:r>
          </w:p>
        </w:tc>
        <w:tc>
          <w:tcPr>
            <w:tcW w:w="220" w:type="dxa"/>
            <w:vAlign w:val="bottom"/>
          </w:tcPr>
          <w:p>
            <w:pPr>
              <w:spacing w:after="0"/>
              <w:rPr>
                <w:sz w:val="15"/>
                <w:szCs w:val="15"/>
                <w:color w:val="auto"/>
              </w:rPr>
            </w:pPr>
          </w:p>
        </w:tc>
        <w:tc>
          <w:tcPr>
            <w:tcW w:w="7680" w:type="dxa"/>
            <w:vAlign w:val="bottom"/>
            <w:gridSpan w:val="3"/>
          </w:tcPr>
          <w:p>
            <w:pPr>
              <w:ind w:left="240"/>
              <w:spacing w:after="0"/>
              <w:rPr>
                <w:sz w:val="20"/>
                <w:szCs w:val="20"/>
                <w:color w:val="auto"/>
              </w:rPr>
            </w:pPr>
            <w:r>
              <w:rPr>
                <w:rFonts w:ascii="Arial" w:cs="Arial" w:eastAsia="Arial" w:hAnsi="Arial"/>
                <w:sz w:val="12"/>
                <w:szCs w:val="12"/>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180"/>
        </w:trPr>
        <w:tc>
          <w:tcPr>
            <w:tcW w:w="340" w:type="dxa"/>
            <w:vAlign w:val="bottom"/>
          </w:tcPr>
          <w:p>
            <w:pPr>
              <w:jc w:val="right"/>
              <w:spacing w:after="0"/>
              <w:rPr>
                <w:sz w:val="20"/>
                <w:szCs w:val="20"/>
                <w:color w:val="auto"/>
              </w:rPr>
            </w:pPr>
            <w:r>
              <w:rPr>
                <w:rFonts w:ascii="Arial" w:cs="Arial" w:eastAsia="Arial" w:hAnsi="Arial"/>
                <w:sz w:val="12"/>
                <w:szCs w:val="12"/>
                <w:color w:val="auto"/>
              </w:rPr>
              <w:t>32.1</w:t>
            </w:r>
          </w:p>
        </w:tc>
        <w:tc>
          <w:tcPr>
            <w:tcW w:w="220" w:type="dxa"/>
            <w:vAlign w:val="bottom"/>
          </w:tcPr>
          <w:p>
            <w:pPr>
              <w:spacing w:after="0"/>
              <w:rPr>
                <w:sz w:val="15"/>
                <w:szCs w:val="15"/>
                <w:color w:val="auto"/>
              </w:rPr>
            </w:pPr>
          </w:p>
        </w:tc>
        <w:tc>
          <w:tcPr>
            <w:tcW w:w="7680" w:type="dxa"/>
            <w:vAlign w:val="bottom"/>
            <w:gridSpan w:val="3"/>
          </w:tcPr>
          <w:p>
            <w:pPr>
              <w:ind w:left="240"/>
              <w:spacing w:after="0"/>
              <w:rPr>
                <w:sz w:val="20"/>
                <w:szCs w:val="20"/>
                <w:color w:val="auto"/>
              </w:rPr>
            </w:pPr>
            <w:r>
              <w:rPr>
                <w:rFonts w:ascii="Arial" w:cs="Arial" w:eastAsia="Arial" w:hAnsi="Arial"/>
                <w:sz w:val="12"/>
                <w:szCs w:val="12"/>
                <w:color w:val="auto"/>
                <w:w w:val="91"/>
              </w:rPr>
              <w:t>Certification by Chief Executive Officer of Periodic Financial Reports pursuant to Section 906 of the Sarbanes-Oxley Act of 2002, 18 U.S.C. Section 1350</w:t>
            </w:r>
          </w:p>
        </w:tc>
        <w:tc>
          <w:tcPr>
            <w:tcW w:w="0" w:type="dxa"/>
            <w:vAlign w:val="bottom"/>
          </w:tcPr>
          <w:p>
            <w:pPr>
              <w:spacing w:after="0"/>
              <w:rPr>
                <w:sz w:val="1"/>
                <w:szCs w:val="1"/>
                <w:color w:val="auto"/>
              </w:rPr>
            </w:pPr>
          </w:p>
        </w:tc>
      </w:tr>
      <w:tr>
        <w:trPr>
          <w:trHeight w:val="180"/>
        </w:trPr>
        <w:tc>
          <w:tcPr>
            <w:tcW w:w="340" w:type="dxa"/>
            <w:vAlign w:val="bottom"/>
          </w:tcPr>
          <w:p>
            <w:pPr>
              <w:jc w:val="right"/>
              <w:spacing w:after="0"/>
              <w:rPr>
                <w:sz w:val="20"/>
                <w:szCs w:val="20"/>
                <w:color w:val="auto"/>
              </w:rPr>
            </w:pPr>
            <w:r>
              <w:rPr>
                <w:rFonts w:ascii="Arial" w:cs="Arial" w:eastAsia="Arial" w:hAnsi="Arial"/>
                <w:sz w:val="12"/>
                <w:szCs w:val="12"/>
                <w:color w:val="auto"/>
              </w:rPr>
              <w:t>32.2</w:t>
            </w:r>
          </w:p>
        </w:tc>
        <w:tc>
          <w:tcPr>
            <w:tcW w:w="220" w:type="dxa"/>
            <w:vAlign w:val="bottom"/>
          </w:tcPr>
          <w:p>
            <w:pPr>
              <w:spacing w:after="0"/>
              <w:rPr>
                <w:sz w:val="15"/>
                <w:szCs w:val="15"/>
                <w:color w:val="auto"/>
              </w:rPr>
            </w:pPr>
          </w:p>
        </w:tc>
        <w:tc>
          <w:tcPr>
            <w:tcW w:w="7680" w:type="dxa"/>
            <w:vAlign w:val="bottom"/>
            <w:gridSpan w:val="3"/>
          </w:tcPr>
          <w:p>
            <w:pPr>
              <w:ind w:left="240"/>
              <w:spacing w:after="0"/>
              <w:rPr>
                <w:sz w:val="20"/>
                <w:szCs w:val="20"/>
                <w:color w:val="auto"/>
              </w:rPr>
            </w:pPr>
            <w:r>
              <w:rPr>
                <w:rFonts w:ascii="Arial" w:cs="Arial" w:eastAsia="Arial" w:hAnsi="Arial"/>
                <w:sz w:val="12"/>
                <w:szCs w:val="12"/>
                <w:color w:val="auto"/>
                <w:w w:val="91"/>
              </w:rPr>
              <w:t>Certification by Chief Financial Officer of Periodic Financial Reports pursuant to Section 906 of the Sarbane s-Oxley Act of 2002, 18 U.S.C. Section 1350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140" w:right="1879" w:hanging="4931"/>
        <w:spacing w:after="0" w:line="778" w:lineRule="auto"/>
        <w:tabs>
          <w:tab w:leader="none" w:pos="692" w:val="left"/>
        </w:tabs>
        <w:numPr>
          <w:ilvl w:val="0"/>
          <w:numId w:val="39"/>
        </w:numPr>
        <w:rPr>
          <w:rFonts w:ascii="Arial" w:cs="Arial" w:eastAsia="Arial" w:hAnsi="Arial"/>
          <w:sz w:val="12"/>
          <w:szCs w:val="12"/>
          <w:color w:val="auto"/>
        </w:rPr>
      </w:pPr>
      <w:r>
        <w:rPr>
          <w:rFonts w:ascii="Arial" w:cs="Arial" w:eastAsia="Arial" w:hAnsi="Arial"/>
          <w:sz w:val="12"/>
          <w:szCs w:val="12"/>
          <w:color w:val="auto"/>
        </w:rPr>
        <w:t>A management or compensatory plan or arrangement required to be filed as an exhibit to this report pursuant to Item 15(c) of Form 10-K 99</w:t>
      </w:r>
    </w:p>
    <w:p>
      <w:pPr>
        <w:sectPr>
          <w:pgSz w:w="11900" w:h="16838" w:orient="portrait"/>
          <w:cols w:equalWidth="0" w:num="1">
            <w:col w:w="9159"/>
          </w:cols>
          <w:pgMar w:left="1300" w:top="13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3"/>
          <w:szCs w:val="13"/>
          <w:b w:val="1"/>
          <w:bCs w:val="1"/>
          <w:color w:val="auto"/>
        </w:rPr>
        <w:t>Exhibit 10.7</w:t>
      </w:r>
    </w:p>
    <w:p>
      <w:pPr>
        <w:spacing w:after="0" w:line="148" w:lineRule="exact"/>
        <w:rPr>
          <w:sz w:val="20"/>
          <w:szCs w:val="20"/>
          <w:color w:val="auto"/>
        </w:rPr>
      </w:pPr>
    </w:p>
    <w:p>
      <w:pPr>
        <w:jc w:val="center"/>
        <w:ind w:left="1100"/>
        <w:spacing w:after="0"/>
        <w:rPr>
          <w:sz w:val="20"/>
          <w:szCs w:val="20"/>
          <w:color w:val="auto"/>
        </w:rPr>
      </w:pPr>
      <w:r>
        <w:rPr>
          <w:rFonts w:ascii="Arial" w:cs="Arial" w:eastAsia="Arial" w:hAnsi="Arial"/>
          <w:sz w:val="13"/>
          <w:szCs w:val="13"/>
          <w:b w:val="1"/>
          <w:bCs w:val="1"/>
          <w:color w:val="auto"/>
        </w:rPr>
        <w:t>Fidelity National Financial, Inc.</w:t>
      </w:r>
    </w:p>
    <w:p>
      <w:pPr>
        <w:spacing w:after="0" w:line="148" w:lineRule="exact"/>
        <w:rPr>
          <w:sz w:val="20"/>
          <w:szCs w:val="20"/>
          <w:color w:val="auto"/>
        </w:rPr>
      </w:pPr>
    </w:p>
    <w:p>
      <w:pPr>
        <w:jc w:val="center"/>
        <w:ind w:left="1100"/>
        <w:spacing w:after="0"/>
        <w:rPr>
          <w:sz w:val="20"/>
          <w:szCs w:val="20"/>
          <w:color w:val="auto"/>
        </w:rPr>
      </w:pPr>
      <w:r>
        <w:rPr>
          <w:rFonts w:ascii="Arial" w:cs="Arial" w:eastAsia="Arial" w:hAnsi="Arial"/>
          <w:sz w:val="13"/>
          <w:szCs w:val="13"/>
          <w:b w:val="1"/>
          <w:bCs w:val="1"/>
          <w:color w:val="auto"/>
        </w:rPr>
        <w:t>Notice of Restricted Stock Grant</w:t>
      </w:r>
    </w:p>
    <w:p>
      <w:pPr>
        <w:spacing w:after="0" w:line="152" w:lineRule="exact"/>
        <w:rPr>
          <w:sz w:val="20"/>
          <w:szCs w:val="20"/>
          <w:color w:val="auto"/>
        </w:rPr>
      </w:pPr>
    </w:p>
    <w:p>
      <w:pPr>
        <w:ind w:right="20" w:firstLine="432"/>
        <w:spacing w:after="0" w:line="298" w:lineRule="auto"/>
        <w:rPr>
          <w:sz w:val="20"/>
          <w:szCs w:val="20"/>
          <w:color w:val="auto"/>
        </w:rPr>
      </w:pPr>
      <w:r>
        <w:rPr>
          <w:rFonts w:ascii="Arial" w:cs="Arial" w:eastAsia="Arial" w:hAnsi="Arial"/>
          <w:sz w:val="12"/>
          <w:szCs w:val="12"/>
          <w:color w:val="auto"/>
        </w:rPr>
        <w:t>You (the “Grantee”) have been granted the following award of restricted Common Stock (the “Restricted Stock”) of Fidelity National Financial, Inc. (the “Company”), par value $0.0001 per share (the “Shares”), pursuant to the Fidelity National Financial, Inc. (f/k/a Fidelity National Title Group, Inc.) Amended and Restated 2005 Omnibus Incentive Plan (the “Plan”):</w:t>
      </w:r>
    </w:p>
    <w:p>
      <w:pPr>
        <w:sectPr>
          <w:pgSz w:w="11900" w:h="16838" w:orient="portrait"/>
          <w:cols w:equalWidth="0" w:num="1">
            <w:col w:w="10620"/>
          </w:cols>
          <w:pgMar w:left="1080" w:top="413" w:right="199" w:bottom="1440" w:gutter="0" w:footer="0" w:header="0"/>
        </w:sectPr>
      </w:pPr>
    </w:p>
    <w:p>
      <w:pPr>
        <w:spacing w:after="0" w:line="90"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Name of Grantee: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59" w:lineRule="exact"/>
        <w:rPr>
          <w:sz w:val="20"/>
          <w:szCs w:val="20"/>
          <w:color w:val="auto"/>
        </w:rPr>
      </w:pPr>
    </w:p>
    <w:p>
      <w:pPr>
        <w:sectPr>
          <w:pgSz w:w="11900" w:h="16838" w:orient="portrait"/>
          <w:cols w:equalWidth="0" w:num="2">
            <w:col w:w="1160" w:space="720"/>
            <w:col w:w="8740"/>
          </w:cols>
          <w:pgMar w:left="1080" w:top="413"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Number of Shares of Restricted Stock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[xxx]</w:t>
      </w:r>
    </w:p>
    <w:p>
      <w:pPr>
        <w:spacing w:after="0" w:line="148" w:lineRule="exact"/>
        <w:rPr>
          <w:sz w:val="20"/>
          <w:szCs w:val="20"/>
          <w:color w:val="auto"/>
        </w:rPr>
      </w:pPr>
    </w:p>
    <w:p>
      <w:pPr>
        <w:sectPr>
          <w:pgSz w:w="11900" w:h="16838" w:orient="portrait"/>
          <w:cols w:equalWidth="0" w:num="2">
            <w:col w:w="2720" w:space="360"/>
            <w:col w:w="7540"/>
          </w:cols>
          <w:pgMar w:left="1080" w:top="413" w:right="199" w:bottom="1440" w:gutter="0" w:footer="0" w:header="0"/>
          <w:type w:val="continuous"/>
        </w:sectPr>
      </w:pPr>
    </w:p>
    <w:p>
      <w:pPr>
        <w:ind w:left="220"/>
        <w:spacing w:after="0"/>
        <w:rPr>
          <w:sz w:val="20"/>
          <w:szCs w:val="20"/>
          <w:color w:val="auto"/>
        </w:rPr>
      </w:pPr>
      <w:r>
        <w:rPr>
          <w:rFonts w:ascii="Arial" w:cs="Arial" w:eastAsia="Arial" w:hAnsi="Arial"/>
          <w:sz w:val="12"/>
          <w:szCs w:val="12"/>
          <w:color w:val="auto"/>
        </w:rPr>
        <w:t>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November 10, 2010</w:t>
      </w:r>
    </w:p>
    <w:p>
      <w:pPr>
        <w:spacing w:after="0" w:line="159" w:lineRule="exact"/>
        <w:rPr>
          <w:sz w:val="20"/>
          <w:szCs w:val="20"/>
          <w:color w:val="auto"/>
        </w:rPr>
      </w:pPr>
    </w:p>
    <w:p>
      <w:pPr>
        <w:sectPr>
          <w:pgSz w:w="11900" w:h="16838" w:orient="portrait"/>
          <w:cols w:equalWidth="0" w:num="2">
            <w:col w:w="1480" w:space="720"/>
            <w:col w:w="8420"/>
          </w:cols>
          <w:pgMar w:left="1080" w:top="413"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Vesting and Period of Restriction: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&amp; nbsp;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See Exhibit A</w:t>
      </w:r>
    </w:p>
    <w:p>
      <w:pPr>
        <w:spacing w:after="0" w:line="200" w:lineRule="exact"/>
        <w:rPr>
          <w:sz w:val="20"/>
          <w:szCs w:val="20"/>
          <w:color w:val="auto"/>
        </w:rPr>
      </w:pPr>
    </w:p>
    <w:p>
      <w:pPr>
        <w:sectPr>
          <w:pgSz w:w="11900" w:h="16838" w:orient="portrait"/>
          <w:cols w:equalWidth="0" w:num="3">
            <w:col w:w="2000" w:space="340"/>
            <w:col w:w="380" w:space="120"/>
            <w:col w:w="7780"/>
          </w:cols>
          <w:pgMar w:left="1080" w:top="413" w:right="199" w:bottom="1440" w:gutter="0" w:footer="0" w:header="0"/>
          <w:type w:val="continuous"/>
        </w:sectPr>
      </w:pPr>
    </w:p>
    <w:p>
      <w:pPr>
        <w:spacing w:after="0" w:line="103"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By your signature and the signature of the Company's representative below, you and the Company agree and acknowledge that this grant of Restricted Stock is granted under and governed by the terms and conditions of the Plan and the attached Restricted Stock Award Agreement, which are incorporated herein by reference, and that you have been provided with a copy of the Plan and Restricted Stock Agreement.</w:t>
      </w: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Grantee: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Fidelity National Financial, Inc.</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By:</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(Name</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Name:</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Title: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Date</w:t>
      </w:r>
    </w:p>
    <w:p>
      <w:pPr>
        <w:spacing w:after="0" w:line="281"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&amp; nbsp;</w:t>
      </w:r>
    </w:p>
    <w:p>
      <w:pPr>
        <w:sectPr>
          <w:pgSz w:w="11900" w:h="16838" w:orient="portrait"/>
          <w:cols w:equalWidth="0" w:num="1">
            <w:col w:w="10620"/>
          </w:cols>
          <w:pgMar w:left="1080" w:top="413" w:right="199" w:bottom="1440" w:gutter="0" w:footer="0" w:header="0"/>
          <w:type w:val="continuous"/>
        </w:sectPr>
      </w:pPr>
    </w:p>
    <w:bookmarkStart w:id="100" w:name="page101"/>
    <w:bookmarkEnd w:id="100"/>
    <w:p>
      <w:pPr>
        <w:jc w:val="center"/>
        <w:ind w:left="1100"/>
        <w:spacing w:after="0"/>
        <w:rPr>
          <w:sz w:val="20"/>
          <w:szCs w:val="20"/>
          <w:color w:val="auto"/>
        </w:rPr>
      </w:pPr>
      <w:r>
        <w:rPr>
          <w:rFonts w:ascii="Arial" w:cs="Arial" w:eastAsia="Arial" w:hAnsi="Arial"/>
          <w:sz w:val="13"/>
          <w:szCs w:val="13"/>
          <w:b w:val="1"/>
          <w:bCs w:val="1"/>
          <w:color w:val="auto"/>
        </w:rPr>
        <w:t>Fidelity National Financial, Inc.</w:t>
      </w:r>
    </w:p>
    <w:p>
      <w:pPr>
        <w:spacing w:after="0" w:line="18" w:lineRule="exact"/>
        <w:rPr>
          <w:sz w:val="20"/>
          <w:szCs w:val="20"/>
          <w:color w:val="auto"/>
        </w:rPr>
      </w:pPr>
    </w:p>
    <w:p>
      <w:pPr>
        <w:jc w:val="center"/>
        <w:ind w:left="1100"/>
        <w:spacing w:after="0"/>
        <w:rPr>
          <w:sz w:val="20"/>
          <w:szCs w:val="20"/>
          <w:color w:val="auto"/>
        </w:rPr>
      </w:pPr>
      <w:r>
        <w:rPr>
          <w:rFonts w:ascii="Arial" w:cs="Arial" w:eastAsia="Arial" w:hAnsi="Arial"/>
          <w:sz w:val="13"/>
          <w:szCs w:val="13"/>
          <w:b w:val="1"/>
          <w:bCs w:val="1"/>
          <w:color w:val="auto"/>
        </w:rPr>
        <w:t>Amended and Restated 2005 Omnibus Incentive Plan</w:t>
      </w:r>
    </w:p>
    <w:p>
      <w:pPr>
        <w:spacing w:after="0" w:line="134" w:lineRule="exact"/>
        <w:rPr>
          <w:sz w:val="20"/>
          <w:szCs w:val="20"/>
          <w:color w:val="auto"/>
        </w:rPr>
      </w:pPr>
    </w:p>
    <w:p>
      <w:pPr>
        <w:jc w:val="center"/>
        <w:ind w:left="1100"/>
        <w:spacing w:after="0"/>
        <w:rPr>
          <w:sz w:val="20"/>
          <w:szCs w:val="20"/>
          <w:color w:val="auto"/>
        </w:rPr>
      </w:pPr>
      <w:r>
        <w:rPr>
          <w:rFonts w:ascii="Arial" w:cs="Arial" w:eastAsia="Arial" w:hAnsi="Arial"/>
          <w:sz w:val="13"/>
          <w:szCs w:val="13"/>
          <w:b w:val="1"/>
          <w:bCs w:val="1"/>
          <w:color w:val="auto"/>
        </w:rPr>
        <w:t>Restricted Stock Award Agreement</w:t>
      </w:r>
    </w:p>
    <w:p>
      <w:pPr>
        <w:spacing w:after="0" w:line="148"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2"/>
          <w:szCs w:val="12"/>
          <w:color w:val="auto"/>
        </w:rPr>
        <w:t>Section 1.</w:t>
      </w:r>
      <w:r>
        <w:rPr>
          <w:sz w:val="20"/>
          <w:szCs w:val="20"/>
          <w:color w:val="auto"/>
        </w:rPr>
        <w:tab/>
      </w:r>
      <w:r>
        <w:rPr>
          <w:rFonts w:ascii="Arial" w:cs="Arial" w:eastAsia="Arial" w:hAnsi="Arial"/>
          <w:sz w:val="13"/>
          <w:szCs w:val="13"/>
          <w:b w:val="1"/>
          <w:bCs w:val="1"/>
          <w:color w:val="auto"/>
        </w:rPr>
        <w:t>GRANT OF RESTRICTED STOCK</w:t>
      </w:r>
    </w:p>
    <w:p>
      <w:pPr>
        <w:spacing w:after="0" w:line="148" w:lineRule="exact"/>
        <w:rPr>
          <w:sz w:val="20"/>
          <w:szCs w:val="20"/>
          <w:color w:val="auto"/>
        </w:rPr>
      </w:pPr>
    </w:p>
    <w:p>
      <w:pPr>
        <w:ind w:right="20" w:firstLine="213"/>
        <w:spacing w:after="0" w:line="278" w:lineRule="auto"/>
        <w:tabs>
          <w:tab w:leader="none" w:pos="828" w:val="left"/>
        </w:tabs>
        <w:numPr>
          <w:ilvl w:val="0"/>
          <w:numId w:val="40"/>
        </w:numPr>
        <w:rPr>
          <w:rFonts w:ascii="Arial" w:cs="Arial" w:eastAsia="Arial" w:hAnsi="Arial"/>
          <w:sz w:val="13"/>
          <w:szCs w:val="13"/>
          <w:color w:val="auto"/>
        </w:rPr>
      </w:pPr>
      <w:r>
        <w:rPr>
          <w:rFonts w:ascii="Arial" w:cs="Arial" w:eastAsia="Arial" w:hAnsi="Arial"/>
          <w:sz w:val="13"/>
          <w:szCs w:val="13"/>
          <w:b w:val="1"/>
          <w:bCs w:val="1"/>
          <w:color w:val="auto"/>
        </w:rPr>
        <w:t>Restricted Stock</w:t>
      </w:r>
      <w:r>
        <w:rPr>
          <w:rFonts w:ascii="Arial" w:cs="Arial" w:eastAsia="Arial" w:hAnsi="Arial"/>
          <w:sz w:val="13"/>
          <w:szCs w:val="13"/>
          <w:color w:val="auto"/>
        </w:rPr>
        <w:t>. On the terms and conditions set forth in the Notice of Restricted Stock Grant and this Restricted Stock Award Agreement (the “Agreement”), the Company grants to</w:t>
      </w:r>
      <w:r>
        <w:rPr>
          <w:rFonts w:ascii="Arial" w:cs="Arial" w:eastAsia="Arial" w:hAnsi="Arial"/>
          <w:sz w:val="13"/>
          <w:szCs w:val="13"/>
          <w:b w:val="1"/>
          <w:bCs w:val="1"/>
          <w:color w:val="auto"/>
        </w:rPr>
        <w:t xml:space="preserve"> </w:t>
      </w:r>
      <w:r>
        <w:rPr>
          <w:rFonts w:ascii="Arial" w:cs="Arial" w:eastAsia="Arial" w:hAnsi="Arial"/>
          <w:sz w:val="13"/>
          <w:szCs w:val="13"/>
          <w:color w:val="auto"/>
        </w:rPr>
        <w:t>the Grantee on the Effective Date of Grant the Shares of Restricted Stock (the “Restricted Stock”) set forth in the Notice of Restricted Stock Grant.</w:t>
      </w:r>
    </w:p>
    <w:p>
      <w:pPr>
        <w:spacing w:after="0" w:line="104" w:lineRule="exact"/>
        <w:rPr>
          <w:rFonts w:ascii="Arial" w:cs="Arial" w:eastAsia="Arial" w:hAnsi="Arial"/>
          <w:sz w:val="13"/>
          <w:szCs w:val="13"/>
          <w:color w:val="auto"/>
        </w:rPr>
      </w:pPr>
    </w:p>
    <w:p>
      <w:pPr>
        <w:jc w:val="both"/>
        <w:ind w:right="20" w:firstLine="213"/>
        <w:spacing w:after="0" w:line="293" w:lineRule="auto"/>
        <w:tabs>
          <w:tab w:leader="none" w:pos="835" w:val="left"/>
        </w:tabs>
        <w:numPr>
          <w:ilvl w:val="0"/>
          <w:numId w:val="40"/>
        </w:numPr>
        <w:rPr>
          <w:rFonts w:ascii="Arial" w:cs="Arial" w:eastAsia="Arial" w:hAnsi="Arial"/>
          <w:sz w:val="12"/>
          <w:szCs w:val="12"/>
          <w:color w:val="auto"/>
        </w:rPr>
      </w:pPr>
      <w:r>
        <w:rPr>
          <w:rFonts w:ascii="Arial" w:cs="Arial" w:eastAsia="Arial" w:hAnsi="Arial"/>
          <w:sz w:val="12"/>
          <w:szCs w:val="12"/>
          <w:b w:val="1"/>
          <w:bCs w:val="1"/>
          <w:color w:val="auto"/>
        </w:rPr>
        <w:t>Plan and Defined Terms</w:t>
      </w:r>
      <w:r>
        <w:rPr>
          <w:rFonts w:ascii="Arial" w:cs="Arial" w:eastAsia="Arial" w:hAnsi="Arial"/>
          <w:sz w:val="12"/>
          <w:szCs w:val="12"/>
          <w:color w:val="auto"/>
        </w:rPr>
        <w:t>. The Restricted Stock is granted pursuant to the Plan. All terms, provisions, and conditions applicable to the Restricted Stock set forth in the Plan and not set</w:t>
      </w:r>
      <w:r>
        <w:rPr>
          <w:rFonts w:ascii="Arial" w:cs="Arial" w:eastAsia="Arial" w:hAnsi="Arial"/>
          <w:sz w:val="12"/>
          <w:szCs w:val="12"/>
          <w:b w:val="1"/>
          <w:bCs w:val="1"/>
          <w:color w:val="auto"/>
        </w:rPr>
        <w:t xml:space="preserve"> </w:t>
      </w:r>
      <w:r>
        <w:rPr>
          <w:rFonts w:ascii="Arial" w:cs="Arial" w:eastAsia="Arial" w:hAnsi="Arial"/>
          <w:sz w:val="12"/>
          <w:szCs w:val="12"/>
          <w:color w:val="auto"/>
        </w:rPr>
        <w:t>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98"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2"/>
          <w:szCs w:val="12"/>
          <w:color w:val="auto"/>
        </w:rPr>
        <w:t>Section 2.</w:t>
      </w:r>
      <w:r>
        <w:rPr>
          <w:sz w:val="20"/>
          <w:szCs w:val="20"/>
          <w:color w:val="auto"/>
        </w:rPr>
        <w:tab/>
      </w:r>
      <w:r>
        <w:rPr>
          <w:rFonts w:ascii="Arial" w:cs="Arial" w:eastAsia="Arial" w:hAnsi="Arial"/>
          <w:sz w:val="13"/>
          <w:szCs w:val="13"/>
          <w:b w:val="1"/>
          <w:bCs w:val="1"/>
          <w:color w:val="auto"/>
        </w:rPr>
        <w:t>FORFEITURE AND TRANSFER RESTRICTIONS</w:t>
      </w:r>
    </w:p>
    <w:p>
      <w:pPr>
        <w:spacing w:after="0" w:line="148" w:lineRule="exact"/>
        <w:rPr>
          <w:sz w:val="20"/>
          <w:szCs w:val="20"/>
          <w:color w:val="auto"/>
        </w:rPr>
      </w:pPr>
    </w:p>
    <w:p>
      <w:pPr>
        <w:ind w:left="820" w:hanging="607"/>
        <w:spacing w:after="0"/>
        <w:tabs>
          <w:tab w:leader="none" w:pos="820" w:val="left"/>
        </w:tabs>
        <w:numPr>
          <w:ilvl w:val="0"/>
          <w:numId w:val="41"/>
        </w:numPr>
        <w:rPr>
          <w:rFonts w:ascii="Arial" w:cs="Arial" w:eastAsia="Arial" w:hAnsi="Arial"/>
          <w:sz w:val="13"/>
          <w:szCs w:val="13"/>
          <w:color w:val="auto"/>
        </w:rPr>
      </w:pPr>
      <w:r>
        <w:rPr>
          <w:rFonts w:ascii="Arial" w:cs="Arial" w:eastAsia="Arial" w:hAnsi="Arial"/>
          <w:sz w:val="13"/>
          <w:szCs w:val="13"/>
          <w:b w:val="1"/>
          <w:bCs w:val="1"/>
          <w:color w:val="auto"/>
        </w:rPr>
        <w:t>Forfeiture</w:t>
      </w:r>
      <w:r>
        <w:rPr>
          <w:rFonts w:ascii="Arial" w:cs="Arial" w:eastAsia="Arial" w:hAnsi="Arial"/>
          <w:sz w:val="13"/>
          <w:szCs w:val="13"/>
          <w:color w:val="auto"/>
        </w:rPr>
        <w:t>.</w:t>
      </w:r>
    </w:p>
    <w:p>
      <w:pPr>
        <w:spacing w:after="0" w:line="151" w:lineRule="exact"/>
        <w:rPr>
          <w:rFonts w:ascii="Arial" w:cs="Arial" w:eastAsia="Arial" w:hAnsi="Arial"/>
          <w:sz w:val="13"/>
          <w:szCs w:val="13"/>
          <w:color w:val="auto"/>
        </w:rPr>
      </w:pPr>
    </w:p>
    <w:p>
      <w:pPr>
        <w:jc w:val="both"/>
        <w:ind w:firstLine="429"/>
        <w:spacing w:after="0" w:line="258" w:lineRule="auto"/>
        <w:tabs>
          <w:tab w:leader="none" w:pos="989" w:val="left"/>
        </w:tabs>
        <w:numPr>
          <w:ilvl w:val="1"/>
          <w:numId w:val="41"/>
        </w:numPr>
        <w:rPr>
          <w:rFonts w:ascii="Arial" w:cs="Arial" w:eastAsia="Arial" w:hAnsi="Arial"/>
          <w:sz w:val="13"/>
          <w:szCs w:val="13"/>
          <w:color w:val="auto"/>
        </w:rPr>
      </w:pPr>
      <w:r>
        <w:rPr>
          <w:rFonts w:ascii="Arial" w:cs="Arial" w:eastAsia="Arial" w:hAnsi="Arial"/>
          <w:sz w:val="13"/>
          <w:szCs w:val="13"/>
          <w:color w:val="auto"/>
        </w:rPr>
        <w:t>If the Grantee' s employment is terminated for any reason other than death, Disability (as defined below), termination by the Company and its Subsidiaries without Cause (as defined below) or termination by the Grantee with Good Reason (as defined below), the Grantee shall, for no consideration, forfeit to the Company the Shares of Restricted Stock to the extent such Shares are subject to a Period of Restriction at the time of such termination.</w:t>
      </w:r>
    </w:p>
    <w:p>
      <w:pPr>
        <w:spacing w:after="0" w:line="121" w:lineRule="exact"/>
        <w:rPr>
          <w:rFonts w:ascii="Arial" w:cs="Arial" w:eastAsia="Arial" w:hAnsi="Arial"/>
          <w:sz w:val="13"/>
          <w:szCs w:val="13"/>
          <w:color w:val="auto"/>
        </w:rPr>
      </w:pPr>
    </w:p>
    <w:p>
      <w:pPr>
        <w:jc w:val="both"/>
        <w:ind w:firstLine="429"/>
        <w:spacing w:after="0" w:line="249" w:lineRule="auto"/>
        <w:tabs>
          <w:tab w:leader="none" w:pos="1026" w:val="left"/>
        </w:tabs>
        <w:numPr>
          <w:ilvl w:val="1"/>
          <w:numId w:val="41"/>
        </w:numPr>
        <w:rPr>
          <w:rFonts w:ascii="Arial" w:cs="Arial" w:eastAsia="Arial" w:hAnsi="Arial"/>
          <w:sz w:val="13"/>
          <w:szCs w:val="13"/>
          <w:color w:val="auto"/>
        </w:rPr>
      </w:pPr>
      <w:r>
        <w:rPr>
          <w:rFonts w:ascii="Arial" w:cs="Arial" w:eastAsia="Arial" w:hAnsi="Arial"/>
          <w:sz w:val="13"/>
          <w:szCs w:val="13"/>
          <w:color w:val="auto"/>
        </w:rPr>
        <w:t>If (A) the Grantee's employment is terminated due to the Grantee's death or Disability, and (B) the Performance Restriction (as defined in Exhibit A) has been satisfied as of the date of the Grantee's termination of employment, the n a portion of the Shares which on the date of termination of employment remain subject to a Time-Based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(A x B) - C, where</w:t>
      </w:r>
    </w:p>
    <w:p>
      <w:pPr>
        <w:spacing w:after="0" w:line="66"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A = the total number of Shares granted under this Agreement,</w:t>
      </w:r>
    </w:p>
    <w:p>
      <w:pPr>
        <w:spacing w:after="0" w:line="76" w:lineRule="exact"/>
        <w:rPr>
          <w:sz w:val="20"/>
          <w:szCs w:val="20"/>
          <w:color w:val="auto"/>
        </w:rPr>
      </w:pPr>
    </w:p>
    <w:p>
      <w:pPr>
        <w:ind w:left="1500" w:right="2140"/>
        <w:spacing w:after="0" w:line="391" w:lineRule="auto"/>
        <w:rPr>
          <w:sz w:val="20"/>
          <w:szCs w:val="20"/>
          <w:color w:val="auto"/>
        </w:rPr>
      </w:pPr>
      <w:r>
        <w:rPr>
          <w:rFonts w:ascii="Arial" w:cs="Arial" w:eastAsia="Arial" w:hAnsi="Arial"/>
          <w:sz w:val="12"/>
          <w:szCs w:val="12"/>
          <w:color w:val="auto"/>
        </w:rPr>
        <w:t>B = the number of completed months to the date of termination of employment since the Effective Date of Grant divided by 36, and C = the number of Shares granted under this Agreement which vested on or prior to the date of termination of employment.</w:t>
      </w:r>
    </w:p>
    <w:p>
      <w:pPr>
        <w:spacing w:after="0" w:line="1" w:lineRule="exact"/>
        <w:rPr>
          <w:sz w:val="20"/>
          <w:szCs w:val="20"/>
          <w:color w:val="auto"/>
        </w:rPr>
      </w:pPr>
    </w:p>
    <w:p>
      <w:pPr>
        <w:ind w:firstLine="216"/>
        <w:spacing w:after="0" w:line="271" w:lineRule="auto"/>
        <w:rPr>
          <w:sz w:val="20"/>
          <w:szCs w:val="20"/>
          <w:color w:val="auto"/>
        </w:rPr>
      </w:pPr>
      <w:r>
        <w:rPr>
          <w:rFonts w:ascii="Arial" w:cs="Arial" w:eastAsia="Arial" w:hAnsi="Arial"/>
          <w:sz w:val="13"/>
          <w:szCs w:val="13"/>
          <w:color w:val="auto"/>
        </w:rPr>
        <w:t>If the Performance Restriction has not been satisfied as of the date of the Grantee's termination of employment due to the Grantee's death or Disability, then all of the Shares shall be forfeited to the Company, for no consideration.</w:t>
      </w:r>
    </w:p>
    <w:p>
      <w:pPr>
        <w:spacing w:after="0" w:line="41" w:lineRule="exact"/>
        <w:rPr>
          <w:sz w:val="20"/>
          <w:szCs w:val="20"/>
          <w:color w:val="auto"/>
        </w:rPr>
      </w:pPr>
    </w:p>
    <w:p>
      <w:pPr>
        <w:jc w:val="both"/>
        <w:ind w:firstLine="429"/>
        <w:spacing w:after="0" w:line="254" w:lineRule="auto"/>
        <w:tabs>
          <w:tab w:leader="none" w:pos="1062" w:val="left"/>
        </w:tabs>
        <w:numPr>
          <w:ilvl w:val="0"/>
          <w:numId w:val="42"/>
        </w:numPr>
        <w:rPr>
          <w:rFonts w:ascii="Arial" w:cs="Arial" w:eastAsia="Arial" w:hAnsi="Arial"/>
          <w:sz w:val="13"/>
          <w:szCs w:val="13"/>
          <w:color w:val="auto"/>
        </w:rPr>
      </w:pPr>
      <w:r>
        <w:rPr>
          <w:rFonts w:ascii="Arial" w:cs="Arial" w:eastAsia="Arial" w:hAnsi="Arial"/>
          <w:sz w:val="13"/>
          <w:szCs w:val="13"/>
          <w:color w:val="auto"/>
        </w:rPr>
        <w:t>If the Grant ee's employment is terminated by the Company and it Subsidiaries without Cause, or by the Grantee with Good Reason, (A) the Time-Based Restrictions shall be deemed to have been satisfied as of the date of termination of employment, and (B) all Shares shall continue to be subject to the Performance Restriction. Upon a lapse of a Period of Restriction (including a lapse upon a Change of Control), all Shares shall vest and become free of forfeiture and transfer restrictions contained in this Agreement (except as otherwise provided in Section 2(b) of this Agreement) on the date of employment termination.</w:t>
      </w:r>
    </w:p>
    <w:p>
      <w:pPr>
        <w:spacing w:after="0" w:line="123" w:lineRule="exact"/>
        <w:rPr>
          <w:rFonts w:ascii="Arial" w:cs="Arial" w:eastAsia="Arial" w:hAnsi="Arial"/>
          <w:sz w:val="13"/>
          <w:szCs w:val="13"/>
          <w:color w:val="auto"/>
        </w:rPr>
      </w:pPr>
    </w:p>
    <w:p>
      <w:pPr>
        <w:jc w:val="both"/>
        <w:ind w:firstLine="429"/>
        <w:spacing w:after="0" w:line="258" w:lineRule="auto"/>
        <w:tabs>
          <w:tab w:leader="none" w:pos="1055"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term “Cause” shall ha ve the meaning ascribed to such term in the Grantee's employment agreement with the Company or any Subsidiary. If the Grantee's employment agreement does not define the term “Cause,” or if the Grantee has not entered into an employment agreement with the Company or any Subsidiary, the term “Cause” shall mean (A) the willful engaging by the Grantee in misconduct that is demonstrably injurious to the Company or</w:t>
      </w:r>
    </w:p>
    <w:p>
      <w:pPr>
        <w:sectPr>
          <w:pgSz w:w="11900" w:h="16838" w:orient="portrait"/>
          <w:cols w:equalWidth="0" w:num="1">
            <w:col w:w="10620"/>
          </w:cols>
          <w:pgMar w:left="1080" w:top="413" w:right="199" w:bottom="1440" w:gutter="0" w:footer="0" w:header="0"/>
        </w:sectPr>
      </w:pPr>
    </w:p>
    <w:bookmarkStart w:id="101" w:name="page102"/>
    <w:bookmarkEnd w:id="101"/>
    <w:p>
      <w:pPr>
        <w:ind w:firstLine="216"/>
        <w:spacing w:after="0" w:line="271" w:lineRule="auto"/>
        <w:rPr>
          <w:sz w:val="20"/>
          <w:szCs w:val="20"/>
          <w:color w:val="auto"/>
        </w:rPr>
      </w:pPr>
      <w:r>
        <w:rPr>
          <w:rFonts w:ascii="Arial" w:cs="Arial" w:eastAsia="Arial" w:hAnsi="Arial"/>
          <w:sz w:val="13"/>
          <w:szCs w:val="13"/>
          <w:color w:val="auto"/>
        </w:rPr>
        <w:t>any Subsidiary (monetarily or otherwise), (B) the Grantee's conviction of, or pleading guilty or nolo contendere to, a felony, or (C) the Grantee's violation of any confidentiality, non-solicitation, or non-competition covenant to which the Grantee is subject.</w:t>
      </w:r>
    </w:p>
    <w:p>
      <w:pPr>
        <w:spacing w:after="0" w:line="113" w:lineRule="exact"/>
        <w:rPr>
          <w:sz w:val="20"/>
          <w:szCs w:val="20"/>
          <w:color w:val="auto"/>
        </w:rPr>
      </w:pPr>
    </w:p>
    <w:p>
      <w:pPr>
        <w:jc w:val="both"/>
        <w:ind w:firstLine="429"/>
        <w:spacing w:after="0" w:line="290" w:lineRule="auto"/>
        <w:tabs>
          <w:tab w:leader="none" w:pos="1018" w:val="left"/>
        </w:tabs>
        <w:numPr>
          <w:ilvl w:val="1"/>
          <w:numId w:val="43"/>
        </w:numPr>
        <w:rPr>
          <w:rFonts w:ascii="Arial" w:cs="Arial" w:eastAsia="Arial" w:hAnsi="Arial"/>
          <w:sz w:val="12"/>
          <w:szCs w:val="12"/>
          <w:color w:val="auto"/>
        </w:rPr>
      </w:pPr>
      <w:r>
        <w:rPr>
          <w:rFonts w:ascii="Arial" w:cs="Arial" w:eastAsia="Arial" w:hAnsi="Arial"/>
          <w:sz w:val="12"/>
          <w:szCs w:val="12"/>
          <w:color w:val="auto"/>
        </w:rPr>
        <w:t>The term “Disability” shall have the meaning ascribed to such term in the Grantee's employment agreement with the Company or any Subsidiary. If the Grantee's employment agreement does not define the term “Disability,” or if the Grantee has not entered into an employment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03" w:lineRule="exact"/>
        <w:rPr>
          <w:rFonts w:ascii="Arial" w:cs="Arial" w:eastAsia="Arial" w:hAnsi="Arial"/>
          <w:sz w:val="12"/>
          <w:szCs w:val="12"/>
          <w:color w:val="auto"/>
        </w:rPr>
      </w:pPr>
    </w:p>
    <w:p>
      <w:pPr>
        <w:ind w:firstLine="429"/>
        <w:spacing w:after="0" w:line="271" w:lineRule="auto"/>
        <w:tabs>
          <w:tab w:leader="none" w:pos="1055" w:val="left"/>
        </w:tabs>
        <w:numPr>
          <w:ilvl w:val="1"/>
          <w:numId w:val="43"/>
        </w:numPr>
        <w:rPr>
          <w:rFonts w:ascii="Arial" w:cs="Arial" w:eastAsia="Arial" w:hAnsi="Arial"/>
          <w:sz w:val="13"/>
          <w:szCs w:val="13"/>
          <w:color w:val="auto"/>
        </w:rPr>
      </w:pPr>
      <w:r>
        <w:rPr>
          <w:rFonts w:ascii="Arial" w:cs="Arial" w:eastAsia="Arial" w:hAnsi="Arial"/>
          <w:sz w:val="13"/>
          <w:szCs w:val="13"/>
          <w:color w:val="auto"/>
        </w:rPr>
        <w:t>“Good Reason” termination shall apply only if the Grantee has an employment agreement with the Company or any Subsidiary and shall have the meaning ascribed to that term in such employment agreement.</w:t>
      </w:r>
    </w:p>
    <w:p>
      <w:pPr>
        <w:spacing w:after="0" w:line="112" w:lineRule="exact"/>
        <w:rPr>
          <w:rFonts w:ascii="Arial" w:cs="Arial" w:eastAsia="Arial" w:hAnsi="Arial"/>
          <w:sz w:val="13"/>
          <w:szCs w:val="13"/>
          <w:color w:val="auto"/>
        </w:rPr>
      </w:pPr>
    </w:p>
    <w:p>
      <w:pPr>
        <w:ind w:left="1080" w:hanging="651"/>
        <w:spacing w:after="0"/>
        <w:tabs>
          <w:tab w:leader="none" w:pos="1080" w:val="left"/>
        </w:tabs>
        <w:numPr>
          <w:ilvl w:val="1"/>
          <w:numId w:val="43"/>
        </w:numPr>
        <w:rPr>
          <w:rFonts w:ascii="Arial" w:cs="Arial" w:eastAsia="Arial" w:hAnsi="Arial"/>
          <w:sz w:val="13"/>
          <w:szCs w:val="13"/>
          <w:color w:val="auto"/>
        </w:rPr>
      </w:pPr>
      <w:r>
        <w:rPr>
          <w:rFonts w:ascii="Arial" w:cs="Arial" w:eastAsia="Arial" w:hAnsi="Arial"/>
          <w:sz w:val="13"/>
          <w:szCs w:val="13"/>
          <w:color w:val="auto"/>
        </w:rPr>
        <w:t>If the Performance Restriction is not satisfied, then all Shares shall be for feited to the Company, for no consideration.</w:t>
      </w:r>
    </w:p>
    <w:p>
      <w:pPr>
        <w:spacing w:after="0" w:line="143" w:lineRule="exact"/>
        <w:rPr>
          <w:rFonts w:ascii="Arial" w:cs="Arial" w:eastAsia="Arial" w:hAnsi="Arial"/>
          <w:sz w:val="13"/>
          <w:szCs w:val="13"/>
          <w:color w:val="auto"/>
        </w:rPr>
      </w:pPr>
    </w:p>
    <w:p>
      <w:pPr>
        <w:jc w:val="both"/>
        <w:ind w:firstLine="213"/>
        <w:spacing w:after="0" w:line="277" w:lineRule="auto"/>
        <w:tabs>
          <w:tab w:leader="none" w:pos="844" w:val="left"/>
        </w:tabs>
        <w:numPr>
          <w:ilvl w:val="0"/>
          <w:numId w:val="44"/>
        </w:numPr>
        <w:rPr>
          <w:rFonts w:ascii="Arial" w:cs="Arial" w:eastAsia="Arial" w:hAnsi="Arial"/>
          <w:sz w:val="12"/>
          <w:szCs w:val="12"/>
          <w:color w:val="auto"/>
        </w:rPr>
      </w:pPr>
      <w:r>
        <w:rPr>
          <w:rFonts w:ascii="Arial" w:cs="Arial" w:eastAsia="Arial" w:hAnsi="Arial"/>
          <w:sz w:val="12"/>
          <w:szCs w:val="12"/>
          <w:b w:val="1"/>
          <w:bCs w:val="1"/>
          <w:color w:val="auto"/>
        </w:rPr>
        <w:t>Transfer Restrictions</w:t>
      </w:r>
      <w:r>
        <w:rPr>
          <w:rFonts w:ascii="Arial" w:cs="Arial" w:eastAsia="Arial" w:hAnsi="Arial"/>
          <w:sz w:val="12"/>
          <w:szCs w:val="12"/>
          <w:color w:val="auto"/>
        </w:rPr>
        <w:t>. During the Period of Restriction, the Restricted Stock may not be sold, assigned, pledged, exchanged, hypothecated or otherwise transferred, encumbered or</w:t>
      </w:r>
      <w:r>
        <w:rPr>
          <w:rFonts w:ascii="Arial" w:cs="Arial" w:eastAsia="Arial" w:hAnsi="Arial"/>
          <w:sz w:val="12"/>
          <w:szCs w:val="12"/>
          <w:b w:val="1"/>
          <w:bCs w:val="1"/>
          <w:color w:val="auto"/>
        </w:rPr>
        <w:t xml:space="preserve"> </w:t>
      </w:r>
      <w:r>
        <w:rPr>
          <w:rFonts w:ascii="Arial" w:cs="Arial" w:eastAsia="Arial" w:hAnsi="Arial"/>
          <w:sz w:val="12"/>
          <w:szCs w:val="12"/>
          <w:color w:val="auto"/>
        </w:rPr>
        <w:t>disposed of, to the extent such Shares are subject to a Period of Restriction. If and when the Grantee is an Officer (as defined in Rule 16a-1(f) of the Exchange Act) or holds the title of President - Eastern Operations, President - Western Operations, President - Agency Operations, or Chief Legal Officer, during the six (6) month period which begins the first day following the date a Period of Restriction lapses, (50%) of the Shares to which the Period of Restrictions has lapsed on such date may not be sold, assigned, pledged, exchanged, hypothecated or otherwise transferred, encumbered or disposed of; provided however that this sentence shall not prohibit the Grantee from exchanging or otherwise disposing of Shares in connection with a Change of Control or other transaction in which Shares held by other Company shareholders are required to be exchanged or otherwise disposed.</w:t>
      </w:r>
    </w:p>
    <w:p>
      <w:pPr>
        <w:spacing w:after="0" w:line="107" w:lineRule="exact"/>
        <w:rPr>
          <w:rFonts w:ascii="Arial" w:cs="Arial" w:eastAsia="Arial" w:hAnsi="Arial"/>
          <w:sz w:val="12"/>
          <w:szCs w:val="12"/>
          <w:color w:val="auto"/>
        </w:rPr>
      </w:pPr>
    </w:p>
    <w:p>
      <w:pPr>
        <w:jc w:val="both"/>
        <w:ind w:firstLine="213"/>
        <w:spacing w:after="0" w:line="253" w:lineRule="auto"/>
        <w:tabs>
          <w:tab w:leader="none" w:pos="828" w:val="left"/>
        </w:tabs>
        <w:numPr>
          <w:ilvl w:val="0"/>
          <w:numId w:val="44"/>
        </w:numPr>
        <w:rPr>
          <w:rFonts w:ascii="Arial" w:cs="Arial" w:eastAsia="Arial" w:hAnsi="Arial"/>
          <w:sz w:val="13"/>
          <w:szCs w:val="13"/>
          <w:color w:val="auto"/>
        </w:rPr>
      </w:pPr>
      <w:r>
        <w:rPr>
          <w:rFonts w:ascii="Arial" w:cs="Arial" w:eastAsia="Arial" w:hAnsi="Arial"/>
          <w:sz w:val="13"/>
          <w:szCs w:val="13"/>
          <w:b w:val="1"/>
          <w:bCs w:val="1"/>
          <w:color w:val="auto"/>
        </w:rPr>
        <w:t>Lapse of Restrictions</w:t>
      </w:r>
      <w:r>
        <w:rPr>
          <w:rFonts w:ascii="Arial" w:cs="Arial" w:eastAsia="Arial" w:hAnsi="Arial"/>
          <w:sz w:val="13"/>
          <w:szCs w:val="13"/>
          <w:color w:val="auto"/>
        </w:rPr>
        <w:t>. The Period of Restriction shall lapse as to the Restricted Stock in accor dance with the Notice of Restricted Stock Grant. Subject to the terms of the Plan and</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6(a) hereof, upon lapse of the Period of Restriction, the Grantee shall own the Shares that are subject to this Agreement free of all restrictions other than the six (6) month holding period following the Period of Restriction as provided in Section 2(b) of this Agreement otherwise imposed by this Agreement.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been forfeited shall lapse.</w:t>
      </w:r>
    </w:p>
    <w:p>
      <w:pPr>
        <w:spacing w:after="0" w:line="122"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2"/>
          <w:szCs w:val="12"/>
          <w:color w:val="auto"/>
        </w:rPr>
        <w:t>Section 3.</w:t>
      </w:r>
      <w:r>
        <w:rPr>
          <w:sz w:val="20"/>
          <w:szCs w:val="20"/>
          <w:color w:val="auto"/>
        </w:rPr>
        <w:tab/>
      </w:r>
      <w:r>
        <w:rPr>
          <w:rFonts w:ascii="Arial" w:cs="Arial" w:eastAsia="Arial" w:hAnsi="Arial"/>
          <w:sz w:val="13"/>
          <w:szCs w:val="13"/>
          <w:b w:val="1"/>
          <w:bCs w:val="1"/>
          <w:color w:val="auto"/>
        </w:rPr>
        <w:t>STOCK CERTIFICATES</w:t>
      </w:r>
    </w:p>
    <w:p>
      <w:pPr>
        <w:spacing w:after="0" w:line="15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21"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2"/>
          <w:szCs w:val="12"/>
          <w:color w:val="auto"/>
        </w:rPr>
        <w:t>Section 4.</w:t>
      </w:r>
      <w:r>
        <w:rPr>
          <w:sz w:val="20"/>
          <w:szCs w:val="20"/>
          <w:color w:val="auto"/>
        </w:rPr>
        <w:tab/>
      </w:r>
      <w:r>
        <w:rPr>
          <w:rFonts w:ascii="Arial" w:cs="Arial" w:eastAsia="Arial" w:hAnsi="Arial"/>
          <w:sz w:val="13"/>
          <w:szCs w:val="13"/>
          <w:b w:val="1"/>
          <w:bCs w:val="1"/>
          <w:color w:val="auto"/>
        </w:rPr>
        <w:t>SHAREHOLDER RIGHTS</w:t>
      </w:r>
    </w:p>
    <w:p>
      <w:pPr>
        <w:spacing w:after="0" w:line="152"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294005</wp:posOffset>
            </wp:positionV>
            <wp:extent cx="676846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6846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shall be held by the Company subject to the same restrictions as the Restricted Stock in respect of which the dividend was paid.</w:t>
      </w:r>
    </w:p>
    <w:p>
      <w:pPr>
        <w:spacing w:after="0" w:line="144"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2"/>
          <w:szCs w:val="12"/>
          <w:color w:val="auto"/>
        </w:rPr>
        <w:t>Section 5.</w:t>
      </w:r>
      <w:r>
        <w:rPr>
          <w:sz w:val="20"/>
          <w:szCs w:val="20"/>
          <w:color w:val="auto"/>
        </w:rPr>
        <w:tab/>
      </w:r>
      <w:r>
        <w:rPr>
          <w:rFonts w:ascii="Arial" w:cs="Arial" w:eastAsia="Arial" w:hAnsi="Arial"/>
          <w:sz w:val="13"/>
          <w:szCs w:val="13"/>
          <w:b w:val="1"/>
          <w:bCs w:val="1"/>
          <w:color w:val="auto"/>
        </w:rPr>
        <w:t>DIVIDENDS</w:t>
      </w:r>
    </w:p>
    <w:p>
      <w:pPr>
        <w:spacing w:after="0" w:line="152" w:lineRule="exact"/>
        <w:rPr>
          <w:sz w:val="20"/>
          <w:szCs w:val="20"/>
          <w:color w:val="auto"/>
        </w:rPr>
      </w:pPr>
    </w:p>
    <w:p>
      <w:pPr>
        <w:ind w:left="820" w:hanging="607"/>
        <w:spacing w:after="0"/>
        <w:tabs>
          <w:tab w:leader="none" w:pos="8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Any dividends paid with respect to Shares which remain subject to a Period of Restriction shall not be paid to the Grantee but shall be held by the Company.</w:t>
      </w:r>
    </w:p>
    <w:p>
      <w:pPr>
        <w:spacing w:after="0" w:line="147" w:lineRule="exact"/>
        <w:rPr>
          <w:rFonts w:ascii="Arial" w:cs="Arial" w:eastAsia="Arial" w:hAnsi="Arial"/>
          <w:sz w:val="13"/>
          <w:szCs w:val="13"/>
          <w:color w:val="auto"/>
        </w:rPr>
      </w:pPr>
    </w:p>
    <w:p>
      <w:pPr>
        <w:ind w:left="840" w:hanging="627"/>
        <w:spacing w:after="0"/>
        <w:tabs>
          <w:tab w:leader="none" w:pos="8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Such held dividends shall be subject to the same Period of Restriction as the Shares to which they relate.</w:t>
      </w:r>
    </w:p>
    <w:p>
      <w:pPr>
        <w:spacing w:after="0" w:line="147" w:lineRule="exact"/>
        <w:rPr>
          <w:rFonts w:ascii="Arial" w:cs="Arial" w:eastAsia="Arial" w:hAnsi="Arial"/>
          <w:sz w:val="13"/>
          <w:szCs w:val="13"/>
          <w:color w:val="auto"/>
        </w:rPr>
      </w:pPr>
    </w:p>
    <w:p>
      <w:pPr>
        <w:ind w:left="840" w:hanging="627"/>
        <w:spacing w:after="0"/>
        <w:tabs>
          <w:tab w:leader="none" w:pos="8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Any dividends held pursuant to this Section 5 which are attributable to Shares which vest pursuant to this Agreement shall be paid to the Grantee within 30 days of the applicable</w:t>
      </w:r>
    </w:p>
    <w:p>
      <w:pPr>
        <w:spacing w:after="0" w:line="1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vesting date.</w:t>
      </w:r>
    </w:p>
    <w:p>
      <w:pPr>
        <w:spacing w:after="0" w:line="128" w:lineRule="exact"/>
        <w:rPr>
          <w:rFonts w:ascii="Arial" w:cs="Arial" w:eastAsia="Arial" w:hAnsi="Arial"/>
          <w:sz w:val="12"/>
          <w:szCs w:val="12"/>
          <w:color w:val="auto"/>
        </w:rPr>
      </w:pPr>
    </w:p>
    <w:p>
      <w:pPr>
        <w:ind w:left="840" w:hanging="627"/>
        <w:spacing w:after="0"/>
        <w:tabs>
          <w:tab w:leader="none" w:pos="8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Dividends attributable to Shares forfeited pursuant to Section 2 of this Agreement shall be forfeited to the Company on the date such Shares are forfeited.</w:t>
      </w:r>
    </w:p>
    <w:p>
      <w:pPr>
        <w:spacing w:after="0" w:line="171"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2"/>
          <w:szCs w:val="12"/>
          <w:color w:val="auto"/>
        </w:rPr>
        <w:t>Section 6.</w:t>
      </w:r>
      <w:r>
        <w:rPr>
          <w:sz w:val="20"/>
          <w:szCs w:val="20"/>
          <w:color w:val="auto"/>
        </w:rPr>
        <w:tab/>
      </w:r>
      <w:r>
        <w:rPr>
          <w:rFonts w:ascii="Arial" w:cs="Arial" w:eastAsia="Arial" w:hAnsi="Arial"/>
          <w:sz w:val="13"/>
          <w:szCs w:val="13"/>
          <w:b w:val="1"/>
          <w:bCs w:val="1"/>
          <w:color w:val="auto"/>
        </w:rPr>
        <w:t>MISCELLANEOUS PROVISIONS</w:t>
      </w:r>
    </w:p>
    <w:p>
      <w:pPr>
        <w:spacing w:after="0" w:line="157" w:lineRule="exact"/>
        <w:rPr>
          <w:sz w:val="20"/>
          <w:szCs w:val="20"/>
          <w:color w:val="auto"/>
        </w:rPr>
      </w:pPr>
    </w:p>
    <w:p>
      <w:pPr>
        <w:jc w:val="both"/>
        <w:ind w:firstLine="213"/>
        <w:spacing w:after="0" w:line="251" w:lineRule="auto"/>
        <w:tabs>
          <w:tab w:leader="none" w:pos="828"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Tax Withholding</w:t>
      </w:r>
      <w:r>
        <w:rPr>
          <w:rFonts w:ascii="Arial" w:cs="Arial" w:eastAsia="Arial" w:hAnsi="Arial"/>
          <w:sz w:val="13"/>
          <w:szCs w:val="13"/>
          <w:color w:val="auto"/>
        </w:rPr>
        <w:t>. Pursuant to Article 20 of the Plan, t he Committee shall have the power and right to deduct or withhold, or require the Grantee to remit to the Company, an amount</w:t>
      </w:r>
      <w:r>
        <w:rPr>
          <w:rFonts w:ascii="Arial" w:cs="Arial" w:eastAsia="Arial" w:hAnsi="Arial"/>
          <w:sz w:val="13"/>
          <w:szCs w:val="13"/>
          <w:b w:val="1"/>
          <w:bCs w:val="1"/>
          <w:color w:val="auto"/>
        </w:rPr>
        <w:t xml:space="preserve"> </w:t>
      </w:r>
      <w:r>
        <w:rPr>
          <w:rFonts w:ascii="Arial" w:cs="Arial" w:eastAsia="Arial" w:hAnsi="Arial"/>
          <w:sz w:val="13"/>
          <w:szCs w:val="13"/>
          <w:color w:val="auto"/>
        </w:rPr>
        <w:t>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 ned by the Grantee, and shall be subject to any restrictions or limitations that the Committee, in its sole discretion, deems appropriate.</w:t>
      </w:r>
    </w:p>
    <w:p>
      <w:pPr>
        <w:spacing w:after="0" w:line="121" w:lineRule="exact"/>
        <w:rPr>
          <w:rFonts w:ascii="Arial" w:cs="Arial" w:eastAsia="Arial" w:hAnsi="Arial"/>
          <w:sz w:val="13"/>
          <w:szCs w:val="13"/>
          <w:color w:val="auto"/>
        </w:rPr>
      </w:pPr>
    </w:p>
    <w:p>
      <w:pPr>
        <w:ind w:right="20" w:firstLine="213"/>
        <w:spacing w:after="0" w:line="321" w:lineRule="auto"/>
        <w:tabs>
          <w:tab w:leader="none" w:pos="835" w:val="left"/>
        </w:tabs>
        <w:numPr>
          <w:ilvl w:val="0"/>
          <w:numId w:val="46"/>
        </w:numPr>
        <w:rPr>
          <w:rFonts w:ascii="Arial" w:cs="Arial" w:eastAsia="Arial" w:hAnsi="Arial"/>
          <w:sz w:val="12"/>
          <w:szCs w:val="12"/>
          <w:color w:val="auto"/>
        </w:rPr>
      </w:pPr>
      <w:r>
        <w:rPr>
          <w:rFonts w:ascii="Arial" w:cs="Arial" w:eastAsia="Arial" w:hAnsi="Arial"/>
          <w:sz w:val="12"/>
          <w:szCs w:val="12"/>
          <w:b w:val="1"/>
          <w:bCs w:val="1"/>
          <w:color w:val="auto"/>
        </w:rPr>
        <w:t>Ratification of Actions</w:t>
      </w:r>
      <w:r>
        <w:rPr>
          <w:rFonts w:ascii="Arial" w:cs="Arial" w:eastAsia="Arial" w:hAnsi="Arial"/>
          <w:sz w:val="12"/>
          <w:szCs w:val="12"/>
          <w:color w:val="auto"/>
        </w:rPr>
        <w:t>. By accepting this Agreement, the Grantee and each person claiming under or through the Grantee shall be conclusively deemed to have indicated the Grantee's</w:t>
      </w:r>
      <w:r>
        <w:rPr>
          <w:rFonts w:ascii="Arial" w:cs="Arial" w:eastAsia="Arial" w:hAnsi="Arial"/>
          <w:sz w:val="12"/>
          <w:szCs w:val="12"/>
          <w:b w:val="1"/>
          <w:bCs w:val="1"/>
          <w:color w:val="auto"/>
        </w:rPr>
        <w:t xml:space="preserve"> </w:t>
      </w:r>
      <w:r>
        <w:rPr>
          <w:rFonts w:ascii="Arial" w:cs="Arial" w:eastAsia="Arial" w:hAnsi="Arial"/>
          <w:sz w:val="12"/>
          <w:szCs w:val="12"/>
          <w:color w:val="auto"/>
        </w:rPr>
        <w:t>acceptance and ratification of, and consent to, any action taken under the Plan or this Agreement and Notice of Restricted Stock Grant by the Company, the Board or the Committee.</w:t>
      </w:r>
    </w:p>
    <w:p>
      <w:pPr>
        <w:spacing w:after="0" w:line="81" w:lineRule="exact"/>
        <w:rPr>
          <w:rFonts w:ascii="Arial" w:cs="Arial" w:eastAsia="Arial" w:hAnsi="Arial"/>
          <w:sz w:val="12"/>
          <w:szCs w:val="12"/>
          <w:color w:val="auto"/>
        </w:rPr>
      </w:pPr>
    </w:p>
    <w:p>
      <w:pPr>
        <w:jc w:val="both"/>
        <w:ind w:firstLine="213"/>
        <w:spacing w:after="0" w:line="261" w:lineRule="auto"/>
        <w:tabs>
          <w:tab w:leader="none" w:pos="828"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Notice</w:t>
      </w:r>
      <w:r>
        <w:rPr>
          <w:rFonts w:ascii="Arial" w:cs="Arial" w:eastAsia="Arial" w:hAnsi="Arial"/>
          <w:sz w:val="13"/>
          <w:szCs w:val="13"/>
          <w:color w:val="auto"/>
        </w:rPr>
        <w:t>. Any notice required by the terms of this Agreement shall be given in writing and shall be deemed effective upon personal delivery or upon deposit with the United States Postal</w:t>
      </w:r>
      <w:r>
        <w:rPr>
          <w:rFonts w:ascii="Arial" w:cs="Arial" w:eastAsia="Arial" w:hAnsi="Arial"/>
          <w:sz w:val="13"/>
          <w:szCs w:val="13"/>
          <w:b w:val="1"/>
          <w:bCs w:val="1"/>
          <w:color w:val="auto"/>
        </w:rPr>
        <w:t xml:space="preserve"> </w:t>
      </w:r>
      <w:r>
        <w:rPr>
          <w:rFonts w:ascii="Arial" w:cs="Arial" w:eastAsia="Arial" w:hAnsi="Arial"/>
          <w:sz w:val="13"/>
          <w:szCs w:val="13"/>
          <w:color w:val="auto"/>
        </w:rPr>
        <w:t>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15" w:lineRule="exact"/>
        <w:rPr>
          <w:rFonts w:ascii="Arial" w:cs="Arial" w:eastAsia="Arial" w:hAnsi="Arial"/>
          <w:sz w:val="13"/>
          <w:szCs w:val="13"/>
          <w:color w:val="auto"/>
        </w:rPr>
      </w:pPr>
    </w:p>
    <w:p>
      <w:pPr>
        <w:jc w:val="both"/>
        <w:ind w:firstLine="213"/>
        <w:spacing w:after="0" w:line="261" w:lineRule="auto"/>
        <w:tabs>
          <w:tab w:leader="none" w:pos="403"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Choice of Law</w:t>
      </w:r>
      <w:r>
        <w:rPr>
          <w:rFonts w:ascii="Arial" w:cs="Arial" w:eastAsia="Arial" w:hAnsi="Arial"/>
          <w:sz w:val="13"/>
          <w:szCs w:val="13"/>
          <w:color w:val="auto"/>
        </w:rPr>
        <w:t>. This Agreement and the Notice of Restricted Stock Grant shall be governed by, and construed in accordance with, the laws of Florida, without regard to any conflicts of law or</w:t>
      </w:r>
      <w:r>
        <w:rPr>
          <w:rFonts w:ascii="Arial" w:cs="Arial" w:eastAsia="Arial" w:hAnsi="Arial"/>
          <w:sz w:val="13"/>
          <w:szCs w:val="13"/>
          <w:b w:val="1"/>
          <w:bCs w:val="1"/>
          <w:color w:val="auto"/>
        </w:rPr>
        <w:t xml:space="preserve"> </w:t>
      </w:r>
      <w:r>
        <w:rPr>
          <w:rFonts w:ascii="Arial" w:cs="Arial" w:eastAsia="Arial" w:hAnsi="Arial"/>
          <w:sz w:val="13"/>
          <w:szCs w:val="13"/>
          <w:color w:val="auto"/>
        </w:rPr>
        <w:t>choice of law rule or principle that might otherwise cause the Plan, this Agreement or the Notice of Restricted Stock Grant to be governed by or construed in accordance with the substantive law of another jurisdiction.</w:t>
      </w:r>
    </w:p>
    <w:p>
      <w:pPr>
        <w:spacing w:after="0" w:line="115" w:lineRule="exact"/>
        <w:rPr>
          <w:rFonts w:ascii="Arial" w:cs="Arial" w:eastAsia="Arial" w:hAnsi="Arial"/>
          <w:sz w:val="13"/>
          <w:szCs w:val="13"/>
          <w:color w:val="auto"/>
        </w:rPr>
      </w:pPr>
    </w:p>
    <w:p>
      <w:pPr>
        <w:jc w:val="both"/>
        <w:ind w:firstLine="213"/>
        <w:spacing w:after="0" w:line="284" w:lineRule="auto"/>
        <w:tabs>
          <w:tab w:leader="none" w:pos="837" w:val="left"/>
        </w:tabs>
        <w:numPr>
          <w:ilvl w:val="0"/>
          <w:numId w:val="46"/>
        </w:numPr>
        <w:rPr>
          <w:rFonts w:ascii="Arial" w:cs="Arial" w:eastAsia="Arial" w:hAnsi="Arial"/>
          <w:sz w:val="12"/>
          <w:szCs w:val="12"/>
          <w:color w:val="auto"/>
        </w:rPr>
      </w:pPr>
      <w:r>
        <w:rPr>
          <w:rFonts w:ascii="Arial" w:cs="Arial" w:eastAsia="Arial" w:hAnsi="Arial"/>
          <w:sz w:val="12"/>
          <w:szCs w:val="12"/>
          <w:b w:val="1"/>
          <w:bCs w:val="1"/>
          <w:color w:val="auto"/>
        </w:rPr>
        <w:t>Arbitration</w:t>
      </w:r>
      <w:r>
        <w:rPr>
          <w:rFonts w:ascii="Arial" w:cs="Arial" w:eastAsia="Arial" w:hAnsi="Arial"/>
          <w:sz w:val="12"/>
          <w:szCs w:val="12"/>
          <w:color w:val="auto"/>
        </w:rPr>
        <w:t>. Subject to, and in accordance with the p rovisions of Article 3 of the Plan, any dispute or claim arising out of or relating to the Plan, this Agreement or the Notice of</w:t>
      </w:r>
      <w:r>
        <w:rPr>
          <w:rFonts w:ascii="Arial" w:cs="Arial" w:eastAsia="Arial" w:hAnsi="Arial"/>
          <w:sz w:val="12"/>
          <w:szCs w:val="12"/>
          <w:b w:val="1"/>
          <w:bCs w:val="1"/>
          <w:color w:val="auto"/>
        </w:rPr>
        <w:t xml:space="preserve"> </w:t>
      </w:r>
      <w:r>
        <w:rPr>
          <w:rFonts w:ascii="Arial" w:cs="Arial" w:eastAsia="Arial" w:hAnsi="Arial"/>
          <w:sz w:val="12"/>
          <w:szCs w:val="12"/>
          <w:color w:val="auto"/>
        </w:rPr>
        <w:t>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Indiana, without regard to internal principles relating to conflict of laws.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23" w:lineRule="exact"/>
        <w:rPr>
          <w:rFonts w:ascii="Arial" w:cs="Arial" w:eastAsia="Arial" w:hAnsi="Arial"/>
          <w:sz w:val="12"/>
          <w:szCs w:val="12"/>
          <w:color w:val="auto"/>
        </w:rPr>
      </w:pPr>
    </w:p>
    <w:p>
      <w:pPr>
        <w:ind w:right="20" w:firstLine="213"/>
        <w:spacing w:after="0" w:line="278" w:lineRule="auto"/>
        <w:tabs>
          <w:tab w:leader="none" w:pos="831"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Modification or Amendment</w:t>
      </w:r>
      <w:r>
        <w:rPr>
          <w:rFonts w:ascii="Arial" w:cs="Arial" w:eastAsia="Arial" w:hAnsi="Arial"/>
          <w:sz w:val="13"/>
          <w:szCs w:val="13"/>
          <w:color w:val="auto"/>
        </w:rPr>
        <w:t>. This Agreement may only be modified or amended by written agreement executed by the parties hereto; provided, however, that the adjustments</w:t>
      </w:r>
      <w:r>
        <w:rPr>
          <w:rFonts w:ascii="Arial" w:cs="Arial" w:eastAsia="Arial" w:hAnsi="Arial"/>
          <w:sz w:val="13"/>
          <w:szCs w:val="13"/>
          <w:b w:val="1"/>
          <w:bCs w:val="1"/>
          <w:color w:val="auto"/>
        </w:rPr>
        <w:t xml:space="preserve"> </w:t>
      </w:r>
      <w:r>
        <w:rPr>
          <w:rFonts w:ascii="Arial" w:cs="Arial" w:eastAsia="Arial" w:hAnsi="Arial"/>
          <w:sz w:val="13"/>
          <w:szCs w:val="13"/>
          <w:color w:val="auto"/>
        </w:rPr>
        <w:t>permitted pursuant to Section 4.3 of the Plan may be made without such written agreement.</w:t>
      </w:r>
    </w:p>
    <w:p>
      <w:pPr>
        <w:spacing w:after="0" w:line="108" w:lineRule="exact"/>
        <w:rPr>
          <w:rFonts w:ascii="Arial" w:cs="Arial" w:eastAsia="Arial" w:hAnsi="Arial"/>
          <w:sz w:val="13"/>
          <w:szCs w:val="13"/>
          <w:color w:val="auto"/>
        </w:rPr>
      </w:pPr>
    </w:p>
    <w:p>
      <w:pPr>
        <w:ind w:firstLine="213"/>
        <w:spacing w:after="0" w:line="271" w:lineRule="auto"/>
        <w:tabs>
          <w:tab w:leader="none" w:pos="844" w:val="left"/>
        </w:tabs>
        <w:numPr>
          <w:ilvl w:val="0"/>
          <w:numId w:val="46"/>
        </w:numPr>
        <w:rPr>
          <w:rFonts w:ascii="Arial" w:cs="Arial" w:eastAsia="Arial" w:hAnsi="Arial"/>
          <w:sz w:val="13"/>
          <w:szCs w:val="13"/>
          <w:color w:val="auto"/>
        </w:rPr>
      </w:pPr>
      <w:r>
        <w:rPr>
          <w:rFonts w:ascii="Arial" w:cs="Arial" w:eastAsia="Arial" w:hAnsi="Arial"/>
          <w:sz w:val="13"/>
          <w:szCs w:val="13"/>
          <w:color w:val="auto"/>
        </w:rPr>
        <w:t>Severability. In the event any provision of this Agreement shall be held illegal or invalid for any reason, the illegality or invalidity shall not affect the remaining provisions of this Agreement, and this Agreement shall be construed and enforced as if such illegal or invalid provision had not been included.</w:t>
      </w:r>
    </w:p>
    <w:p>
      <w:pPr>
        <w:spacing w:after="0" w:line="108" w:lineRule="exact"/>
        <w:rPr>
          <w:rFonts w:ascii="Arial" w:cs="Arial" w:eastAsia="Arial" w:hAnsi="Arial"/>
          <w:sz w:val="13"/>
          <w:szCs w:val="13"/>
          <w:color w:val="auto"/>
        </w:rPr>
      </w:pPr>
    </w:p>
    <w:p>
      <w:pPr>
        <w:ind w:left="840" w:hanging="627"/>
        <w:spacing w:after="0"/>
        <w:tabs>
          <w:tab w:leader="none" w:pos="840"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References to Plan</w:t>
      </w:r>
      <w:r>
        <w:rPr>
          <w:rFonts w:ascii="Arial" w:cs="Arial" w:eastAsia="Arial" w:hAnsi="Arial"/>
          <w:sz w:val="13"/>
          <w:szCs w:val="13"/>
          <w:color w:val="auto"/>
        </w:rPr>
        <w:t>. All references to the Plan shall be deemed references to the Plan as may be amended from time to time.</w:t>
      </w:r>
    </w:p>
    <w:p>
      <w:pPr>
        <w:spacing w:after="0" w:line="147" w:lineRule="exact"/>
        <w:rPr>
          <w:rFonts w:ascii="Arial" w:cs="Arial" w:eastAsia="Arial" w:hAnsi="Arial"/>
          <w:sz w:val="13"/>
          <w:szCs w:val="13"/>
          <w:color w:val="auto"/>
        </w:rPr>
      </w:pPr>
    </w:p>
    <w:p>
      <w:pPr>
        <w:jc w:val="both"/>
        <w:ind w:firstLine="213"/>
        <w:spacing w:after="0" w:line="261" w:lineRule="auto"/>
        <w:tabs>
          <w:tab w:leader="none" w:pos="806"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Section 409A Compliance</w:t>
      </w:r>
      <w:r>
        <w:rPr>
          <w:rFonts w:ascii="Arial" w:cs="Arial" w:eastAsia="Arial" w:hAnsi="Arial"/>
          <w:sz w:val="13"/>
          <w:szCs w:val="13"/>
          <w:color w:val="auto"/>
        </w:rPr>
        <w:t>. To the extent applicable, it is intended that the Plan and this Agreement comply with the requirements of Code Section 409A and any related regulations or</w:t>
      </w:r>
      <w:r>
        <w:rPr>
          <w:rFonts w:ascii="Arial" w:cs="Arial" w:eastAsia="Arial" w:hAnsi="Arial"/>
          <w:sz w:val="13"/>
          <w:szCs w:val="13"/>
          <w:b w:val="1"/>
          <w:bCs w:val="1"/>
          <w:color w:val="auto"/>
        </w:rPr>
        <w:t xml:space="preserve"> </w:t>
      </w:r>
      <w:r>
        <w:rPr>
          <w:rFonts w:ascii="Arial" w:cs="Arial" w:eastAsia="Arial" w:hAnsi="Arial"/>
          <w:sz w:val="13"/>
          <w:szCs w:val="13"/>
          <w:color w:val="auto"/>
        </w:rPr>
        <w:t>other guidance promulgated with respect to such Section by the U.S. Department of the Treasury or the Internal Revenue Service and the Plan and the Award Agreement shall be interpreted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-1307465</wp:posOffset>
            </wp:positionV>
            <wp:extent cx="676846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68465" cy="36830"/>
                    </a:xfrm>
                    <a:prstGeom prst="rect">
                      <a:avLst/>
                    </a:prstGeom>
                    <a:noFill/>
                  </pic:spPr>
                </pic:pic>
              </a:graphicData>
            </a:graphic>
          </wp:anchor>
        </w:drawing>
      </w:r>
    </w:p>
    <w:p>
      <w:pPr>
        <w:spacing w:after="0" w:line="168" w:lineRule="exact"/>
        <w:rPr>
          <w:sz w:val="20"/>
          <w:szCs w:val="20"/>
          <w:color w:val="auto"/>
        </w:rPr>
      </w:pPr>
    </w:p>
    <w:p>
      <w:pPr>
        <w:jc w:val="center"/>
        <w:ind w:left="1100"/>
        <w:spacing w:after="0"/>
        <w:rPr>
          <w:sz w:val="20"/>
          <w:szCs w:val="20"/>
          <w:color w:val="auto"/>
        </w:rPr>
      </w:pPr>
      <w:r>
        <w:rPr>
          <w:rFonts w:ascii="Arial" w:cs="Arial" w:eastAsia="Arial" w:hAnsi="Arial"/>
          <w:sz w:val="13"/>
          <w:szCs w:val="13"/>
          <w:b w:val="1"/>
          <w:bCs w:val="1"/>
          <w:color w:val="auto"/>
        </w:rPr>
        <w:t>EXHIBIT A</w:t>
      </w:r>
    </w:p>
    <w:p>
      <w:pPr>
        <w:spacing w:after="0" w:line="76" w:lineRule="exact"/>
        <w:rPr>
          <w:sz w:val="20"/>
          <w:szCs w:val="20"/>
          <w:color w:val="auto"/>
        </w:rPr>
      </w:pPr>
    </w:p>
    <w:p>
      <w:pPr>
        <w:jc w:val="center"/>
        <w:ind w:left="1100"/>
        <w:spacing w:after="0"/>
        <w:rPr>
          <w:sz w:val="20"/>
          <w:szCs w:val="20"/>
          <w:color w:val="auto"/>
        </w:rPr>
      </w:pPr>
      <w:r>
        <w:rPr>
          <w:rFonts w:ascii="Arial" w:cs="Arial" w:eastAsia="Arial" w:hAnsi="Arial"/>
          <w:sz w:val="13"/>
          <w:szCs w:val="13"/>
          <w:b w:val="1"/>
          <w:bCs w:val="1"/>
          <w:color w:val="auto"/>
        </w:rPr>
        <w:t>Vesting and Restrictions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This grant is subject to both a Performance Restriction and a Time-Based Restriction, as described below (collectively, the “Period of Restriction”).</w:t>
      </w:r>
    </w:p>
    <w:p>
      <w:pPr>
        <w:spacing w:after="0" w:line="144" w:lineRule="exact"/>
        <w:rPr>
          <w:sz w:val="20"/>
          <w:szCs w:val="20"/>
          <w:color w:val="auto"/>
        </w:rPr>
      </w:pPr>
    </w:p>
    <w:p>
      <w:pPr>
        <w:jc w:val="center"/>
        <w:ind w:left="1100"/>
        <w:spacing w:after="0"/>
        <w:rPr>
          <w:sz w:val="20"/>
          <w:szCs w:val="20"/>
          <w:color w:val="auto"/>
        </w:rPr>
      </w:pPr>
      <w:r>
        <w:rPr>
          <w:rFonts w:ascii="Arial" w:cs="Arial" w:eastAsia="Arial" w:hAnsi="Arial"/>
          <w:sz w:val="13"/>
          <w:szCs w:val="13"/>
          <w:b w:val="1"/>
          <w:bCs w:val="1"/>
          <w:color w:val="auto"/>
        </w:rPr>
        <w:t>Performance Restriction</w:t>
      </w:r>
    </w:p>
    <w:p>
      <w:pPr>
        <w:sectPr>
          <w:pgSz w:w="11900" w:h="16838" w:orient="portrait"/>
          <w:cols w:equalWidth="0" w:num="1">
            <w:col w:w="10620"/>
          </w:cols>
          <w:pgMar w:left="1080" w:top="417" w:right="199" w:bottom="0" w:gutter="0" w:footer="0" w:header="0"/>
        </w:sectPr>
      </w:pPr>
    </w:p>
    <w:bookmarkStart w:id="102" w:name="page103"/>
    <w:bookmarkEnd w:id="102"/>
    <w:p>
      <w:pPr>
        <w:jc w:val="both"/>
        <w:ind w:firstLine="432"/>
        <w:spacing w:after="0" w:line="251" w:lineRule="auto"/>
        <w:rPr>
          <w:sz w:val="20"/>
          <w:szCs w:val="20"/>
          <w:color w:val="auto"/>
        </w:rPr>
      </w:pPr>
      <w:r>
        <w:rPr>
          <w:rFonts w:ascii="Arial" w:cs="Arial" w:eastAsia="Arial" w:hAnsi="Arial"/>
          <w:sz w:val="13"/>
          <w:szCs w:val="13"/>
          <w:color w:val="auto"/>
        </w:rPr>
        <w:t>In order for 50% of the Restricted Stock to vest, the Compensation Committee of the Board of Directors of the Company (the “Committee”) must determine that the Company has achieved 4% or greater Title Operating Margin (as defined below) in at least two calendar quarters of any of the next five calendar quarters starting October 1, 2010 (the “Performance Restriction”). The five calendar quarters starting October 1, 2010 and ending December 31, 2011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 he Committee will evaluate whether the Title Operating Margin has been achieved following the completion of each calendar quarter during the Measurement Period.</w:t>
      </w:r>
    </w:p>
    <w:p>
      <w:pPr>
        <w:spacing w:after="0" w:line="122" w:lineRule="exact"/>
        <w:rPr>
          <w:sz w:val="20"/>
          <w:szCs w:val="20"/>
          <w:color w:val="auto"/>
        </w:rPr>
      </w:pPr>
    </w:p>
    <w:p>
      <w:pPr>
        <w:jc w:val="center"/>
        <w:ind w:left="1100"/>
        <w:spacing w:after="0"/>
        <w:rPr>
          <w:sz w:val="20"/>
          <w:szCs w:val="20"/>
          <w:color w:val="auto"/>
        </w:rPr>
      </w:pPr>
      <w:r>
        <w:rPr>
          <w:rFonts w:ascii="Arial" w:cs="Arial" w:eastAsia="Arial" w:hAnsi="Arial"/>
          <w:sz w:val="13"/>
          <w:szCs w:val="13"/>
          <w:b w:val="1"/>
          <w:bCs w:val="1"/>
          <w:color w:val="auto"/>
        </w:rPr>
        <w:t>Time-Based Restrictions</w:t>
      </w:r>
    </w:p>
    <w:p>
      <w:pPr>
        <w:spacing w:after="0" w:line="232" w:lineRule="exact"/>
        <w:rPr>
          <w:sz w:val="20"/>
          <w:szCs w:val="20"/>
          <w:color w:val="auto"/>
        </w:rPr>
      </w:pPr>
    </w:p>
    <w:tbl>
      <w:tblPr>
        <w:tblLayout w:type="fixed"/>
        <w:tblInd w:w="190" w:type="dxa"/>
        <w:tblCellMar>
          <w:top w:w="0" w:type="dxa"/>
          <w:left w:w="0" w:type="dxa"/>
          <w:bottom w:w="0" w:type="dxa"/>
          <w:right w:w="0" w:type="dxa"/>
        </w:tblCellMar>
      </w:tblPr>
      <w:tr>
        <w:trPr>
          <w:trHeight w:val="190"/>
        </w:trPr>
        <w:tc>
          <w:tcPr>
            <w:tcW w:w="680" w:type="dxa"/>
            <w:vAlign w:val="bottom"/>
            <w:tcBorders>
              <w:top w:val="single" w:sz="8" w:color="auto"/>
              <w:bottom w:val="single" w:sz="8" w:color="auto"/>
            </w:tcBorders>
          </w:tcPr>
          <w:p>
            <w:pPr>
              <w:spacing w:after="0"/>
              <w:rPr>
                <w:sz w:val="16"/>
                <w:szCs w:val="16"/>
                <w:color w:val="auto"/>
              </w:rPr>
            </w:pPr>
          </w:p>
        </w:tc>
        <w:tc>
          <w:tcPr>
            <w:tcW w:w="4640" w:type="dxa"/>
            <w:vAlign w:val="bottom"/>
            <w:tcBorders>
              <w:top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3"/>
                <w:szCs w:val="13"/>
                <w:b w:val="1"/>
                <w:bCs w:val="1"/>
                <w:color w:val="auto"/>
              </w:rPr>
              <w:t>Anniversary Date</w:t>
            </w:r>
          </w:p>
        </w:tc>
        <w:tc>
          <w:tcPr>
            <w:tcW w:w="4700" w:type="dxa"/>
            <w:vAlign w:val="bottom"/>
            <w:tcBorders>
              <w:top w:val="single" w:sz="8" w:color="auto"/>
              <w:bottom w:val="single" w:sz="8" w:color="auto"/>
            </w:tcBorders>
          </w:tcPr>
          <w:p>
            <w:pPr>
              <w:jc w:val="right"/>
              <w:ind w:right="1454"/>
              <w:spacing w:after="0"/>
              <w:rPr>
                <w:sz w:val="20"/>
                <w:szCs w:val="20"/>
                <w:color w:val="auto"/>
              </w:rPr>
            </w:pPr>
            <w:r>
              <w:rPr>
                <w:rFonts w:ascii="Arial" w:cs="Arial" w:eastAsia="Arial" w:hAnsi="Arial"/>
                <w:sz w:val="13"/>
                <w:szCs w:val="13"/>
                <w:b w:val="1"/>
                <w:bCs w:val="1"/>
                <w:color w:val="auto"/>
              </w:rPr>
              <w:t>% of Restricted Stock</w:t>
            </w:r>
          </w:p>
        </w:tc>
        <w:tc>
          <w:tcPr>
            <w:tcW w:w="260" w:type="dxa"/>
            <w:vAlign w:val="bottom"/>
            <w:tcBorders>
              <w:top w:val="single" w:sz="8" w:color="auto"/>
              <w:bottom w:val="single" w:sz="8" w:color="auto"/>
              <w:right w:val="single" w:sz="8" w:color="auto"/>
            </w:tcBorders>
          </w:tcPr>
          <w:p>
            <w:pPr>
              <w:spacing w:after="0"/>
              <w:rPr>
                <w:sz w:val="16"/>
                <w:szCs w:val="16"/>
                <w:color w:val="auto"/>
              </w:rPr>
            </w:pPr>
          </w:p>
        </w:tc>
      </w:tr>
      <w:tr>
        <w:trPr>
          <w:trHeight w:val="186"/>
        </w:trPr>
        <w:tc>
          <w:tcPr>
            <w:tcW w:w="68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3"/>
                <w:szCs w:val="13"/>
                <w:color w:val="auto"/>
                <w:w w:val="86"/>
              </w:rPr>
              <w:t>First (1</w:t>
            </w:r>
            <w:r>
              <w:rPr>
                <w:rFonts w:ascii="Arial" w:cs="Arial" w:eastAsia="Arial" w:hAnsi="Arial"/>
                <w:sz w:val="16"/>
                <w:szCs w:val="16"/>
                <w:color w:val="auto"/>
                <w:strike w:val="1"/>
                <w:w w:val="86"/>
                <w:vertAlign w:val="superscript"/>
              </w:rPr>
              <w:t>st</w:t>
            </w:r>
          </w:p>
        </w:tc>
        <w:tc>
          <w:tcPr>
            <w:tcW w:w="4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strike w:val="1"/>
              </w:rPr>
              <w:t>) anniversary of the Effective Date of Grant</w:t>
            </w:r>
          </w:p>
        </w:tc>
        <w:tc>
          <w:tcPr>
            <w:tcW w:w="4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33.34</w:t>
            </w: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5320" w:type="dxa"/>
            <w:vAlign w:val="bottom"/>
            <w:tcBorders>
              <w:left w:val="single" w:sz="8" w:color="auto"/>
              <w:bottom w:val="single" w:sz="8" w:color="auto"/>
              <w:right w:val="single" w:sz="8" w:color="auto"/>
            </w:tcBorders>
            <w:gridSpan w:val="2"/>
          </w:tcPr>
          <w:p>
            <w:pPr>
              <w:ind w:left="240"/>
              <w:spacing w:after="0" w:line="178" w:lineRule="exact"/>
              <w:rPr>
                <w:sz w:val="20"/>
                <w:szCs w:val="20"/>
                <w:color w:val="auto"/>
              </w:rPr>
            </w:pPr>
            <w:r>
              <w:rPr>
                <w:rFonts w:ascii="Arial" w:cs="Arial" w:eastAsia="Arial" w:hAnsi="Arial"/>
                <w:sz w:val="13"/>
                <w:szCs w:val="13"/>
                <w:color w:val="auto"/>
              </w:rPr>
              <w:t>Second (2</w:t>
            </w:r>
            <w:r>
              <w:rPr>
                <w:rFonts w:ascii="Arial" w:cs="Arial" w:eastAsia="Arial" w:hAnsi="Arial"/>
                <w:sz w:val="16"/>
                <w:szCs w:val="16"/>
                <w:color w:val="auto"/>
                <w:vertAlign w:val="superscript"/>
              </w:rPr>
              <w:t>nd</w:t>
            </w:r>
            <w:r>
              <w:rPr>
                <w:rFonts w:ascii="Arial" w:cs="Arial" w:eastAsia="Arial" w:hAnsi="Arial"/>
                <w:sz w:val="13"/>
                <w:szCs w:val="13"/>
                <w:color w:val="auto"/>
              </w:rPr>
              <w:t>) anniversary of the Effective Date of Grant</w:t>
            </w:r>
          </w:p>
        </w:tc>
        <w:tc>
          <w:tcPr>
            <w:tcW w:w="4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33.33</w:t>
            </w: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5320" w:type="dxa"/>
            <w:vAlign w:val="bottom"/>
            <w:tcBorders>
              <w:bottom w:val="single" w:sz="8" w:color="auto"/>
              <w:right w:val="single" w:sz="8" w:color="auto"/>
            </w:tcBorders>
            <w:gridSpan w:val="2"/>
          </w:tcPr>
          <w:p>
            <w:pPr>
              <w:ind w:left="240"/>
              <w:spacing w:after="0" w:line="178" w:lineRule="exact"/>
              <w:rPr>
                <w:sz w:val="20"/>
                <w:szCs w:val="20"/>
                <w:color w:val="auto"/>
              </w:rPr>
            </w:pPr>
            <w:r>
              <w:rPr>
                <w:rFonts w:ascii="Arial" w:cs="Arial" w:eastAsia="Arial" w:hAnsi="Arial"/>
                <w:sz w:val="13"/>
                <w:szCs w:val="13"/>
                <w:color w:val="auto"/>
              </w:rPr>
              <w:t>Third (3</w:t>
            </w:r>
            <w:r>
              <w:rPr>
                <w:rFonts w:ascii="Arial" w:cs="Arial" w:eastAsia="Arial" w:hAnsi="Arial"/>
                <w:sz w:val="16"/>
                <w:szCs w:val="16"/>
                <w:color w:val="auto"/>
                <w:vertAlign w:val="superscript"/>
              </w:rPr>
              <w:t>rd</w:t>
            </w:r>
            <w:r>
              <w:rPr>
                <w:rFonts w:ascii="Arial" w:cs="Arial" w:eastAsia="Arial" w:hAnsi="Arial"/>
                <w:sz w:val="13"/>
                <w:szCs w:val="13"/>
                <w:color w:val="auto"/>
              </w:rPr>
              <w:t>) anniversary of the Effective Date of Grant</w:t>
            </w:r>
          </w:p>
        </w:tc>
        <w:tc>
          <w:tcPr>
            <w:tcW w:w="4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33.33</w:t>
            </w: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r>
    </w:tbl>
    <w:p>
      <w:pPr>
        <w:spacing w:after="0" w:line="130" w:lineRule="exact"/>
        <w:rPr>
          <w:sz w:val="20"/>
          <w:szCs w:val="20"/>
          <w:color w:val="auto"/>
        </w:rPr>
      </w:pPr>
    </w:p>
    <w:p>
      <w:pPr>
        <w:jc w:val="center"/>
        <w:ind w:left="1100"/>
        <w:spacing w:after="0"/>
        <w:rPr>
          <w:sz w:val="20"/>
          <w:szCs w:val="20"/>
          <w:color w:val="auto"/>
        </w:rPr>
      </w:pPr>
      <w:r>
        <w:rPr>
          <w:rFonts w:ascii="Arial" w:cs="Arial" w:eastAsia="Arial" w:hAnsi="Arial"/>
          <w:sz w:val="13"/>
          <w:szCs w:val="13"/>
          <w:b w:val="1"/>
          <w:bCs w:val="1"/>
          <w:color w:val="auto"/>
        </w:rPr>
        <w:t>Vesting</w:t>
      </w:r>
    </w:p>
    <w:p>
      <w:pPr>
        <w:spacing w:after="0" w:line="152"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If the Performance Restriction has been achieved, the percentage of the Restricted Stock indicated next to each Anniversary Date shall vest on such indicated anniversary date (such three year vesting schedule referred to as the “Time-Based Restrictions”). If the Performance Restriction is not achieved prior to the expiration of the Measurement Period, none of the Restricted Stock granted hereunder shall vest and, for no consideration, will be automatically forfeited to the Company.</w:t>
      </w:r>
    </w:p>
    <w:p>
      <w:pPr>
        <w:sectPr>
          <w:pgSz w:w="11900" w:h="16838" w:orient="portrait"/>
          <w:cols w:equalWidth="0" w:num="1">
            <w:col w:w="10620"/>
          </w:cols>
          <w:pgMar w:left="1080" w:top="128" w:right="1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2"/>
          <w:szCs w:val="12"/>
          <w:b w:val="1"/>
          <w:bCs w:val="1"/>
          <w:color w:val="auto"/>
        </w:rPr>
        <w:t>EXHIBIT 21.1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60" w:type="dxa"/>
            <w:vAlign w:val="bottom"/>
          </w:tcPr>
          <w:p>
            <w:pPr>
              <w:spacing w:after="0"/>
              <w:rPr>
                <w:sz w:val="12"/>
                <w:szCs w:val="12"/>
                <w:color w:val="auto"/>
              </w:rPr>
            </w:pPr>
          </w:p>
        </w:tc>
        <w:tc>
          <w:tcPr>
            <w:tcW w:w="7280" w:type="dxa"/>
            <w:vAlign w:val="bottom"/>
            <w:gridSpan w:val="3"/>
          </w:tcPr>
          <w:p>
            <w:pPr>
              <w:jc w:val="center"/>
              <w:ind w:right="3000"/>
              <w:spacing w:after="0"/>
              <w:rPr>
                <w:sz w:val="20"/>
                <w:szCs w:val="20"/>
                <w:color w:val="auto"/>
              </w:rPr>
            </w:pPr>
            <w:r>
              <w:rPr>
                <w:rFonts w:ascii="Arial" w:cs="Arial" w:eastAsia="Arial" w:hAnsi="Arial"/>
                <w:sz w:val="12"/>
                <w:szCs w:val="12"/>
                <w:b w:val="1"/>
                <w:bCs w:val="1"/>
                <w:color w:val="auto"/>
              </w:rPr>
              <w:t>FIDELITY NATIONAL FINANCIAL, INC.</w:t>
            </w:r>
          </w:p>
        </w:tc>
      </w:tr>
      <w:tr>
        <w:trPr>
          <w:trHeight w:val="144"/>
        </w:trPr>
        <w:tc>
          <w:tcPr>
            <w:tcW w:w="3260" w:type="dxa"/>
            <w:vAlign w:val="bottom"/>
          </w:tcPr>
          <w:p>
            <w:pPr>
              <w:spacing w:after="0"/>
              <w:rPr>
                <w:sz w:val="12"/>
                <w:szCs w:val="12"/>
                <w:color w:val="auto"/>
              </w:rPr>
            </w:pPr>
          </w:p>
        </w:tc>
        <w:tc>
          <w:tcPr>
            <w:tcW w:w="7280" w:type="dxa"/>
            <w:vAlign w:val="bottom"/>
            <w:gridSpan w:val="3"/>
          </w:tcPr>
          <w:p>
            <w:pPr>
              <w:jc w:val="center"/>
              <w:ind w:right="2980"/>
              <w:spacing w:after="0"/>
              <w:rPr>
                <w:sz w:val="20"/>
                <w:szCs w:val="20"/>
                <w:color w:val="auto"/>
              </w:rPr>
            </w:pPr>
            <w:r>
              <w:rPr>
                <w:rFonts w:ascii="Arial" w:cs="Arial" w:eastAsia="Arial" w:hAnsi="Arial"/>
                <w:sz w:val="12"/>
                <w:szCs w:val="12"/>
                <w:b w:val="1"/>
                <w:bCs w:val="1"/>
                <w:color w:val="auto"/>
                <w:w w:val="89"/>
              </w:rPr>
              <w:t>List of Subsidiaries 12/31/2010</w:t>
            </w:r>
          </w:p>
        </w:tc>
      </w:tr>
      <w:tr>
        <w:trPr>
          <w:trHeight w:val="157"/>
        </w:trPr>
        <w:tc>
          <w:tcPr>
            <w:tcW w:w="3260" w:type="dxa"/>
            <w:vAlign w:val="bottom"/>
          </w:tcPr>
          <w:p>
            <w:pPr>
              <w:spacing w:after="0"/>
              <w:rPr>
                <w:sz w:val="13"/>
                <w:szCs w:val="13"/>
                <w:color w:val="auto"/>
              </w:rPr>
            </w:pPr>
          </w:p>
        </w:tc>
        <w:tc>
          <w:tcPr>
            <w:tcW w:w="7280" w:type="dxa"/>
            <w:vAlign w:val="bottom"/>
            <w:gridSpan w:val="3"/>
          </w:tcPr>
          <w:p>
            <w:pPr>
              <w:jc w:val="center"/>
              <w:ind w:right="3000"/>
              <w:spacing w:after="0"/>
              <w:rPr>
                <w:sz w:val="20"/>
                <w:szCs w:val="20"/>
                <w:color w:val="auto"/>
              </w:rPr>
            </w:pPr>
            <w:r>
              <w:rPr>
                <w:rFonts w:ascii="Arial" w:cs="Arial" w:eastAsia="Arial" w:hAnsi="Arial"/>
                <w:sz w:val="12"/>
                <w:szCs w:val="12"/>
                <w:b w:val="1"/>
                <w:bCs w:val="1"/>
                <w:color w:val="auto"/>
                <w:w w:val="90"/>
              </w:rPr>
              <w:t>Four Significant Subsidiaries</w:t>
            </w:r>
          </w:p>
        </w:tc>
      </w:tr>
      <w:tr>
        <w:trPr>
          <w:trHeight w:val="441"/>
        </w:trPr>
        <w:tc>
          <w:tcPr>
            <w:tcW w:w="326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COMPANY</w:t>
            </w:r>
          </w:p>
        </w:tc>
        <w:tc>
          <w:tcPr>
            <w:tcW w:w="3080" w:type="dxa"/>
            <w:vAlign w:val="bottom"/>
            <w:tcBorders>
              <w:bottom w:val="single" w:sz="8" w:color="auto"/>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3680" w:type="dxa"/>
            <w:vAlign w:val="bottom"/>
            <w:tcBorders>
              <w:bottom w:val="single" w:sz="8" w:color="auto"/>
            </w:tcBorders>
          </w:tcPr>
          <w:p>
            <w:pPr>
              <w:ind w:left="1420"/>
              <w:spacing w:after="0"/>
              <w:rPr>
                <w:sz w:val="20"/>
                <w:szCs w:val="20"/>
                <w:color w:val="auto"/>
              </w:rPr>
            </w:pPr>
            <w:r>
              <w:rPr>
                <w:rFonts w:ascii="Arial" w:cs="Arial" w:eastAsia="Arial" w:hAnsi="Arial"/>
                <w:sz w:val="12"/>
                <w:szCs w:val="12"/>
                <w:b w:val="1"/>
                <w:bCs w:val="1"/>
                <w:color w:val="auto"/>
              </w:rPr>
              <w:t>INCORPORATION</w:t>
            </w:r>
          </w:p>
        </w:tc>
      </w:tr>
      <w:tr>
        <w:trPr>
          <w:trHeight w:val="178"/>
        </w:trPr>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Chicago Title and Trust Company</w:t>
            </w:r>
          </w:p>
        </w:tc>
        <w:tc>
          <w:tcPr>
            <w:tcW w:w="3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Illinois</w:t>
            </w:r>
          </w:p>
        </w:tc>
      </w:tr>
      <w:tr>
        <w:trPr>
          <w:trHeight w:val="171"/>
        </w:trPr>
        <w:tc>
          <w:tcPr>
            <w:tcW w:w="3260" w:type="dxa"/>
            <w:vAlign w:val="bottom"/>
          </w:tcPr>
          <w:p>
            <w:pPr>
              <w:ind w:left="220"/>
              <w:spacing w:after="0"/>
              <w:rPr>
                <w:sz w:val="20"/>
                <w:szCs w:val="20"/>
                <w:color w:val="auto"/>
              </w:rPr>
            </w:pPr>
            <w:r>
              <w:rPr>
                <w:rFonts w:ascii="Arial" w:cs="Arial" w:eastAsia="Arial" w:hAnsi="Arial"/>
                <w:sz w:val="12"/>
                <w:szCs w:val="12"/>
                <w:color w:val="auto"/>
              </w:rPr>
              <w:t>Chicago Title Insurance Company</w:t>
            </w:r>
          </w:p>
        </w:tc>
        <w:tc>
          <w:tcPr>
            <w:tcW w:w="3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Arial" w:cs="Arial" w:eastAsia="Arial" w:hAnsi="Arial"/>
                <w:sz w:val="12"/>
                <w:szCs w:val="12"/>
                <w:color w:val="auto"/>
              </w:rPr>
              <w:t>Nebraska</w:t>
            </w:r>
          </w:p>
        </w:tc>
      </w:tr>
      <w:tr>
        <w:trPr>
          <w:trHeight w:val="189"/>
        </w:trPr>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Fidelity National Title Group, Inc.</w:t>
            </w:r>
          </w:p>
        </w:tc>
        <w:tc>
          <w:tcPr>
            <w:tcW w:w="3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Delaware</w:t>
            </w:r>
          </w:p>
        </w:tc>
      </w:tr>
      <w:tr>
        <w:trPr>
          <w:trHeight w:val="162"/>
        </w:trPr>
        <w:tc>
          <w:tcPr>
            <w:tcW w:w="3260" w:type="dxa"/>
            <w:vAlign w:val="bottom"/>
          </w:tcPr>
          <w:p>
            <w:pPr>
              <w:ind w:left="220"/>
              <w:spacing w:after="0"/>
              <w:rPr>
                <w:sz w:val="20"/>
                <w:szCs w:val="20"/>
                <w:color w:val="auto"/>
              </w:rPr>
            </w:pPr>
            <w:r>
              <w:rPr>
                <w:rFonts w:ascii="Arial" w:cs="Arial" w:eastAsia="Arial" w:hAnsi="Arial"/>
                <w:sz w:val="12"/>
                <w:szCs w:val="12"/>
                <w:color w:val="auto"/>
              </w:rPr>
              <w:t>Fidelity National Title Insurance Company</w:t>
            </w:r>
          </w:p>
        </w:tc>
        <w:tc>
          <w:tcPr>
            <w:tcW w:w="3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80" w:type="dxa"/>
            <w:vAlign w:val="bottom"/>
          </w:tcPr>
          <w:p>
            <w:pPr>
              <w:ind w:left="220"/>
              <w:spacing w:after="0"/>
              <w:rPr>
                <w:sz w:val="20"/>
                <w:szCs w:val="20"/>
                <w:color w:val="auto"/>
              </w:rPr>
            </w:pPr>
            <w:r>
              <w:rPr>
                <w:rFonts w:ascii="Arial" w:cs="Arial" w:eastAsia="Arial" w:hAnsi="Arial"/>
                <w:sz w:val="12"/>
                <w:szCs w:val="12"/>
                <w:color w:val="auto"/>
              </w:rPr>
              <w:t>California</w:t>
            </w:r>
          </w:p>
        </w:tc>
      </w:tr>
    </w:tbl>
    <w:p>
      <w:pPr>
        <w:sectPr>
          <w:pgSz w:w="11900" w:h="16838" w:orient="portrait"/>
          <w:cols w:equalWidth="0" w:num="1">
            <w:col w:w="10580"/>
          </w:cols>
          <w:pgMar w:left="1120" w:top="424" w:right="1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2"/>
          <w:szCs w:val="12"/>
          <w:b w:val="1"/>
          <w:bCs w:val="1"/>
          <w:color w:val="auto"/>
        </w:rPr>
        <w:t>Exhibit 23.1</w:t>
      </w:r>
    </w:p>
    <w:p>
      <w:pPr>
        <w:spacing w:after="0" w:line="159"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63" w:lineRule="exact"/>
        <w:rPr>
          <w:sz w:val="20"/>
          <w:szCs w:val="20"/>
          <w:color w:val="auto"/>
        </w:rPr>
      </w:pPr>
    </w:p>
    <w:p>
      <w:pPr>
        <w:ind w:left="4860"/>
        <w:spacing w:after="0"/>
        <w:rPr>
          <w:sz w:val="20"/>
          <w:szCs w:val="20"/>
          <w:color w:val="auto"/>
        </w:rPr>
      </w:pPr>
      <w:r>
        <w:rPr>
          <w:rFonts w:ascii="Arial" w:cs="Arial" w:eastAsia="Arial" w:hAnsi="Arial"/>
          <w:sz w:val="12"/>
          <w:szCs w:val="12"/>
          <w:color w:val="auto"/>
        </w:rPr>
        <w:t>The Board of Directors</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Fidelity National Financial, Inc.:</w:t>
      </w:r>
    </w:p>
    <w:p>
      <w:pPr>
        <w:spacing w:after="0" w:line="150" w:lineRule="exact"/>
        <w:rPr>
          <w:sz w:val="20"/>
          <w:szCs w:val="20"/>
          <w:color w:val="auto"/>
        </w:rPr>
      </w:pPr>
    </w:p>
    <w:p>
      <w:pPr>
        <w:jc w:val="both"/>
        <w:ind w:firstLine="216"/>
        <w:spacing w:after="0" w:line="327" w:lineRule="auto"/>
        <w:rPr>
          <w:sz w:val="20"/>
          <w:szCs w:val="20"/>
          <w:color w:val="auto"/>
        </w:rPr>
      </w:pPr>
      <w:r>
        <w:rPr>
          <w:rFonts w:ascii="Arial" w:cs="Arial" w:eastAsia="Arial" w:hAnsi="Arial"/>
          <w:sz w:val="10"/>
          <w:szCs w:val="10"/>
          <w:color w:val="auto"/>
        </w:rPr>
        <w:t>We consent to the incorporation by reference in the Registration Statements (Nos. 333-157643, 333-132843, 333-138254, 333-129886, and 333-129016) on Form S-8 and Registration Statements (Nos. 333-157123, 333-147391) on Form S-3 of Fidelity National Financial, Inc. of our reports dated February 23, 2011, with respect to the Consolidated Balance Sheets of Fidelity National Financial, Inc. as of December 31, 2010 and 2009, and the related Consolidated Statements of Operations, Comprehensive Earnings, Equity and Cash Flows for each of the years in the three-year period ended December 31, 2010, and all related financial statement schedules, and the effectiveness of internal control over financial reporting as of Dec ember 31, 2010, which reports appear in the December 31, 2010 annual report on Form 10-K of Fidelity National Financial, Inc.</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 KPMG LLP</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February 23, 2011</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Jacksonville, Florida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Certified Public Accountants</w:t>
      </w:r>
    </w:p>
    <w:p>
      <w:pPr>
        <w:sectPr>
          <w:pgSz w:w="11900" w:h="16838" w:orient="portrait"/>
          <w:cols w:equalWidth="0" w:num="1">
            <w:col w:w="10620"/>
          </w:cols>
          <w:pgMar w:left="1080" w:top="424" w:right="1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CERTIFICATIONS</w:t>
      </w:r>
    </w:p>
    <w:p>
      <w:pPr>
        <w:spacing w:after="0" w:line="154"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I, George P. Scanlon, certify that:</w:t>
      </w:r>
    </w:p>
    <w:p>
      <w:pPr>
        <w:spacing w:after="0" w:line="150" w:lineRule="exact"/>
        <w:rPr>
          <w:sz w:val="20"/>
          <w:szCs w:val="20"/>
          <w:color w:val="auto"/>
        </w:rPr>
      </w:pPr>
    </w:p>
    <w:p>
      <w:pPr>
        <w:ind w:left="340" w:hanging="127"/>
        <w:spacing w:after="0"/>
        <w:tabs>
          <w:tab w:leader="none" w:pos="3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Fidelity National Financial, Inc.;</w:t>
      </w:r>
    </w:p>
    <w:p>
      <w:pPr>
        <w:spacing w:after="0" w:line="150" w:lineRule="exact"/>
        <w:rPr>
          <w:rFonts w:ascii="Arial" w:cs="Arial" w:eastAsia="Arial" w:hAnsi="Arial"/>
          <w:sz w:val="12"/>
          <w:szCs w:val="12"/>
          <w:color w:val="auto"/>
        </w:rPr>
      </w:pPr>
    </w:p>
    <w:p>
      <w:pPr>
        <w:ind w:firstLine="213"/>
        <w:spacing w:after="0" w:line="276" w:lineRule="auto"/>
        <w:tabs>
          <w:tab w:leader="none" w:pos="341" w:val="left"/>
        </w:tabs>
        <w:numPr>
          <w:ilvl w:val="0"/>
          <w:numId w:val="4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right="20" w:firstLine="213"/>
        <w:spacing w:after="0" w:line="276" w:lineRule="auto"/>
        <w:tabs>
          <w:tab w:leader="none" w:pos="344" w:val="left"/>
        </w:tabs>
        <w:numPr>
          <w:ilvl w:val="0"/>
          <w:numId w:val="4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right="20" w:firstLine="213"/>
        <w:spacing w:after="0" w:line="276" w:lineRule="auto"/>
        <w:tabs>
          <w:tab w:leader="none" w:pos="343"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980" w:right="40" w:hanging="431"/>
        <w:spacing w:after="0" w:line="323" w:lineRule="auto"/>
        <w:tabs>
          <w:tab w:leader="none" w:pos="1196" w:val="left"/>
        </w:tabs>
        <w:numPr>
          <w:ilvl w:val="1"/>
          <w:numId w:val="4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 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1"/>
          <w:szCs w:val="11"/>
          <w:color w:val="auto"/>
        </w:rPr>
      </w:pPr>
    </w:p>
    <w:p>
      <w:pPr>
        <w:ind w:left="980" w:right="60" w:hanging="434"/>
        <w:spacing w:after="0" w:line="323" w:lineRule="auto"/>
        <w:tabs>
          <w:tab w:leader="none" w:pos="1196" w:val="left"/>
        </w:tabs>
        <w:numPr>
          <w:ilvl w:val="1"/>
          <w:numId w:val="4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1"/>
          <w:szCs w:val="11"/>
          <w:color w:val="auto"/>
        </w:rPr>
      </w:pPr>
    </w:p>
    <w:p>
      <w:pPr>
        <w:ind w:left="980" w:right="40" w:hanging="431"/>
        <w:spacing w:after="0" w:line="276" w:lineRule="auto"/>
        <w:tabs>
          <w:tab w:leader="none" w:pos="1196" w:val="left"/>
        </w:tabs>
        <w:numPr>
          <w:ilvl w:val="1"/>
          <w:numId w:val="4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2"/>
          <w:szCs w:val="12"/>
          <w:color w:val="auto"/>
        </w:rPr>
      </w:pPr>
    </w:p>
    <w:p>
      <w:pPr>
        <w:ind w:left="1200" w:hanging="654"/>
        <w:spacing w:after="0"/>
        <w:tabs>
          <w:tab w:leader="none" w:pos="1200" w:val="left"/>
        </w:tabs>
        <w:numPr>
          <w:ilvl w:val="1"/>
          <w:numId w:val="47"/>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w:t>
      </w:r>
    </w:p>
    <w:p>
      <w:pPr>
        <w:spacing w:after="0" w:line="26" w:lineRule="exact"/>
        <w:rPr>
          <w:rFonts w:ascii="Arial" w:cs="Arial" w:eastAsia="Arial" w:hAnsi="Arial"/>
          <w:sz w:val="11"/>
          <w:szCs w:val="11"/>
          <w:color w:val="auto"/>
        </w:rPr>
      </w:pPr>
    </w:p>
    <w:p>
      <w:pPr>
        <w:ind w:left="980" w:hanging="185"/>
        <w:spacing w:after="0"/>
        <w:tabs>
          <w:tab w:leader="none" w:pos="980" w:val="left"/>
        </w:tabs>
        <w:numPr>
          <w:ilvl w:val="2"/>
          <w:numId w:val="47"/>
        </w:numPr>
        <w:rPr>
          <w:rFonts w:ascii="Arial" w:cs="Arial" w:eastAsia="Arial" w:hAnsi="Arial"/>
          <w:sz w:val="12"/>
          <w:szCs w:val="12"/>
          <w:color w:val="auto"/>
        </w:rPr>
      </w:pPr>
      <w:r>
        <w:rPr>
          <w:rFonts w:ascii="Arial" w:cs="Arial" w:eastAsia="Arial" w:hAnsi="Arial"/>
          <w:sz w:val="12"/>
          <w:szCs w:val="12"/>
          <w:color w:val="auto"/>
        </w:rPr>
        <w:t>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2"/>
          <w:szCs w:val="12"/>
          <w:color w:val="auto"/>
        </w:rPr>
      </w:pPr>
    </w:p>
    <w:p>
      <w:pPr>
        <w:ind w:firstLine="213"/>
        <w:spacing w:after="0" w:line="276" w:lineRule="auto"/>
        <w:tabs>
          <w:tab w:leader="none" w:pos="337"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 rol over financial reporting, to the registrant’s auditors and the audit committee of registrant’s board of directors (or persons performing the equivalent functions):</w:t>
      </w:r>
    </w:p>
    <w:p>
      <w:pPr>
        <w:spacing w:after="0" w:line="78" w:lineRule="exact"/>
        <w:rPr>
          <w:rFonts w:ascii="Arial" w:cs="Arial" w:eastAsia="Arial" w:hAnsi="Arial"/>
          <w:sz w:val="12"/>
          <w:szCs w:val="12"/>
          <w:color w:val="auto"/>
        </w:rPr>
      </w:pPr>
    </w:p>
    <w:p>
      <w:pPr>
        <w:ind w:left="980" w:right="60" w:hanging="431"/>
        <w:spacing w:after="0" w:line="276" w:lineRule="auto"/>
        <w:tabs>
          <w:tab w:leader="none" w:pos="1196" w:val="left"/>
        </w:tabs>
        <w:numPr>
          <w:ilvl w:val="1"/>
          <w:numId w:val="4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2"/>
          <w:szCs w:val="12"/>
          <w:color w:val="auto"/>
        </w:rPr>
      </w:pPr>
    </w:p>
    <w:p>
      <w:pPr>
        <w:ind w:left="1200" w:hanging="654"/>
        <w:spacing w:after="0"/>
        <w:tabs>
          <w:tab w:leader="none" w:pos="1200" w:val="left"/>
        </w:tabs>
        <w:numPr>
          <w:ilvl w:val="1"/>
          <w:numId w:val="4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Date: February 23, 2011</w:t>
      </w:r>
    </w:p>
    <w:p>
      <w:pPr>
        <w:spacing w:after="0" w:line="294" w:lineRule="exact"/>
        <w:rPr>
          <w:sz w:val="20"/>
          <w:szCs w:val="20"/>
          <w:color w:val="auto"/>
        </w:rPr>
      </w:pPr>
    </w:p>
    <w:p>
      <w:pPr>
        <w:ind w:left="260"/>
        <w:spacing w:after="0"/>
        <w:tabs>
          <w:tab w:leader="none" w:pos="7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20955</wp:posOffset>
            </wp:positionV>
            <wp:extent cx="18415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41500" cy="5715"/>
                    </a:xfrm>
                    <a:prstGeom prst="rect">
                      <a:avLst/>
                    </a:prstGeom>
                    <a:noFill/>
                  </pic:spPr>
                </pic:pic>
              </a:graphicData>
            </a:graphic>
          </wp:anchor>
        </w:drawing>
      </w:r>
    </w:p>
    <w:p>
      <w:pPr>
        <w:spacing w:after="0" w:line="31" w:lineRule="exact"/>
        <w:rPr>
          <w:sz w:val="20"/>
          <w:szCs w:val="20"/>
          <w:color w:val="auto"/>
        </w:rPr>
      </w:pPr>
    </w:p>
    <w:p>
      <w:pPr>
        <w:ind w:left="740"/>
        <w:spacing w:after="0"/>
        <w:rPr>
          <w:sz w:val="20"/>
          <w:szCs w:val="20"/>
          <w:color w:val="auto"/>
        </w:rPr>
      </w:pPr>
      <w:r>
        <w:rPr>
          <w:rFonts w:ascii="Arial" w:cs="Arial" w:eastAsia="Arial" w:hAnsi="Arial"/>
          <w:sz w:val="12"/>
          <w:szCs w:val="12"/>
          <w:color w:val="auto"/>
        </w:rPr>
        <w:t>George P. Scanlon</w:t>
      </w:r>
    </w:p>
    <w:p>
      <w:pPr>
        <w:spacing w:after="0" w:line="42" w:lineRule="exact"/>
        <w:rPr>
          <w:sz w:val="20"/>
          <w:szCs w:val="20"/>
          <w:color w:val="auto"/>
        </w:rPr>
      </w:pPr>
    </w:p>
    <w:p>
      <w:pPr>
        <w:ind w:left="74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0620"/>
          </w:cols>
          <w:pgMar w:left="1080" w:top="415" w:right="1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CERTIFICATIONS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 Anthony J. Park, certify that:</w:t>
      </w:r>
    </w:p>
    <w:p>
      <w:pPr>
        <w:spacing w:after="0" w:line="150" w:lineRule="exact"/>
        <w:rPr>
          <w:sz w:val="20"/>
          <w:szCs w:val="20"/>
          <w:color w:val="auto"/>
        </w:rPr>
      </w:pPr>
    </w:p>
    <w:p>
      <w:pPr>
        <w:ind w:left="340" w:hanging="127"/>
        <w:spacing w:after="0"/>
        <w:tabs>
          <w:tab w:leader="none" w:pos="3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Fidelity National Financial, Inc.;</w:t>
      </w:r>
    </w:p>
    <w:p>
      <w:pPr>
        <w:spacing w:after="0" w:line="150" w:lineRule="exact"/>
        <w:rPr>
          <w:rFonts w:ascii="Arial" w:cs="Arial" w:eastAsia="Arial" w:hAnsi="Arial"/>
          <w:sz w:val="12"/>
          <w:szCs w:val="12"/>
          <w:color w:val="auto"/>
        </w:rPr>
      </w:pPr>
    </w:p>
    <w:p>
      <w:pPr>
        <w:ind w:firstLine="213"/>
        <w:spacing w:after="0" w:line="276" w:lineRule="auto"/>
        <w:tabs>
          <w:tab w:leader="none" w:pos="341" w:val="left"/>
        </w:tabs>
        <w:numPr>
          <w:ilvl w:val="0"/>
          <w:numId w:val="4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right="20" w:firstLine="213"/>
        <w:spacing w:after="0" w:line="276" w:lineRule="auto"/>
        <w:tabs>
          <w:tab w:leader="none" w:pos="344" w:val="left"/>
        </w:tabs>
        <w:numPr>
          <w:ilvl w:val="0"/>
          <w:numId w:val="4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right="20" w:firstLine="213"/>
        <w:spacing w:after="0" w:line="276" w:lineRule="auto"/>
        <w:tabs>
          <w:tab w:leader="none" w:pos="343"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960" w:right="80" w:hanging="433"/>
        <w:spacing w:after="0" w:line="323" w:lineRule="auto"/>
        <w:tabs>
          <w:tab w:leader="none" w:pos="1176" w:val="left"/>
        </w:tabs>
        <w:numPr>
          <w:ilvl w:val="1"/>
          <w:numId w:val="48"/>
        </w:numPr>
        <w:rPr>
          <w:rFonts w:ascii="Arial" w:cs="Arial" w:eastAsia="Arial" w:hAnsi="Arial"/>
          <w:sz w:val="11"/>
          <w:szCs w:val="11"/>
          <w:color w:val="auto"/>
        </w:rPr>
      </w:pPr>
      <w:r>
        <w:rPr>
          <w:rFonts w:ascii="Arial" w:cs="Arial" w:eastAsia="Arial" w:hAnsi="Arial"/>
          <w:sz w:val="11"/>
          <w:szCs w:val="11"/>
          <w:color w:val="auto"/>
        </w:rPr>
        <w:t>designed such disclosure control 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1"/>
          <w:szCs w:val="11"/>
          <w:color w:val="auto"/>
        </w:rPr>
      </w:pPr>
    </w:p>
    <w:p>
      <w:pPr>
        <w:ind w:left="960" w:right="100" w:hanging="437"/>
        <w:spacing w:after="0" w:line="323" w:lineRule="auto"/>
        <w:tabs>
          <w:tab w:leader="none" w:pos="1176" w:val="left"/>
        </w:tabs>
        <w:numPr>
          <w:ilvl w:val="1"/>
          <w:numId w:val="4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1"/>
          <w:szCs w:val="11"/>
          <w:color w:val="auto"/>
        </w:rPr>
      </w:pPr>
    </w:p>
    <w:p>
      <w:pPr>
        <w:ind w:left="960" w:right="60" w:hanging="433"/>
        <w:spacing w:after="0" w:line="276" w:lineRule="auto"/>
        <w:tabs>
          <w:tab w:leader="none" w:pos="1176" w:val="left"/>
        </w:tabs>
        <w:numPr>
          <w:ilvl w:val="1"/>
          <w:numId w:val="4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2"/>
          <w:szCs w:val="12"/>
          <w:color w:val="auto"/>
        </w:rPr>
      </w:pPr>
    </w:p>
    <w:p>
      <w:pPr>
        <w:ind w:left="960" w:right="80" w:hanging="437"/>
        <w:spacing w:after="0" w:line="323" w:lineRule="auto"/>
        <w:tabs>
          <w:tab w:leader="none" w:pos="1176" w:val="left"/>
        </w:tabs>
        <w:numPr>
          <w:ilvl w:val="1"/>
          <w:numId w:val="48"/>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1"/>
          <w:szCs w:val="11"/>
          <w:color w:val="auto"/>
        </w:rPr>
      </w:pPr>
    </w:p>
    <w:p>
      <w:pPr>
        <w:ind w:firstLine="213"/>
        <w:spacing w:after="0" w:line="276" w:lineRule="auto"/>
        <w:tabs>
          <w:tab w:leader="none" w:pos="337"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 ost recent evaluation of internal control over financial reporting, to the registrant’s auditors and the audit committee of registrant’s board of directors (or persons performing the equivalent functions):</w:t>
      </w:r>
    </w:p>
    <w:p>
      <w:pPr>
        <w:spacing w:after="0" w:line="78" w:lineRule="exact"/>
        <w:rPr>
          <w:rFonts w:ascii="Arial" w:cs="Arial" w:eastAsia="Arial" w:hAnsi="Arial"/>
          <w:sz w:val="12"/>
          <w:szCs w:val="12"/>
          <w:color w:val="auto"/>
        </w:rPr>
      </w:pPr>
    </w:p>
    <w:p>
      <w:pPr>
        <w:ind w:left="980" w:right="60" w:hanging="438"/>
        <w:spacing w:after="0" w:line="276" w:lineRule="auto"/>
        <w:tabs>
          <w:tab w:leader="none" w:pos="1196" w:val="left"/>
        </w:tabs>
        <w:numPr>
          <w:ilvl w:val="2"/>
          <w:numId w:val="4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2"/>
          <w:szCs w:val="12"/>
          <w:color w:val="auto"/>
        </w:rPr>
      </w:pPr>
    </w:p>
    <w:p>
      <w:pPr>
        <w:ind w:left="1200" w:hanging="658"/>
        <w:spacing w:after="0"/>
        <w:tabs>
          <w:tab w:leader="none" w:pos="1200" w:val="left"/>
        </w:tabs>
        <w:numPr>
          <w:ilvl w:val="2"/>
          <w:numId w:val="4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jc w:val="center"/>
        <w:ind w:left="1100"/>
        <w:spacing w:after="0"/>
        <w:rPr>
          <w:sz w:val="20"/>
          <w:szCs w:val="20"/>
          <w:color w:val="auto"/>
        </w:rPr>
      </w:pPr>
      <w:r>
        <w:rPr>
          <w:rFonts w:ascii="Arial" w:cs="Arial" w:eastAsia="Arial" w:hAnsi="Arial"/>
          <w:sz w:val="12"/>
          <w:szCs w:val="12"/>
          <w:color w:val="auto"/>
        </w:rPr>
        <w:t>Date: February 23, 2011</w:t>
      </w:r>
    </w:p>
    <w:p>
      <w:pPr>
        <w:spacing w:after="0" w:line="294"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Anthony J. Park &amp;nb 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20955</wp:posOffset>
            </wp:positionV>
            <wp:extent cx="211645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16455" cy="5715"/>
                    </a:xfrm>
                    <a:prstGeom prst="rect">
                      <a:avLst/>
                    </a:prstGeom>
                    <a:noFill/>
                  </pic:spPr>
                </pic:pic>
              </a:graphicData>
            </a:graphic>
          </wp:anchor>
        </w:drawing>
      </w:r>
    </w:p>
    <w:p>
      <w:pPr>
        <w:spacing w:after="0" w:line="31" w:lineRule="exact"/>
        <w:rPr>
          <w:sz w:val="20"/>
          <w:szCs w:val="20"/>
          <w:color w:val="auto"/>
        </w:rPr>
      </w:pPr>
    </w:p>
    <w:p>
      <w:pPr>
        <w:ind w:left="720"/>
        <w:spacing w:after="0"/>
        <w:rPr>
          <w:sz w:val="20"/>
          <w:szCs w:val="20"/>
          <w:color w:val="auto"/>
        </w:rPr>
      </w:pPr>
      <w:r>
        <w:rPr>
          <w:rFonts w:ascii="Arial" w:cs="Arial" w:eastAsia="Arial" w:hAnsi="Arial"/>
          <w:sz w:val="12"/>
          <w:szCs w:val="12"/>
          <w:color w:val="auto"/>
        </w:rPr>
        <w:t>Anthony J. Park</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0620"/>
          </w:cols>
          <w:pgMar w:left="1080" w:top="415" w:right="1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color w:val="auto"/>
        </w:rPr>
        <w:t>CERTIFICATION OF PERIODIC FINANCIAL REPORTS PURSUANT TO 18 U.S.C. §1350</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undersigned hereby certifies that he is the duly appoint ed and acting Chief Executive Officer of Fidelity National Financial, Inc., a Delaware corporation (the “Company”), and hereby further certifies as follows.</w:t>
      </w:r>
    </w:p>
    <w:p>
      <w:pPr>
        <w:spacing w:after="0" w:line="270" w:lineRule="exact"/>
        <w:rPr>
          <w:sz w:val="20"/>
          <w:szCs w:val="20"/>
          <w:color w:val="auto"/>
        </w:rPr>
      </w:pPr>
    </w:p>
    <w:p>
      <w:pPr>
        <w:ind w:left="640" w:hanging="629"/>
        <w:spacing w:after="0"/>
        <w:tabs>
          <w:tab w:leader="none" w:pos="6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The periodic report containing financial statements to which this certificate is an exhibit fully complies with the requirements of Section 13(a) or 15(d) of the Securities Exchange Act of 1934.</w:t>
      </w:r>
    </w:p>
    <w:p>
      <w:pPr>
        <w:spacing w:after="0" w:line="233" w:lineRule="exact"/>
        <w:rPr>
          <w:rFonts w:ascii="Arial" w:cs="Arial" w:eastAsia="Arial" w:hAnsi="Arial"/>
          <w:sz w:val="11"/>
          <w:szCs w:val="11"/>
          <w:color w:val="auto"/>
        </w:rPr>
      </w:pPr>
    </w:p>
    <w:p>
      <w:pPr>
        <w:ind w:left="640" w:hanging="629"/>
        <w:spacing w:after="0"/>
        <w:tabs>
          <w:tab w:leader="none" w:pos="6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The information contained in the periodic report to which this certificate is an exhibit fairly presents, in all material respects, the financial condition and results of operations of the Company.</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witness whereof, the undersigned has executed and delivered this certificate as of the date set forth opposite his signature below.</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23, 2011</w:t>
      </w:r>
    </w:p>
    <w:p>
      <w:pPr>
        <w:spacing w:after="0" w:line="294"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180" w:type="dxa"/>
            <w:vAlign w:val="bottom"/>
          </w:tcPr>
          <w:p>
            <w:pPr>
              <w:spacing w:after="0"/>
              <w:rPr>
                <w:sz w:val="20"/>
                <w:szCs w:val="20"/>
                <w:color w:val="auto"/>
              </w:rPr>
            </w:pPr>
            <w:r>
              <w:rPr>
                <w:rFonts w:ascii="Arial" w:cs="Arial" w:eastAsia="Arial" w:hAnsi="Arial"/>
                <w:sz w:val="12"/>
                <w:szCs w:val="12"/>
                <w:color w:val="auto"/>
                <w:w w:val="91"/>
              </w:rPr>
              <w:t>By:</w:t>
            </w:r>
          </w:p>
        </w:tc>
        <w:tc>
          <w:tcPr>
            <w:tcW w:w="41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/s/ George P. Scanlon</w:t>
            </w:r>
          </w:p>
        </w:tc>
      </w:tr>
      <w:tr>
        <w:trPr>
          <w:trHeight w:val="160"/>
        </w:trPr>
        <w:tc>
          <w:tcPr>
            <w:tcW w:w="180" w:type="dxa"/>
            <w:vAlign w:val="bottom"/>
          </w:tcPr>
          <w:p>
            <w:pPr>
              <w:spacing w:after="0"/>
              <w:rPr>
                <w:sz w:val="13"/>
                <w:szCs w:val="13"/>
                <w:color w:val="auto"/>
              </w:rPr>
            </w:pPr>
          </w:p>
        </w:tc>
        <w:tc>
          <w:tcPr>
            <w:tcW w:w="4140" w:type="dxa"/>
            <w:vAlign w:val="bottom"/>
          </w:tcPr>
          <w:p>
            <w:pPr>
              <w:ind w:left="240"/>
              <w:spacing w:after="0"/>
              <w:rPr>
                <w:sz w:val="20"/>
                <w:szCs w:val="20"/>
                <w:color w:val="auto"/>
              </w:rPr>
            </w:pPr>
            <w:r>
              <w:rPr>
                <w:rFonts w:ascii="Arial" w:cs="Arial" w:eastAsia="Arial" w:hAnsi="Arial"/>
                <w:sz w:val="12"/>
                <w:szCs w:val="12"/>
                <w:color w:val="auto"/>
              </w:rPr>
              <w:t>George P. Scanlon</w:t>
            </w:r>
          </w:p>
        </w:tc>
      </w:tr>
      <w:tr>
        <w:trPr>
          <w:trHeight w:val="180"/>
        </w:trPr>
        <w:tc>
          <w:tcPr>
            <w:tcW w:w="180" w:type="dxa"/>
            <w:vAlign w:val="bottom"/>
          </w:tcPr>
          <w:p>
            <w:pPr>
              <w:spacing w:after="0"/>
              <w:rPr>
                <w:sz w:val="15"/>
                <w:szCs w:val="15"/>
                <w:color w:val="auto"/>
              </w:rPr>
            </w:pPr>
          </w:p>
        </w:tc>
        <w:tc>
          <w:tcPr>
            <w:tcW w:w="4140" w:type="dxa"/>
            <w:vAlign w:val="bottom"/>
          </w:tcPr>
          <w:p>
            <w:pPr>
              <w:ind w:left="240"/>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0400"/>
          </w:cols>
          <w:pgMar w:left="1300" w:top="415" w:right="1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color w:val="auto"/>
        </w:rPr>
        <w:t>CERTIFICATION OF PERIODIC FINANCIAL REPORTS PURSUANT TO 18 U.S.C. §1350</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undersigned hereby certifies that he is the duly appointed and acting Chief Financial Officer of Fidelity National Financial, Inc., a Delaware corporation (the “Company”), and hereby further certifies as follows.</w:t>
      </w:r>
    </w:p>
    <w:p>
      <w:pPr>
        <w:spacing w:after="0" w:line="126" w:lineRule="exact"/>
        <w:rPr>
          <w:sz w:val="20"/>
          <w:szCs w:val="20"/>
          <w:color w:val="auto"/>
        </w:rPr>
      </w:pPr>
    </w:p>
    <w:p>
      <w:pPr>
        <w:ind w:left="640" w:hanging="629"/>
        <w:spacing w:after="0"/>
        <w:tabs>
          <w:tab w:leader="none" w:pos="64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The periodic report containing financial statements to which this certificate is an exhibit fully complies with the requirements of Section 13(a) or 15(d) of the Securities Exchange Act of 1934.</w:t>
      </w:r>
    </w:p>
    <w:p>
      <w:pPr>
        <w:spacing w:after="0" w:line="233" w:lineRule="exact"/>
        <w:rPr>
          <w:rFonts w:ascii="Arial" w:cs="Arial" w:eastAsia="Arial" w:hAnsi="Arial"/>
          <w:sz w:val="11"/>
          <w:szCs w:val="11"/>
          <w:color w:val="auto"/>
        </w:rPr>
      </w:pPr>
    </w:p>
    <w:p>
      <w:pPr>
        <w:ind w:right="640" w:firstLine="11"/>
        <w:spacing w:after="0" w:line="516" w:lineRule="auto"/>
        <w:tabs>
          <w:tab w:leader="none" w:pos="649"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Date: February 23, 2011</w:t>
      </w:r>
    </w:p>
    <w:p>
      <w:pPr>
        <w:spacing w:after="0" w:line="294"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180" w:type="dxa"/>
            <w:vAlign w:val="bottom"/>
          </w:tcPr>
          <w:p>
            <w:pPr>
              <w:spacing w:after="0"/>
              <w:rPr>
                <w:sz w:val="20"/>
                <w:szCs w:val="20"/>
                <w:color w:val="auto"/>
              </w:rPr>
            </w:pPr>
            <w:r>
              <w:rPr>
                <w:rFonts w:ascii="Arial" w:cs="Arial" w:eastAsia="Arial" w:hAnsi="Arial"/>
                <w:sz w:val="12"/>
                <w:szCs w:val="12"/>
                <w:color w:val="auto"/>
                <w:w w:val="91"/>
              </w:rPr>
              <w:t>By:</w:t>
            </w:r>
          </w:p>
        </w:tc>
        <w:tc>
          <w:tcPr>
            <w:tcW w:w="41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/s/ Anthony J. Park</w:t>
            </w:r>
          </w:p>
        </w:tc>
      </w:tr>
      <w:tr>
        <w:trPr>
          <w:trHeight w:val="160"/>
        </w:trPr>
        <w:tc>
          <w:tcPr>
            <w:tcW w:w="180" w:type="dxa"/>
            <w:vAlign w:val="bottom"/>
          </w:tcPr>
          <w:p>
            <w:pPr>
              <w:spacing w:after="0"/>
              <w:rPr>
                <w:sz w:val="13"/>
                <w:szCs w:val="13"/>
                <w:color w:val="auto"/>
              </w:rPr>
            </w:pPr>
          </w:p>
        </w:tc>
        <w:tc>
          <w:tcPr>
            <w:tcW w:w="4140" w:type="dxa"/>
            <w:vAlign w:val="bottom"/>
          </w:tcPr>
          <w:p>
            <w:pPr>
              <w:ind w:left="220"/>
              <w:spacing w:after="0"/>
              <w:rPr>
                <w:sz w:val="20"/>
                <w:szCs w:val="20"/>
                <w:color w:val="auto"/>
              </w:rPr>
            </w:pPr>
            <w:r>
              <w:rPr>
                <w:rFonts w:ascii="Arial" w:cs="Arial" w:eastAsia="Arial" w:hAnsi="Arial"/>
                <w:sz w:val="12"/>
                <w:szCs w:val="12"/>
                <w:color w:val="auto"/>
              </w:rPr>
              <w:t>Anthony J. Park</w:t>
            </w:r>
          </w:p>
        </w:tc>
      </w:tr>
      <w:tr>
        <w:trPr>
          <w:trHeight w:val="180"/>
        </w:trPr>
        <w:tc>
          <w:tcPr>
            <w:tcW w:w="180" w:type="dxa"/>
            <w:vAlign w:val="bottom"/>
          </w:tcPr>
          <w:p>
            <w:pPr>
              <w:spacing w:after="0"/>
              <w:rPr>
                <w:sz w:val="15"/>
                <w:szCs w:val="15"/>
                <w:color w:val="auto"/>
              </w:rPr>
            </w:pPr>
          </w:p>
        </w:tc>
        <w:tc>
          <w:tcPr>
            <w:tcW w:w="4140" w:type="dxa"/>
            <w:vAlign w:val="bottom"/>
          </w:tcPr>
          <w:p>
            <w:pPr>
              <w:ind w:left="240"/>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0400"/>
          </w:cols>
          <w:pgMar w:left="1300" w:top="415" w:right="199" w:bottom="1440" w:gutter="0" w:footer="0" w:header="0"/>
        </w:sectPr>
      </w:pPr>
    </w:p>
    <w:bookmarkStart w:id="109" w:name="page110"/>
    <w:bookmarkEnd w:id="10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R"/>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lvl w:ilvl="1">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lvl w:ilvl="1">
      <w:lvlJc w:val="left"/>
      <w:lvlText w:val="(%2)"/>
      <w:numFmt w:val="decimal"/>
      <w:start w:val="2"/>
    </w:lvl>
  </w:abstractNum>
  <w:abstractNum w:abstractNumId="20">
    <w:nsid w:val="440BADFC"/>
    <w:multiLevelType w:val="hybridMultilevel"/>
    <w:lvl w:ilvl="0">
      <w:lvlJc w:val="left"/>
      <w:lvlText w:val="(%1)"/>
      <w:numFmt w:val="decimal"/>
      <w:start w:val="7"/>
    </w:lvl>
    <w:lvl w:ilvl="1">
      <w:lvlJc w:val="left"/>
      <w:lvlText w:val="&lt;"/>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lvl w:ilvl="1">
      <w:lvlJc w:val="left"/>
      <w:lvlText w:val="•"/>
      <w:numFmt w:val="bullet"/>
      <w:start w:val="1"/>
    </w:lvl>
  </w:abstractNum>
  <w:abstractNum w:abstractNumId="24">
    <w:nsid w:val="7724C67E"/>
    <w:multiLevelType w:val="hybridMultilevel"/>
    <w:lvl w:ilvl="0">
      <w:lvlJc w:val="left"/>
      <w:lvlText w:val="•"/>
      <w:numFmt w:val="bullet"/>
      <w:start w:val="1"/>
    </w:lvl>
    <w:lvl w:ilvl="1">
      <w:lvlJc w:val="left"/>
      <w:lvlText w:val="•"/>
      <w:numFmt w:val="bullet"/>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Roman"/>
      <w:start w:val="3"/>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lowerRoman"/>
      <w:start w:val="2"/>
    </w:lvl>
  </w:abstractNum>
  <w:abstractNum w:abstractNumId="32">
    <w:nsid w:val="3855585C"/>
    <w:multiLevelType w:val="hybridMultilevel"/>
    <w:lvl w:ilvl="0">
      <w:lvlJc w:val="left"/>
      <w:lvlText w:val="&lt;"/>
      <w:numFmt w:val="bullet"/>
      <w:start w:val="1"/>
    </w:lvl>
  </w:abstractNum>
  <w:abstractNum w:abstractNumId="33">
    <w:nsid w:val="70A64E2A"/>
    <w:multiLevelType w:val="hybridMultilevel"/>
    <w:lvl w:ilvl="0">
      <w:lvlJc w:val="left"/>
      <w:lvlText w:val="&lt;"/>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upperLetter"/>
      <w:start w:val="3"/>
    </w:lvl>
  </w:abstractNum>
  <w:abstractNum w:abstractNumId="36">
    <w:nsid w:val="1D4ED43B"/>
    <w:multiLevelType w:val="hybridMultilevel"/>
    <w:lvl w:ilvl="0">
      <w:lvlJc w:val="left"/>
      <w:lvlText w:val="%1."/>
      <w:numFmt w:val="upperLetter"/>
      <w:start w:val="4"/>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lvl w:ilvl="1">
      <w:lvlJc w:val="left"/>
      <w:lvlText w:val="(%2)"/>
      <w:numFmt w:val="lowerRoman"/>
      <w:start w:val="1"/>
    </w:lvl>
  </w:abstractNum>
  <w:abstractNum w:abstractNumId="41">
    <w:nsid w:val="4B588F54"/>
    <w:multiLevelType w:val="hybridMultilevel"/>
    <w:lvl w:ilvl="0">
      <w:lvlJc w:val="left"/>
      <w:lvlText w:val="(%1)"/>
      <w:numFmt w:val="lowerRoman"/>
      <w:start w:val="3"/>
    </w:lvl>
  </w:abstractNum>
  <w:abstractNum w:abstractNumId="42">
    <w:nsid w:val="542289EC"/>
    <w:multiLevelType w:val="hybridMultilevel"/>
    <w:lvl w:ilvl="0">
      <w:lvlJc w:val="left"/>
      <w:lvlText w:val="%1"/>
      <w:numFmt w:val="lowerLetter"/>
      <w:start w:val="1"/>
    </w:lvl>
    <w:lvl w:ilvl="1">
      <w:lvlJc w:val="left"/>
      <w:lvlText w:val="(%2)"/>
      <w:numFmt w:val="lowerRoman"/>
      <w:start w:val="5"/>
    </w:lvl>
  </w:abstractNum>
  <w:abstractNum w:abstractNumId="43">
    <w:nsid w:val="6DE91B18"/>
    <w:multiLevelType w:val="hybridMultilevel"/>
    <w:lvl w:ilvl="0">
      <w:lvlJc w:val="left"/>
      <w:lvlText w:val="(%1)"/>
      <w:numFmt w:val="lowerLetter"/>
      <w:start w:val="2"/>
    </w:lvl>
    <w:lvl w:ilvl="1">
      <w:lvlJc w:val="left"/>
      <w:lvlText w:val="%2"/>
      <w:numFmt w:val="lowerRoman"/>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2019-12-11T01:32:44Z</dcterms:created>
  <dcterms:modified xsi:type="dcterms:W3CDTF">2019-12-11T01:32:44Z</dcterms:modified>
</cp:coreProperties>
</file>