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300" w:hanging="745"/>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1300" w:hanging="745"/>
        <w:spacing w:after="0"/>
        <w:tabs>
          <w:tab w:leader="none" w:pos="130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10" w:lineRule="exact"/>
        <w:rPr>
          <w:rFonts w:ascii="MS PGothic" w:cs="MS PGothic" w:eastAsia="MS PGothic" w:hAnsi="MS PGothic"/>
          <w:sz w:val="17"/>
          <w:szCs w:val="17"/>
          <w:color w:val="auto"/>
        </w:rPr>
      </w:pPr>
    </w:p>
    <w:p>
      <w:pPr>
        <w:ind w:left="46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No. 1-32630</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Fidelity National Financial, Inc.</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4"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20" w:type="dxa"/>
            <w:vAlign w:val="bottom"/>
            <w:gridSpan w:val="4"/>
          </w:tcPr>
          <w:p>
            <w:pPr>
              <w:jc w:val="center"/>
              <w:ind w:right="1840"/>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gridSpan w:val="2"/>
          </w:tcPr>
          <w:p>
            <w:pPr>
              <w:jc w:val="right"/>
              <w:ind w:right="1156"/>
              <w:spacing w:after="0"/>
              <w:rPr>
                <w:sz w:val="20"/>
                <w:szCs w:val="20"/>
                <w:color w:val="auto"/>
              </w:rPr>
            </w:pPr>
            <w:r>
              <w:rPr>
                <w:rFonts w:ascii="Arial" w:cs="Arial" w:eastAsia="Arial" w:hAnsi="Arial"/>
                <w:sz w:val="18"/>
                <w:szCs w:val="18"/>
                <w:b w:val="1"/>
                <w:bCs w:val="1"/>
                <w:color w:val="auto"/>
              </w:rPr>
              <w:t>16-1725106</w:t>
            </w:r>
          </w:p>
        </w:tc>
        <w:tc>
          <w:tcPr>
            <w:tcW w:w="800" w:type="dxa"/>
            <w:vAlign w:val="bottom"/>
          </w:tcPr>
          <w:p>
            <w:pPr>
              <w:spacing w:after="0"/>
              <w:rPr>
                <w:sz w:val="20"/>
                <w:szCs w:val="20"/>
                <w:color w:val="auto"/>
              </w:rPr>
            </w:pPr>
          </w:p>
        </w:tc>
      </w:tr>
      <w:tr>
        <w:trPr>
          <w:trHeight w:val="218"/>
        </w:trPr>
        <w:tc>
          <w:tcPr>
            <w:tcW w:w="1240" w:type="dxa"/>
            <w:vAlign w:val="bottom"/>
          </w:tcPr>
          <w:p>
            <w:pPr>
              <w:spacing w:after="0"/>
              <w:rPr>
                <w:sz w:val="18"/>
                <w:szCs w:val="18"/>
                <w:color w:val="auto"/>
              </w:rPr>
            </w:pPr>
          </w:p>
        </w:tc>
        <w:tc>
          <w:tcPr>
            <w:tcW w:w="5020" w:type="dxa"/>
            <w:vAlign w:val="bottom"/>
            <w:gridSpan w:val="5"/>
          </w:tcPr>
          <w:p>
            <w:pPr>
              <w:jc w:val="center"/>
              <w:ind w:right="56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920" w:type="dxa"/>
            <w:vAlign w:val="bottom"/>
            <w:gridSpan w:val="2"/>
          </w:tcPr>
          <w:p>
            <w:pPr>
              <w:jc w:val="center"/>
              <w:ind w:right="356"/>
              <w:spacing w:after="0"/>
              <w:rPr>
                <w:sz w:val="20"/>
                <w:szCs w:val="20"/>
                <w:color w:val="auto"/>
              </w:rPr>
            </w:pPr>
            <w:r>
              <w:rPr>
                <w:rFonts w:ascii="Arial" w:cs="Arial" w:eastAsia="Arial" w:hAnsi="Arial"/>
                <w:sz w:val="14"/>
                <w:szCs w:val="14"/>
                <w:i w:val="1"/>
                <w:iCs w:val="1"/>
                <w:color w:val="auto"/>
                <w:w w:val="94"/>
              </w:rPr>
              <w:t>(I.R.S. Employer Identification No.)</w:t>
            </w:r>
          </w:p>
        </w:tc>
        <w:tc>
          <w:tcPr>
            <w:tcW w:w="800" w:type="dxa"/>
            <w:vAlign w:val="bottom"/>
          </w:tcPr>
          <w:p>
            <w:pPr>
              <w:spacing w:after="0"/>
              <w:rPr>
                <w:sz w:val="18"/>
                <w:szCs w:val="18"/>
                <w:color w:val="auto"/>
              </w:rPr>
            </w:pPr>
          </w:p>
        </w:tc>
      </w:tr>
      <w:tr>
        <w:trPr>
          <w:trHeight w:val="593"/>
        </w:trPr>
        <w:tc>
          <w:tcPr>
            <w:tcW w:w="1240" w:type="dxa"/>
            <w:vAlign w:val="bottom"/>
          </w:tcPr>
          <w:p>
            <w:pPr>
              <w:spacing w:after="0"/>
              <w:rPr>
                <w:sz w:val="24"/>
                <w:szCs w:val="24"/>
                <w:color w:val="auto"/>
              </w:rPr>
            </w:pPr>
          </w:p>
        </w:tc>
        <w:tc>
          <w:tcPr>
            <w:tcW w:w="2260" w:type="dxa"/>
            <w:vAlign w:val="bottom"/>
            <w:gridSpan w:val="2"/>
          </w:tcPr>
          <w:p>
            <w:pPr>
              <w:ind w:left="500"/>
              <w:spacing w:after="0"/>
              <w:rPr>
                <w:sz w:val="20"/>
                <w:szCs w:val="20"/>
                <w:color w:val="auto"/>
              </w:rPr>
            </w:pPr>
            <w:r>
              <w:rPr>
                <w:rFonts w:ascii="Arial" w:cs="Arial" w:eastAsia="Arial" w:hAnsi="Arial"/>
                <w:sz w:val="18"/>
                <w:szCs w:val="18"/>
                <w:b w:val="1"/>
                <w:bCs w:val="1"/>
                <w:color w:val="auto"/>
                <w:w w:val="91"/>
              </w:rPr>
              <w:t>601 Riverside Avenue,</w:t>
            </w:r>
          </w:p>
        </w:tc>
        <w:tc>
          <w:tcPr>
            <w:tcW w:w="2760" w:type="dxa"/>
            <w:vAlign w:val="bottom"/>
            <w:gridSpan w:val="3"/>
          </w:tcPr>
          <w:p>
            <w:pPr>
              <w:ind w:left="40"/>
              <w:spacing w:after="0"/>
              <w:rPr>
                <w:sz w:val="20"/>
                <w:szCs w:val="20"/>
                <w:color w:val="auto"/>
              </w:rPr>
            </w:pPr>
            <w:r>
              <w:rPr>
                <w:rFonts w:ascii="Arial" w:cs="Arial" w:eastAsia="Arial" w:hAnsi="Arial"/>
                <w:sz w:val="18"/>
                <w:szCs w:val="18"/>
                <w:b w:val="1"/>
                <w:bCs w:val="1"/>
                <w:color w:val="auto"/>
              </w:rPr>
              <w:t>Jacksonville, Florida</w:t>
            </w:r>
          </w:p>
        </w:tc>
        <w:tc>
          <w:tcPr>
            <w:tcW w:w="2920" w:type="dxa"/>
            <w:vAlign w:val="bottom"/>
            <w:gridSpan w:val="2"/>
          </w:tcPr>
          <w:p>
            <w:pPr>
              <w:jc w:val="right"/>
              <w:ind w:right="1376"/>
              <w:spacing w:after="0"/>
              <w:rPr>
                <w:sz w:val="20"/>
                <w:szCs w:val="20"/>
                <w:color w:val="auto"/>
              </w:rPr>
            </w:pPr>
            <w:r>
              <w:rPr>
                <w:rFonts w:ascii="Arial" w:cs="Arial" w:eastAsia="Arial" w:hAnsi="Arial"/>
                <w:sz w:val="18"/>
                <w:szCs w:val="18"/>
                <w:b w:val="1"/>
                <w:bCs w:val="1"/>
                <w:color w:val="auto"/>
              </w:rPr>
              <w:t>32204</w:t>
            </w:r>
          </w:p>
        </w:tc>
        <w:tc>
          <w:tcPr>
            <w:tcW w:w="800" w:type="dxa"/>
            <w:vAlign w:val="bottom"/>
          </w:tcPr>
          <w:p>
            <w:pPr>
              <w:spacing w:after="0"/>
              <w:rPr>
                <w:sz w:val="24"/>
                <w:szCs w:val="24"/>
                <w:color w:val="auto"/>
              </w:rPr>
            </w:pPr>
          </w:p>
        </w:tc>
      </w:tr>
      <w:tr>
        <w:trPr>
          <w:trHeight w:val="285"/>
        </w:trPr>
        <w:tc>
          <w:tcPr>
            <w:tcW w:w="1240" w:type="dxa"/>
            <w:vAlign w:val="bottom"/>
          </w:tcPr>
          <w:p>
            <w:pPr>
              <w:spacing w:after="0"/>
              <w:rPr>
                <w:sz w:val="24"/>
                <w:szCs w:val="24"/>
                <w:color w:val="auto"/>
              </w:rPr>
            </w:pPr>
          </w:p>
        </w:tc>
        <w:tc>
          <w:tcPr>
            <w:tcW w:w="5020" w:type="dxa"/>
            <w:vAlign w:val="bottom"/>
            <w:gridSpan w:val="5"/>
          </w:tcPr>
          <w:p>
            <w:pPr>
              <w:jc w:val="center"/>
              <w:ind w:right="54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540" w:type="dxa"/>
            <w:vAlign w:val="bottom"/>
          </w:tcPr>
          <w:p>
            <w:pPr>
              <w:spacing w:after="0"/>
              <w:rPr>
                <w:sz w:val="24"/>
                <w:szCs w:val="24"/>
                <w:color w:val="auto"/>
              </w:rPr>
            </w:pPr>
          </w:p>
        </w:tc>
        <w:tc>
          <w:tcPr>
            <w:tcW w:w="2380" w:type="dxa"/>
            <w:vAlign w:val="bottom"/>
          </w:tcPr>
          <w:p>
            <w:pPr>
              <w:jc w:val="center"/>
              <w:ind w:right="896"/>
              <w:spacing w:after="0"/>
              <w:rPr>
                <w:sz w:val="20"/>
                <w:szCs w:val="20"/>
                <w:color w:val="auto"/>
              </w:rPr>
            </w:pPr>
            <w:r>
              <w:rPr>
                <w:rFonts w:ascii="Arial" w:cs="Arial" w:eastAsia="Arial" w:hAnsi="Arial"/>
                <w:sz w:val="14"/>
                <w:szCs w:val="14"/>
                <w:i w:val="1"/>
                <w:iCs w:val="1"/>
                <w:color w:val="auto"/>
                <w:w w:val="91"/>
              </w:rPr>
              <w:t>(zip code)</w:t>
            </w:r>
          </w:p>
        </w:tc>
        <w:tc>
          <w:tcPr>
            <w:tcW w:w="800" w:type="dxa"/>
            <w:vAlign w:val="bottom"/>
          </w:tcPr>
          <w:p>
            <w:pPr>
              <w:spacing w:after="0"/>
              <w:rPr>
                <w:sz w:val="24"/>
                <w:szCs w:val="24"/>
                <w:color w:val="auto"/>
              </w:rPr>
            </w:pPr>
          </w:p>
        </w:tc>
      </w:tr>
      <w:tr>
        <w:trPr>
          <w:trHeight w:val="242"/>
        </w:trPr>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7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(904) 854-8100</w:t>
            </w:r>
          </w:p>
        </w:tc>
        <w:tc>
          <w:tcPr>
            <w:tcW w:w="5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34"/>
        </w:trPr>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80" w:type="dxa"/>
            <w:vAlign w:val="bottom"/>
            <w:gridSpan w:val="5"/>
          </w:tcPr>
          <w:p>
            <w:pPr>
              <w:jc w:val="right"/>
              <w:ind w:right="1796"/>
              <w:spacing w:after="0"/>
              <w:rPr>
                <w:sz w:val="20"/>
                <w:szCs w:val="20"/>
                <w:color w:val="auto"/>
              </w:rPr>
            </w:pPr>
            <w:r>
              <w:rPr>
                <w:rFonts w:ascii="Arial" w:cs="Arial" w:eastAsia="Arial" w:hAnsi="Arial"/>
                <w:sz w:val="11"/>
                <w:szCs w:val="11"/>
                <w:color w:val="auto"/>
                <w:w w:val="92"/>
              </w:rPr>
              <w:t>___________________________________________________________________</w:t>
            </w:r>
          </w:p>
        </w:tc>
        <w:tc>
          <w:tcPr>
            <w:tcW w:w="800" w:type="dxa"/>
            <w:vAlign w:val="bottom"/>
          </w:tcPr>
          <w:p>
            <w:pPr>
              <w:spacing w:after="0"/>
              <w:rPr>
                <w:sz w:val="11"/>
                <w:szCs w:val="11"/>
                <w:color w:val="auto"/>
              </w:rPr>
            </w:pPr>
          </w:p>
        </w:tc>
      </w:tr>
      <w:tr>
        <w:trPr>
          <w:trHeight w:val="212"/>
        </w:trPr>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80" w:type="dxa"/>
            <w:vAlign w:val="bottom"/>
            <w:gridSpan w:val="5"/>
          </w:tcPr>
          <w:p>
            <w:pPr>
              <w:jc w:val="center"/>
              <w:ind w:right="1616"/>
              <w:spacing w:after="0"/>
              <w:rPr>
                <w:sz w:val="20"/>
                <w:szCs w:val="20"/>
                <w:color w:val="auto"/>
              </w:rPr>
            </w:pPr>
            <w:r>
              <w:rPr>
                <w:rFonts w:ascii="Arial" w:cs="Arial" w:eastAsia="Arial" w:hAnsi="Arial"/>
                <w:sz w:val="18"/>
                <w:szCs w:val="18"/>
                <w:color w:val="auto"/>
                <w:w w:val="90"/>
              </w:rPr>
              <w:t>(Registrant’s telephone number, including area code)</w:t>
            </w:r>
          </w:p>
        </w:tc>
        <w:tc>
          <w:tcPr>
            <w:tcW w:w="80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640" w:type="dxa"/>
            <w:vAlign w:val="bottom"/>
            <w:gridSpan w:val="6"/>
          </w:tcPr>
          <w:p>
            <w:pPr>
              <w:jc w:val="center"/>
              <w:ind w:right="636"/>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800" w:type="dxa"/>
            <w:vAlign w:val="bottom"/>
          </w:tcPr>
          <w:p>
            <w:pPr>
              <w:spacing w:after="0"/>
              <w:rPr>
                <w:sz w:val="20"/>
                <w:szCs w:val="20"/>
                <w:color w:val="auto"/>
              </w:rPr>
            </w:pPr>
          </w:p>
        </w:tc>
      </w:tr>
      <w:tr>
        <w:trPr>
          <w:trHeight w:val="324"/>
        </w:trPr>
        <w:tc>
          <w:tcPr>
            <w:tcW w:w="1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640" w:type="dxa"/>
            <w:vAlign w:val="bottom"/>
          </w:tcPr>
          <w:p>
            <w:pPr>
              <w:spacing w:after="0"/>
              <w:rPr>
                <w:sz w:val="24"/>
                <w:szCs w:val="24"/>
                <w:color w:val="auto"/>
              </w:rPr>
            </w:pPr>
          </w:p>
        </w:tc>
        <w:tc>
          <w:tcPr>
            <w:tcW w:w="3720" w:type="dxa"/>
            <w:vAlign w:val="bottom"/>
            <w:gridSpan w:val="3"/>
          </w:tcPr>
          <w:p>
            <w:pPr>
              <w:jc w:val="center"/>
              <w:ind w:left="457"/>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gridSpan w:val="2"/>
            <w:shd w:val="clear" w:color="auto" w:fill="000000"/>
          </w:tcPr>
          <w:p>
            <w:pPr>
              <w:spacing w:after="0" w:line="20" w:lineRule="exact"/>
              <w:rPr>
                <w:sz w:val="1"/>
                <w:szCs w:val="1"/>
                <w:color w:val="auto"/>
              </w:rPr>
            </w:pPr>
          </w:p>
        </w:tc>
      </w:tr>
      <w:tr>
        <w:trPr>
          <w:trHeight w:val="291"/>
        </w:trPr>
        <w:tc>
          <w:tcPr>
            <w:tcW w:w="350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FNF Common Stock, $0.0001 par value</w:t>
            </w:r>
          </w:p>
        </w:tc>
        <w:tc>
          <w:tcPr>
            <w:tcW w:w="820" w:type="dxa"/>
            <w:vAlign w:val="bottom"/>
          </w:tcPr>
          <w:p>
            <w:pPr>
              <w:spacing w:after="0"/>
              <w:rPr>
                <w:sz w:val="24"/>
                <w:szCs w:val="24"/>
                <w:color w:val="auto"/>
              </w:rPr>
            </w:pPr>
          </w:p>
        </w:tc>
        <w:tc>
          <w:tcPr>
            <w:tcW w:w="1940" w:type="dxa"/>
            <w:vAlign w:val="bottom"/>
            <w:gridSpan w:val="2"/>
          </w:tcPr>
          <w:p>
            <w:pPr>
              <w:jc w:val="center"/>
              <w:ind w:right="640"/>
              <w:spacing w:after="0"/>
              <w:rPr>
                <w:sz w:val="20"/>
                <w:szCs w:val="20"/>
                <w:color w:val="auto"/>
              </w:rPr>
            </w:pPr>
            <w:r>
              <w:rPr>
                <w:rFonts w:ascii="Arial" w:cs="Arial" w:eastAsia="Arial" w:hAnsi="Arial"/>
                <w:sz w:val="18"/>
                <w:szCs w:val="18"/>
                <w:color w:val="auto"/>
                <w:w w:val="97"/>
              </w:rPr>
              <w:t>FNF</w:t>
            </w:r>
          </w:p>
        </w:tc>
        <w:tc>
          <w:tcPr>
            <w:tcW w:w="540" w:type="dxa"/>
            <w:vAlign w:val="bottom"/>
          </w:tcPr>
          <w:p>
            <w:pPr>
              <w:spacing w:after="0"/>
              <w:rPr>
                <w:sz w:val="24"/>
                <w:szCs w:val="24"/>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0"/>
        </w:trPr>
        <w:tc>
          <w:tcPr>
            <w:tcW w:w="350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5.50% Notes due September 2022</w:t>
            </w:r>
          </w:p>
        </w:tc>
        <w:tc>
          <w:tcPr>
            <w:tcW w:w="820" w:type="dxa"/>
            <w:vAlign w:val="bottom"/>
          </w:tcPr>
          <w:p>
            <w:pPr>
              <w:spacing w:after="0"/>
              <w:rPr>
                <w:sz w:val="23"/>
                <w:szCs w:val="23"/>
                <w:color w:val="auto"/>
              </w:rPr>
            </w:pPr>
          </w:p>
        </w:tc>
        <w:tc>
          <w:tcPr>
            <w:tcW w:w="19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FNF22</w:t>
            </w:r>
          </w:p>
        </w:tc>
        <w:tc>
          <w:tcPr>
            <w:tcW w:w="540" w:type="dxa"/>
            <w:vAlign w:val="bottom"/>
          </w:tcPr>
          <w:p>
            <w:pPr>
              <w:spacing w:after="0"/>
              <w:rPr>
                <w:sz w:val="23"/>
                <w:szCs w:val="23"/>
                <w:color w:val="auto"/>
              </w:rPr>
            </w:pP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43"/>
        </w:trPr>
        <w:tc>
          <w:tcPr>
            <w:tcW w:w="1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40" w:type="dxa"/>
            <w:vAlign w:val="bottom"/>
            <w:gridSpan w:val="6"/>
          </w:tcPr>
          <w:p>
            <w:pPr>
              <w:jc w:val="center"/>
              <w:ind w:right="636"/>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800" w:type="dxa"/>
            <w:vAlign w:val="bottom"/>
          </w:tcPr>
          <w:p>
            <w:pPr>
              <w:spacing w:after="0"/>
              <w:rPr>
                <w:sz w:val="21"/>
                <w:szCs w:val="21"/>
                <w:color w:val="auto"/>
              </w:rPr>
            </w:pPr>
          </w:p>
        </w:tc>
      </w:tr>
      <w:tr>
        <w:trPr>
          <w:trHeight w:val="385"/>
        </w:trPr>
        <w:tc>
          <w:tcPr>
            <w:tcW w:w="9180" w:type="dxa"/>
            <w:vAlign w:val="bottom"/>
            <w:gridSpan w:val="8"/>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8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84"/>
        </w:trPr>
        <w:tc>
          <w:tcPr>
            <w:tcW w:w="9180" w:type="dxa"/>
            <w:vAlign w:val="bottom"/>
            <w:gridSpan w:val="8"/>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8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33"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21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535" w:right="239" w:bottom="1440" w:gutter="0" w:footer="0" w:header="0"/>
        </w:sectPr>
      </w:pPr>
    </w:p>
    <w:p>
      <w:pPr>
        <w:spacing w:after="0" w:line="160" w:lineRule="exact"/>
        <w:rPr>
          <w:sz w:val="24"/>
          <w:szCs w:val="24"/>
          <w:color w:val="auto"/>
        </w:rPr>
      </w:pPr>
    </w:p>
    <w:p>
      <w:pPr>
        <w:ind w:left="7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620" w:space="720"/>
            <w:col w:w="520" w:space="720"/>
            <w:col w:w="1340" w:space="720"/>
            <w:col w:w="4780"/>
          </w:cols>
          <w:pgMar w:left="240" w:top="535" w:right="239" w:bottom="1440" w:gutter="0" w:footer="0" w:header="0"/>
          <w:type w:val="continuous"/>
        </w:sectPr>
      </w:pPr>
    </w:p>
    <w:p>
      <w:pPr>
        <w:spacing w:after="0" w:line="20" w:lineRule="exact"/>
        <w:rPr>
          <w:sz w:val="24"/>
          <w:szCs w:val="24"/>
          <w:color w:val="auto"/>
        </w:rPr>
      </w:pPr>
    </w:p>
    <w:p>
      <w:pPr>
        <w:ind w:left="8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9" w:lineRule="exact"/>
        <w:rPr>
          <w:sz w:val="24"/>
          <w:szCs w:val="24"/>
          <w:color w:val="auto"/>
        </w:rPr>
      </w:pPr>
    </w:p>
    <w:p>
      <w:pPr>
        <w:sectPr>
          <w:pgSz w:w="11900" w:h="16838" w:orient="portrait"/>
          <w:cols w:equalWidth="0" w:num="6">
            <w:col w:w="2620" w:space="720"/>
            <w:col w:w="160" w:space="600"/>
            <w:col w:w="1960" w:space="560"/>
            <w:col w:w="160" w:space="560"/>
            <w:col w:w="1980" w:space="600"/>
            <w:col w:w="1500"/>
          </w:cols>
          <w:pgMar w:left="240" w:top="535" w:right="239" w:bottom="1440" w:gutter="0" w:footer="0" w:header="0"/>
          <w:type w:val="continuous"/>
        </w:sectPr>
      </w:pPr>
    </w:p>
    <w:p>
      <w:pPr>
        <w:ind w:left="220"/>
        <w:spacing w:after="0" w:line="196" w:lineRule="exact"/>
        <w:tabs>
          <w:tab w:leader="none" w:pos="91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ind w:firstLine="216"/>
        <w:spacing w:after="0" w:line="266" w:lineRule="auto"/>
        <w:rPr>
          <w:sz w:val="20"/>
          <w:szCs w:val="20"/>
          <w:color w:val="auto"/>
        </w:rPr>
      </w:pPr>
      <w:r>
        <w:rPr>
          <w:rFonts w:ascii="Arial" w:cs="Arial" w:eastAsia="Arial" w:hAnsi="Arial"/>
          <w:sz w:val="18"/>
          <w:szCs w:val="18"/>
          <w:color w:val="auto"/>
        </w:rPr>
        <w:t>The aggregate market value of the shares of FNF common stock held by non-affiliates of the registrant as of June 30, 2019 was $10,594,534,815 based on the closing price of $40.30 as reported by The New York Stock Exchange.</w:t>
      </w:r>
    </w:p>
    <w:p>
      <w:pPr>
        <w:ind w:left="220"/>
        <w:spacing w:after="0"/>
        <w:rPr>
          <w:sz w:val="20"/>
          <w:szCs w:val="20"/>
          <w:color w:val="auto"/>
        </w:rPr>
      </w:pPr>
      <w:r>
        <w:rPr>
          <w:rFonts w:ascii="Arial" w:cs="Arial" w:eastAsia="Arial" w:hAnsi="Arial"/>
          <w:sz w:val="18"/>
          <w:szCs w:val="18"/>
          <w:color w:val="auto"/>
        </w:rPr>
        <w:t>As of January 31, 2020 there were 275,607,954 shares of FNF common stock outstanding.</w:t>
      </w:r>
    </w:p>
    <w:p>
      <w:pPr>
        <w:spacing w:after="0" w:line="77" w:lineRule="exact"/>
        <w:rPr>
          <w:sz w:val="24"/>
          <w:szCs w:val="24"/>
          <w:color w:val="auto"/>
        </w:rPr>
      </w:pPr>
    </w:p>
    <w:p>
      <w:pPr>
        <w:ind w:firstLine="216"/>
        <w:spacing w:after="0" w:line="277" w:lineRule="auto"/>
        <w:rPr>
          <w:sz w:val="20"/>
          <w:szCs w:val="20"/>
          <w:color w:val="auto"/>
        </w:rPr>
      </w:pPr>
      <w:r>
        <w:rPr>
          <w:rFonts w:ascii="Arial" w:cs="Arial" w:eastAsia="Arial" w:hAnsi="Arial"/>
          <w:sz w:val="18"/>
          <w:szCs w:val="18"/>
          <w:color w:val="auto"/>
        </w:rPr>
        <w:t>The information in Part III hereof for the fiscal year ended December 31, 2019,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8"/>
          </w:tcPr>
          <w:p>
            <w:pPr>
              <w:jc w:val="center"/>
              <w:ind w:right="2180"/>
              <w:spacing w:after="0"/>
              <w:rPr>
                <w:sz w:val="20"/>
                <w:szCs w:val="20"/>
                <w:color w:val="auto"/>
              </w:rPr>
            </w:pPr>
            <w:r>
              <w:rPr>
                <w:rFonts w:ascii="Arial" w:cs="Arial" w:eastAsia="Arial" w:hAnsi="Arial"/>
                <w:sz w:val="18"/>
                <w:szCs w:val="18"/>
                <w:b w:val="1"/>
                <w:bCs w:val="1"/>
                <w:color w:val="auto"/>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440" w:type="dxa"/>
            <w:vAlign w:val="bottom"/>
            <w:gridSpan w:val="17"/>
          </w:tcPr>
          <w:p>
            <w:pPr>
              <w:ind w:left="3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20" w:type="dxa"/>
            <w:vAlign w:val="bottom"/>
            <w:gridSpan w:val="2"/>
          </w:tcPr>
          <w:p>
            <w:pPr>
              <w:jc w:val="center"/>
              <w:ind w:left="431"/>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4">
              <w:r>
                <w:rPr>
                  <w:rFonts w:ascii="Arial" w:cs="Arial" w:eastAsia="Arial" w:hAnsi="Arial"/>
                  <w:sz w:val="18"/>
                  <w:szCs w:val="18"/>
                  <w:color w:val="0000EE"/>
                  <w:w w:val="80"/>
                </w:rPr>
                <w:t>Item 1A.</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9">
              <w:r>
                <w:rPr>
                  <w:rFonts w:ascii="Arial" w:cs="Arial" w:eastAsia="Arial" w:hAnsi="Arial"/>
                  <w:sz w:val="18"/>
                  <w:szCs w:val="18"/>
                  <w:color w:val="0000EE"/>
                  <w:w w:val="80"/>
                </w:rPr>
                <w:t>Item 1B.</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2.</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9300" w:type="dxa"/>
            <w:vAlign w:val="bottom"/>
            <w:gridSpan w:val="28"/>
          </w:tcPr>
          <w:p>
            <w:pPr>
              <w:ind w:left="320"/>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9300" w:type="dxa"/>
            <w:vAlign w:val="bottom"/>
            <w:gridSpan w:val="28"/>
          </w:tcPr>
          <w:p>
            <w:pPr>
              <w:ind w:left="320"/>
              <w:spacing w:after="0"/>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9300" w:type="dxa"/>
            <w:vAlign w:val="bottom"/>
            <w:gridSpan w:val="28"/>
          </w:tcPr>
          <w:p>
            <w:pPr>
              <w:ind w:left="320"/>
              <w:spacing w:after="0"/>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7.</w:t>
              </w:r>
            </w:hyperlink>
          </w:p>
        </w:tc>
        <w:tc>
          <w:tcPr>
            <w:tcW w:w="9300" w:type="dxa"/>
            <w:vAlign w:val="bottom"/>
            <w:gridSpan w:val="28"/>
          </w:tcPr>
          <w:p>
            <w:pPr>
              <w:ind w:left="320"/>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43">
              <w:r>
                <w:rPr>
                  <w:rFonts w:ascii="Arial" w:cs="Arial" w:eastAsia="Arial" w:hAnsi="Arial"/>
                  <w:sz w:val="18"/>
                  <w:szCs w:val="18"/>
                  <w:color w:val="0000EE"/>
                  <w:w w:val="80"/>
                </w:rPr>
                <w:t>Item 7A.</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 About Market Risk</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Item 8.</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9.</w:t>
              </w:r>
            </w:hyperlink>
          </w:p>
        </w:tc>
        <w:tc>
          <w:tcPr>
            <w:tcW w:w="9300" w:type="dxa"/>
            <w:vAlign w:val="bottom"/>
            <w:gridSpan w:val="28"/>
          </w:tcPr>
          <w:p>
            <w:pPr>
              <w:ind w:left="320"/>
              <w:spacing w:after="0"/>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91">
              <w:r>
                <w:rPr>
                  <w:rFonts w:ascii="Arial" w:cs="Arial" w:eastAsia="Arial" w:hAnsi="Arial"/>
                  <w:sz w:val="18"/>
                  <w:szCs w:val="18"/>
                  <w:color w:val="0000EE"/>
                  <w:w w:val="80"/>
                </w:rPr>
                <w:t>Item 9A.</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1">
              <w:r>
                <w:rPr>
                  <w:rFonts w:ascii="Arial" w:cs="Arial" w:eastAsia="Arial" w:hAnsi="Arial"/>
                  <w:sz w:val="18"/>
                  <w:szCs w:val="18"/>
                  <w:color w:val="0000EE"/>
                </w:rPr>
                <w:t>Controls and Procedures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91">
              <w:r>
                <w:rPr>
                  <w:rFonts w:ascii="Arial" w:cs="Arial" w:eastAsia="Arial" w:hAnsi="Arial"/>
                  <w:sz w:val="18"/>
                  <w:szCs w:val="18"/>
                  <w:color w:val="0000EE"/>
                  <w:w w:val="80"/>
                </w:rPr>
                <w:t>Item 9B.</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86</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2">
              <w:r>
                <w:rPr>
                  <w:rFonts w:ascii="Arial" w:cs="Arial" w:eastAsia="Arial" w:hAnsi="Arial"/>
                  <w:sz w:val="18"/>
                  <w:szCs w:val="18"/>
                  <w:color w:val="0000EE"/>
                  <w:w w:val="82"/>
                </w:rPr>
                <w:t>Item 10.</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2">
              <w:r>
                <w:rPr>
                  <w:rFonts w:ascii="Arial" w:cs="Arial" w:eastAsia="Arial" w:hAnsi="Arial"/>
                  <w:sz w:val="18"/>
                  <w:szCs w:val="18"/>
                  <w:color w:val="0000EE"/>
                </w:rPr>
                <w:t>Directors and Executive Officers of the Registrant</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2">
              <w:r>
                <w:rPr>
                  <w:rFonts w:ascii="Arial" w:cs="Arial" w:eastAsia="Arial" w:hAnsi="Arial"/>
                  <w:sz w:val="18"/>
                  <w:szCs w:val="18"/>
                  <w:color w:val="0000EE"/>
                  <w:w w:val="82"/>
                </w:rPr>
                <w:t>Item 11.</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2">
              <w:r>
                <w:rPr>
                  <w:rFonts w:ascii="Arial" w:cs="Arial" w:eastAsia="Arial" w:hAnsi="Arial"/>
                  <w:sz w:val="18"/>
                  <w:szCs w:val="18"/>
                  <w:color w:val="0000EE"/>
                </w:rPr>
                <w:t>Executive Compensation</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2">
              <w:r>
                <w:rPr>
                  <w:rFonts w:ascii="Arial" w:cs="Arial" w:eastAsia="Arial" w:hAnsi="Arial"/>
                  <w:sz w:val="18"/>
                  <w:szCs w:val="18"/>
                  <w:color w:val="0000EE"/>
                  <w:w w:val="82"/>
                </w:rPr>
                <w:t>Item 12.</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2">
              <w:r>
                <w:rPr>
                  <w:rFonts w:ascii="Arial" w:cs="Arial" w:eastAsia="Arial" w:hAnsi="Arial"/>
                  <w:sz w:val="18"/>
                  <w:szCs w:val="18"/>
                  <w:color w:val="0000EE"/>
                </w:rPr>
                <w:t>Security Ownership of Certain Beneficial Owners and Management and Related Stockholder Matters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2">
              <w:r>
                <w:rPr>
                  <w:rFonts w:ascii="Arial" w:cs="Arial" w:eastAsia="Arial" w:hAnsi="Arial"/>
                  <w:sz w:val="18"/>
                  <w:szCs w:val="18"/>
                  <w:color w:val="0000EE"/>
                  <w:w w:val="82"/>
                </w:rPr>
                <w:t>Item 13.</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2">
              <w:r>
                <w:rPr>
                  <w:rFonts w:ascii="Arial" w:cs="Arial" w:eastAsia="Arial" w:hAnsi="Arial"/>
                  <w:sz w:val="18"/>
                  <w:szCs w:val="18"/>
                  <w:color w:val="0000EE"/>
                </w:rPr>
                <w:t>Certain Relationships and Related Transactions, and Director Independence</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2">
              <w:r>
                <w:rPr>
                  <w:rFonts w:ascii="Arial" w:cs="Arial" w:eastAsia="Arial" w:hAnsi="Arial"/>
                  <w:sz w:val="18"/>
                  <w:szCs w:val="18"/>
                  <w:color w:val="0000EE"/>
                  <w:w w:val="82"/>
                </w:rPr>
                <w:t>Item 14.</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2">
              <w:r>
                <w:rPr>
                  <w:rFonts w:ascii="Arial" w:cs="Arial" w:eastAsia="Arial" w:hAnsi="Arial"/>
                  <w:sz w:val="18"/>
                  <w:szCs w:val="18"/>
                  <w:color w:val="0000EE"/>
                </w:rPr>
                <w:t>Principal Accounting Fees and Services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87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3">
              <w:r>
                <w:rPr>
                  <w:rFonts w:ascii="Arial" w:cs="Arial" w:eastAsia="Arial" w:hAnsi="Arial"/>
                  <w:sz w:val="18"/>
                  <w:szCs w:val="18"/>
                  <w:color w:val="0000EE"/>
                  <w:w w:val="82"/>
                </w:rPr>
                <w:t>Item 15.</w:t>
              </w:r>
            </w:hyperlink>
          </w:p>
        </w:tc>
        <w:tc>
          <w:tcPr>
            <w:tcW w:w="360" w:type="dxa"/>
            <w:vAlign w:val="bottom"/>
          </w:tcPr>
          <w:p>
            <w:pPr>
              <w:spacing w:after="0"/>
              <w:rPr>
                <w:sz w:val="21"/>
                <w:szCs w:val="21"/>
                <w:color w:val="auto"/>
              </w:rPr>
            </w:pPr>
          </w:p>
        </w:tc>
        <w:tc>
          <w:tcPr>
            <w:tcW w:w="4400" w:type="dxa"/>
            <w:vAlign w:val="bottom"/>
            <w:gridSpan w:val="16"/>
          </w:tcPr>
          <w:p>
            <w:pPr>
              <w:ind w:left="320"/>
              <w:spacing w:after="0"/>
              <w:rPr>
                <w:rFonts w:ascii="Arial" w:cs="Arial" w:eastAsia="Arial" w:hAnsi="Arial"/>
                <w:sz w:val="18"/>
                <w:szCs w:val="18"/>
                <w:color w:val="0000EE"/>
              </w:rPr>
            </w:pPr>
            <w:hyperlink w:anchor="page93">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620" w:type="dxa"/>
            <w:vAlign w:val="bottom"/>
            <w:gridSpan w:val="2"/>
          </w:tcPr>
          <w:p>
            <w:pPr>
              <w:jc w:val="center"/>
              <w:ind w:left="351"/>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88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60" w:type="dxa"/>
            <w:vAlign w:val="bottom"/>
            <w:tcBorders>
              <w:left w:val="single" w:sz="8" w:color="0000EE"/>
            </w:tcBorders>
            <w:gridSpan w:val="10"/>
            <w:shd w:val="clear" w:color="auto" w:fill="0000EE"/>
          </w:tcPr>
          <w:p>
            <w:pPr>
              <w:spacing w:after="0" w:line="20" w:lineRule="exact"/>
              <w:rPr>
                <w:sz w:val="1"/>
                <w:szCs w:val="1"/>
                <w:color w:val="auto"/>
              </w:rPr>
            </w:pPr>
          </w:p>
        </w:tc>
        <w:tc>
          <w:tcPr>
            <w:tcW w:w="6080" w:type="dxa"/>
            <w:vAlign w:val="bottom"/>
            <w:gridSpan w:val="16"/>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7">
              <w:r>
                <w:rPr>
                  <w:rFonts w:ascii="Arial" w:cs="Arial" w:eastAsia="Arial" w:hAnsi="Arial"/>
                  <w:sz w:val="18"/>
                  <w:szCs w:val="18"/>
                  <w:color w:val="0000EE"/>
                  <w:w w:val="82"/>
                </w:rPr>
                <w:t>Item 16.</w:t>
              </w:r>
            </w:hyperlink>
          </w:p>
        </w:tc>
        <w:tc>
          <w:tcPr>
            <w:tcW w:w="360" w:type="dxa"/>
            <w:vAlign w:val="bottom"/>
          </w:tcPr>
          <w:p>
            <w:pPr>
              <w:spacing w:after="0"/>
              <w:rPr>
                <w:sz w:val="21"/>
                <w:szCs w:val="21"/>
                <w:color w:val="auto"/>
              </w:rPr>
            </w:pPr>
          </w:p>
        </w:tc>
        <w:tc>
          <w:tcPr>
            <w:tcW w:w="9300" w:type="dxa"/>
            <w:vAlign w:val="bottom"/>
            <w:gridSpan w:val="28"/>
          </w:tcPr>
          <w:p>
            <w:pPr>
              <w:ind w:left="320"/>
              <w:spacing w:after="0"/>
              <w:rPr>
                <w:rFonts w:ascii="Arial" w:cs="Arial" w:eastAsia="Arial" w:hAnsi="Arial"/>
                <w:sz w:val="18"/>
                <w:szCs w:val="18"/>
                <w:color w:val="0000EE"/>
              </w:rPr>
            </w:pPr>
            <w:hyperlink w:anchor="page97">
              <w:r>
                <w:rPr>
                  <w:rFonts w:ascii="Arial" w:cs="Arial" w:eastAsia="Arial" w:hAnsi="Arial"/>
                  <w:sz w:val="18"/>
                  <w:szCs w:val="18"/>
                  <w:color w:val="0000EE"/>
                </w:rPr>
                <w:t>Summary</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37"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Introductory Note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we had the following reporting segments:</w:t>
      </w:r>
    </w:p>
    <w:p>
      <w:pPr>
        <w:spacing w:after="0" w:line="171" w:lineRule="exact"/>
        <w:rPr>
          <w:sz w:val="20"/>
          <w:szCs w:val="20"/>
          <w:color w:val="auto"/>
        </w:rPr>
      </w:pPr>
    </w:p>
    <w:p>
      <w:pPr>
        <w:jc w:val="both"/>
        <w:ind w:left="660" w:hanging="409"/>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which provide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right="2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other smaller,</w:t>
      </w:r>
      <w:r>
        <w:rPr>
          <w:rFonts w:ascii="Arial" w:cs="Arial" w:eastAsia="Arial" w:hAnsi="Arial"/>
          <w:sz w:val="18"/>
          <w:szCs w:val="18"/>
          <w:i w:val="1"/>
          <w:iCs w:val="1"/>
          <w:color w:val="auto"/>
        </w:rPr>
        <w:t xml:space="preserve"> </w:t>
      </w:r>
      <w:r>
        <w:rPr>
          <w:rFonts w:ascii="Arial" w:cs="Arial" w:eastAsia="Arial" w:hAnsi="Arial"/>
          <w:sz w:val="18"/>
          <w:szCs w:val="18"/>
          <w:color w:val="auto"/>
        </w:rPr>
        <w:t>non-title businesses and certain unallocated corporate overhead expenses and eliminations of revenues and expenses between it and our Title segment.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w:t>
      </w:r>
    </w:p>
    <w:p>
      <w:pPr>
        <w:spacing w:after="0" w:line="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six precepts are emphasized to our employees from the first day of employment and are integral to many of our strategies described below.</w:t>
      </w:r>
    </w:p>
    <w:p>
      <w:pPr>
        <w:spacing w:after="0" w:line="1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one of the largest title insurance companies in the United States and a leading provider of title insurance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for real estate transactions. Through the third quarter of 2019, our insurance companies had a 34.1% share of the U.S. title insurance market, according to the American Land Title Association ("ALTA").</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more than 1,300 direct residential title offices and more than 5,300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Strong value proposition for our customers. </w:t>
      </w:r>
      <w:r>
        <w:rPr>
          <w:rFonts w:ascii="Arial" w:cs="Arial" w:eastAsia="Arial" w:hAnsi="Arial"/>
          <w:sz w:val="18"/>
          <w:szCs w:val="18"/>
          <w:color w:val="auto"/>
        </w:rPr>
        <w:t>We provide our customers with title insurance and escrow and other title-related services that support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effectively close real estate transactions. We help make the real estate closing process more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efficient for our customers by offering a single point of access to a broad platform of title-related products and resources necessary to close real estate transactions.</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are also a significant provider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position us well to take advantage of future changes to the real estate market.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strategy in the title business is to maximize operating profits by increasing our market share and managing operating expenses throughout the real estate business cycle. To accomplish our goals, we intend to do the following:</w:t>
      </w:r>
    </w:p>
    <w:p>
      <w:pPr>
        <w:spacing w:after="0" w:line="35" w:lineRule="exact"/>
        <w:rPr>
          <w:sz w:val="20"/>
          <w:szCs w:val="20"/>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Continue to operate multiple title brands independently</w:t>
      </w:r>
      <w:r>
        <w:rPr>
          <w:rFonts w:ascii="Arial" w:cs="Arial" w:eastAsia="Arial" w:hAnsi="Arial"/>
          <w:sz w:val="17"/>
          <w:szCs w:val="17"/>
          <w:color w:val="auto"/>
        </w:rPr>
        <w:t>. We believe that in order to maintain and strengthen our title insurance customer base, we</w:t>
      </w:r>
      <w:r>
        <w:rPr>
          <w:rFonts w:ascii="Arial" w:cs="Arial" w:eastAsia="Arial" w:hAnsi="Arial"/>
          <w:sz w:val="17"/>
          <w:szCs w:val="17"/>
          <w:i w:val="1"/>
          <w:iCs w:val="1"/>
          <w:color w:val="auto"/>
        </w:rPr>
        <w:t xml:space="preserve"> </w:t>
      </w:r>
      <w:r>
        <w:rPr>
          <w:rFonts w:ascii="Arial" w:cs="Arial" w:eastAsia="Arial" w:hAnsi="Arial"/>
          <w:sz w:val="17"/>
          <w:szCs w:val="17"/>
          <w:color w:val="auto"/>
        </w:rPr>
        <w:t>must operate our strongest brands in a given marketplace independently of each other. Our national and regional brands include FNTIC,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3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5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Manage our operations successfully through business cycles</w:t>
      </w:r>
      <w:r>
        <w:rPr>
          <w:rFonts w:ascii="Arial" w:cs="Arial" w:eastAsia="Arial" w:hAnsi="Arial"/>
          <w:sz w:val="18"/>
          <w:szCs w:val="18"/>
          <w:color w:val="auto"/>
        </w:rPr>
        <w:t>. We operate in a cyclical industry and our ability to diversify our revenue base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our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54"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improve our products and technology. </w:t>
      </w:r>
      <w:r>
        <w:rPr>
          <w:rFonts w:ascii="Arial" w:cs="Arial" w:eastAsia="Arial" w:hAnsi="Arial"/>
          <w:sz w:val="17"/>
          <w:szCs w:val="17"/>
          <w:color w:val="auto"/>
        </w:rPr>
        <w:t>As a national provider of real estate transaction products and services, we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37"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Maintain values supporting our strategy. </w:t>
      </w:r>
      <w:r>
        <w:rPr>
          <w:rFonts w:ascii="Arial" w:cs="Arial" w:eastAsia="Arial" w:hAnsi="Arial"/>
          <w:sz w:val="16"/>
          <w:szCs w:val="16"/>
          <w:color w:val="auto"/>
        </w:rPr>
        <w:t>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1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Minority Owned Operating Subsidiaries and Financings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 in class management teams and that have attractive organic and acquired growth opportunities. We leverage our operational expertise and track record of growing industry-leading companies and also our active interaction with the acquired company's management directly or through our board of directors, to ultimately provide value for our shareholders.</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Refer to discussion under </w:t>
      </w:r>
      <w:r>
        <w:rPr>
          <w:rFonts w:ascii="Arial" w:cs="Arial" w:eastAsia="Arial" w:hAnsi="Arial"/>
          <w:sz w:val="18"/>
          <w:szCs w:val="18"/>
          <w:i w:val="1"/>
          <w:iCs w:val="1"/>
          <w:color w:val="auto"/>
        </w:rPr>
        <w:t>Selected Financial Dat</w:t>
      </w:r>
      <w:r>
        <w:rPr>
          <w:rFonts w:ascii="Arial" w:cs="Arial" w:eastAsia="Arial" w:hAnsi="Arial"/>
          <w:sz w:val="18"/>
          <w:szCs w:val="18"/>
          <w:color w:val="auto"/>
        </w:rPr>
        <w:t xml:space="preserve">a and </w:t>
      </w:r>
      <w:r>
        <w:rPr>
          <w:rFonts w:ascii="Arial" w:cs="Arial" w:eastAsia="Arial" w:hAnsi="Arial"/>
          <w:sz w:val="18"/>
          <w:szCs w:val="18"/>
          <w:i w:val="1"/>
          <w:iCs w:val="1"/>
          <w:color w:val="auto"/>
        </w:rPr>
        <w:t>Certain Factors Affecting Comparability</w:t>
      </w:r>
      <w:r>
        <w:rPr>
          <w:rFonts w:ascii="Arial" w:cs="Arial" w:eastAsia="Arial" w:hAnsi="Arial"/>
          <w:sz w:val="18"/>
          <w:szCs w:val="18"/>
          <w:color w:val="auto"/>
        </w:rPr>
        <w:t xml:space="preserve"> included in Item 6 and Item 7 of Part II of this Annual Report on Form 10-K (this "Annual Report"), respectively, which are incorporated by reference into this Item 1 of Part I, for further discussion of material dispositions of businesses.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 of Stewart Merger Agreement and Payment of Reverse Termination Fee</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2018, we signed a merger agreement (the "Stewart Merger Agreement") to acquire Stewart Information Services Corporation ("Stewart") (NYSE: STC) (the "Stewart Merger"). On, September 9, 2019, we entered into a mutual Termination Agreement with Stewart (the “Termination Agreement”), pursuant to which the parties agreed to terminate the Stewart Merger Agreement, due to the Federal Trade Commission's issuance of an administrative complaint seeking to block the merger. In connection with the termination of the Stewart Merger Agreement, we paid to Stewart, on September 12, 2019, the Reverse Termination Fee (as defined in the Stewart Merger Agreement) consisting of $50 million in cash, which is included within other operating expenses in the Consolidated Statements of Earnings.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Acquisition of FGL</w:t>
      </w:r>
    </w:p>
    <w:p>
      <w:pPr>
        <w:spacing w:after="0" w:line="9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7, 2020, we signed a merger agreement (the “Merger Agreement”) to acquire FGL Holdings (“FGL”) (NYSE: FG) (the “FGL Merger”). Subject to the terms and conditions of the Merger Agreement, which has been approved by the board of directors of FNF, at the First Effective Time (as defined in the Merger Agreement), the ordinary shares of FGL (the “Ordinary Shares”), including all restricted Ordinary Shares (whether vested or unvested), issued and outstanding as of immediately prior to the First Effective Time (other than (i) shares owned by FGL and any of its subsidiaries or FNF and any of its subsidiaries and (ii) shares in respect of which dissenters rights have been properly exercised and perfected under Cayman law) will be converted into the right to receive $12.50 in cash or 0.2558 shares (“the Stock Consideration”) of common stock of FNF (“FNF Common Stock”), at the election of the holder thereof and subject to the proration mechanics set forth in the Merger Agreement. Pursuant to the Merger Agreement, all Ordinary Shares held by FNF and its subsidiaries will be converted into the right to receive the Stock Consideration. Each Series B Cumulative Preferred Share, all of which are held by FNF and its subsidiaries, will be converted into the right to receive a number of shares of FNF Common Stock that is equal to (i) the Liquidation Preference (as defined in the Merger Agreement) divided by (ii) the Reference Parent Common Stock Price (as defined in the Merger Agreement).</w:t>
      </w:r>
    </w:p>
    <w:p>
      <w:pPr>
        <w:spacing w:after="0" w:line="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Additionally, all options to purchase Ordinary Shares (“FGL Share Option”) and phantom unit denominated in Ordinary Shares (“FGL Phantom Unit”), in each case, outstanding immediately prior to the First Effective Time, will be canceled and converted into options to purchase FNF Common Stock and phantom units denominated in FNF Common Stock at the First Effective Time (collectively, the “Rollover Awards”), as applicable. The Rollover Awards will generally be subject to the same terms and conditions as applicable to the applicable canceled FGL Share Option or FGL Phantom Unit immediately prior to the First Effective Time, except that (i) all performance-vesting criteria will be deemed satisfied at the First Effective Time at the levels described in the Merger Agreement and such Rollover Awards will be subject only to time-based vesting conditions after the First Effective Time, and (ii) immediately prior to the First Effective Time, additional time-vesting credits will be provided to holders in respect of FGL Share Options and FGL Phantom Units granted prior to January 1, 2020, as described in the Merger Agreement.</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of the transaction is subject to certain closing conditions, including the approval by FGL stockholders, federal and state regulatory approvals, and the satisfaction of other customary closing conditions. Closing is expected in the second or third quarter of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Insurance</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Market for title insurance. </w:t>
      </w:r>
      <w:r>
        <w:rPr>
          <w:rFonts w:ascii="Arial" w:cs="Arial" w:eastAsia="Arial" w:hAnsi="Arial"/>
          <w:sz w:val="18"/>
          <w:szCs w:val="18"/>
          <w:color w:val="auto"/>
        </w:rPr>
        <w:t>According to Demotech Performance of Title Insurance Companies 2019 Edition, an annual compilation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from the title insurance industry that is published by Demotech Inc. ("Demotech"), an independent firm, total operating income for the entire U.S. title insurance industry has increased over the last five years from approximately $12.2 billion in 2014 to $15.9 billion in 2018, which represents a $0.3 billion increase from 2017. The size of the industry is closely tied to various macroeconomic factors, including, but not limited to, growth in the gross domestic product,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unemployment, the availability of credit, consumer confidence, interest rates, and sales volumes and prices for new and existing homes, as well as the volume of refinancing of previously issued mortgages.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four title insurance groups accounted for 84% of net premiums written in 2018. Approximately 38 independent title insurance companies accounted for the remaining 16% of net premiums written in 2018. Consolidation has created opportunities for increased financial and operating efficiencies for the industry’s largest participants and should continue to drive profitability and market share in the industry.</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Title segment revenue is closely related to the level of real estate activity which includes sales, mortgage financing and mortgage refinancing. For further discussion of current trends in real estate activity in the United States, see discussion under </w:t>
      </w:r>
      <w:r>
        <w:rPr>
          <w:rFonts w:ascii="Arial" w:cs="Arial" w:eastAsia="Arial" w:hAnsi="Arial"/>
          <w:sz w:val="18"/>
          <w:szCs w:val="18"/>
          <w:i w:val="1"/>
          <w:iCs w:val="1"/>
          <w:color w:val="auto"/>
        </w:rPr>
        <w:t>Business Trends and Conditions</w:t>
      </w:r>
      <w:r>
        <w:rPr>
          <w:rFonts w:ascii="Arial" w:cs="Arial" w:eastAsia="Arial" w:hAnsi="Arial"/>
          <w:sz w:val="18"/>
          <w:szCs w:val="18"/>
          <w:color w:val="auto"/>
        </w:rPr>
        <w:t xml:space="preserve"> included in Item 7 of Part II of this Annual Report, which is incorporated by reference into this Item 1 of Part I.</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closing-related errors.</w:t>
      </w:r>
    </w:p>
    <w:p>
      <w:pPr>
        <w:spacing w:after="0" w:line="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5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Our direct operations include both the operations of our underwriters and those of affiliated agencies. In our direct operations,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insurer issues the title insurance policy and retains the entire premium paid in connection with the transaction. Our direct operations provide the following benefits:</w:t>
      </w:r>
    </w:p>
    <w:p>
      <w:pPr>
        <w:spacing w:after="0" w:line="4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more than 1,300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3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product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2019, we transact business with approximately 5,300 agents.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2,690</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2,723</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55.7</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28.9%, 30.6%, and 30.2% of total Title segment revenues in 2019, 2018, and 2017, respectively.</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We market and distribute our title and escrow products and services to customers in the residential and commercial market sectors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i w:val="1"/>
          <w:iCs w:val="1"/>
          <w:color w:val="auto"/>
        </w:rPr>
        <w:t xml:space="preserve">Claims. </w:t>
      </w:r>
      <w:r>
        <w:rPr>
          <w:rFonts w:ascii="Arial" w:cs="Arial" w:eastAsia="Arial" w:hAnsi="Arial"/>
          <w:sz w:val="16"/>
          <w:szCs w:val="16"/>
          <w:color w:val="auto"/>
        </w:rPr>
        <w:t>An important part of our operations is the handling of title and escrow claims. We employ a large staff of attorneys in our claims department.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processing centers are located in Omaha, Nebraska and Jacksonville, Florida. In-house claims counsel are also located in other parts of the country.</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4"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8"/>
          <w:szCs w:val="18"/>
          <w:i w:val="1"/>
          <w:iCs w:val="1"/>
          <w:color w:val="auto"/>
        </w:rPr>
        <w:t xml:space="preserve">Reinsurance and Coinsurance. </w:t>
      </w:r>
      <w:r>
        <w:rPr>
          <w:rFonts w:ascii="Arial" w:cs="Arial" w:eastAsia="Arial" w:hAnsi="Arial"/>
          <w:sz w:val="18"/>
          <w:szCs w:val="18"/>
          <w:color w:val="auto"/>
        </w:rPr>
        <w:t>We limit our maximum loss exposure by reinsuring risks with other insurers under excess of loss and case-by-case</w:t>
      </w:r>
      <w:r>
        <w:rPr>
          <w:rFonts w:ascii="Arial" w:cs="Arial" w:eastAsia="Arial" w:hAnsi="Arial"/>
          <w:sz w:val="18"/>
          <w:szCs w:val="18"/>
          <w:i w:val="1"/>
          <w:iCs w:val="1"/>
          <w:color w:val="auto"/>
        </w:rPr>
        <w:t xml:space="preserve"> </w:t>
      </w:r>
      <w:r>
        <w:rPr>
          <w:rFonts w:ascii="Arial" w:cs="Arial" w:eastAsia="Arial" w:hAnsi="Arial"/>
          <w:sz w:val="18"/>
          <w:szCs w:val="18"/>
          <w:color w:val="auto"/>
        </w:rPr>
        <w:t>(“facultative”) reinsurance agreements. Reinsurance agreements generally provide that the reinsurer is liable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coverage protects us from a large loss from a single loss occurrence. Our excess of loss reinsurance coverage is split into four contracts. The first excess of loss reinsurance contract provides an $80 million limit of coverage from a single loss occurrence for residential and commercial losses in excess of a $20 million retention per single loss occurrence ("First XOL Contract"). The second excess of loss reinsurance contract ("Second XOL Contract") provides an additional $300 million limit of coverage from a single loss occurrence for commercial loss, with the Company co-participating at approximately 10%. The third excess of loss reinsurance contract ("Third XOL Contract") provides an additional $80 million limit of coverage from a single loss occurrence for commercial loss, with the Company co-participating at approximately 10%. The fourth excess of loss reinsurance contract ("Fourth XOL Contract") provides an additional $220 million limit of coverage from a single loss occurrence for commercial loss, with the Company co-participating at approximately 10%. Subject to the Company’s retention and co-participation on the Second, Third and Fourth XOL Contracts, the maximum coverage from a single loss occurrence provided under our excess of loss reinsurance coverage is $620 million. Each XOL Contract provides for one reinstatement of its respective limit, so the aggregate limit of coverage is $1.24 billion.</w:t>
      </w:r>
    </w:p>
    <w:p>
      <w:pPr>
        <w:spacing w:after="0" w:line="52" w:lineRule="exact"/>
        <w:rPr>
          <w:sz w:val="20"/>
          <w:szCs w:val="20"/>
          <w:color w:val="auto"/>
        </w:rPr>
      </w:pPr>
    </w:p>
    <w:p>
      <w:pPr>
        <w:jc w:val="both"/>
        <w:ind w:right="20" w:firstLine="329"/>
        <w:spacing w:after="0" w:line="328"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policy is to be selective in choosing our reinsurers, seeking only those companies that we consider to be financially stable and adequately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minimize exposure to the insolvency of a reinsurer, we periodically review the financial condition of our reinsurers.</w:t>
      </w:r>
    </w:p>
    <w:p>
      <w:pPr>
        <w:spacing w:after="0" w:line="7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Competition in the title insurance industry is based primarily on service and price. The number and size of competing companies varies in</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different geographic areas in which we conduct our business. In our principal markets, competitors include other major title underwriters such as First American Financial Corporation, Old Republic International Corporation, Stewart Information Services Corporation, Westcor Land Title Insurance Company, and WFG National Title Insurance Company, as well as numerous smaller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Regulation. </w:t>
      </w:r>
      <w:r>
        <w:rPr>
          <w:rFonts w:ascii="Arial" w:cs="Arial" w:eastAsia="Arial" w:hAnsi="Arial"/>
          <w:sz w:val="16"/>
          <w:szCs w:val="16"/>
          <w:color w:val="auto"/>
        </w:rPr>
        <w:t>Our insurance subsidiaries, including title insurers, underwritten title companies and insurance agencies, are subject to extensive regulation</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2019, the combined statutory unearned premium reserve required and reported for our title insurers was $1,446 million. In addition to statutory unearned premium reserves and reserves for known claims, each of our insurers maintains surplus funds for policyholder protection and business operations.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("TILA") and the Real Estate Settlement Procedures Act (individually, "RESPA", and together, "TILA-RESPA Integrated Disclosure" or "TRID") formerly placed with the Department of Housing and Urban Development.</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holding company with no significant business operations of our own, we depend on dividends or other distributions from our subsidiaries as the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4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7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laws and regulations of some jurisdictions also prohibit an insurer from declaring or paying a dividend except out of its earned surplus or require the insurer to obtain prior regulatory approval. During 2020, our directly owned title insurers can pay dividends or make distributions to us of approximately $518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$1,581 million and $1,383 million as of December 31, 2019 and 2018, respectively. The combined statutory earnings of our title insurers were $583 million, $625 million, and $434 million for the years ended December 31, 2019, 2018, and 2017, respectively.</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2019.</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underwritten title companies, primarily those domiciled in California, are also subject to certain regulation by insurance regulatory or banking</w:t>
      </w:r>
    </w:p>
    <w:p>
      <w:pPr>
        <w:spacing w:after="0" w:line="75"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2019.</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National Association of Insurance Commissioners ("NAIC") has adopted an instruction requiring an annual certification of reserve adequacy by a</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Title Insurance Ratings. </w:t>
      </w:r>
      <w:r>
        <w:rPr>
          <w:rFonts w:ascii="Arial" w:cs="Arial" w:eastAsia="Arial" w:hAnsi="Arial"/>
          <w:sz w:val="17"/>
          <w:szCs w:val="17"/>
          <w:color w:val="auto"/>
        </w:rPr>
        <w:t>Our title insurance underwriters are regularly assigned ratings by independent agencies designed to indicate their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and/or claims paying ability. The 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entire FNF family of companies as a whole as follows:</w:t>
      </w:r>
    </w:p>
    <w:p>
      <w:pPr>
        <w:spacing w:after="0" w:line="190" w:lineRule="exact"/>
        <w:rPr>
          <w:sz w:val="20"/>
          <w:szCs w:val="20"/>
          <w:color w:val="auto"/>
        </w:rPr>
      </w:pPr>
    </w:p>
    <w:p>
      <w:pPr>
        <w:ind w:left="9240"/>
        <w:spacing w:after="0"/>
        <w:tabs>
          <w:tab w:leader="none" w:pos="10300" w:val="left"/>
        </w:tabs>
        <w:rPr>
          <w:sz w:val="20"/>
          <w:szCs w:val="20"/>
          <w:color w:val="auto"/>
        </w:rPr>
      </w:pPr>
      <w:r>
        <w:rPr>
          <w:rFonts w:ascii="Arial" w:cs="Arial" w:eastAsia="Arial" w:hAnsi="Arial"/>
          <w:sz w:val="14"/>
          <w:szCs w:val="14"/>
          <w:b w:val="1"/>
          <w:bCs w:val="1"/>
          <w:color w:val="auto"/>
        </w:rPr>
        <w:t>S&amp;P</w:t>
      </w:r>
      <w:r>
        <w:rPr>
          <w:sz w:val="20"/>
          <w:szCs w:val="20"/>
          <w:color w:val="auto"/>
        </w:rPr>
        <w:tab/>
      </w:r>
      <w:r>
        <w:rPr>
          <w:rFonts w:ascii="Arial" w:cs="Arial" w:eastAsia="Arial" w:hAnsi="Arial"/>
          <w:sz w:val="14"/>
          <w:szCs w:val="14"/>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23495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300" w:val="left"/>
          <w:tab w:leader="none" w:pos="10460" w:val="left"/>
        </w:tabs>
        <w:rPr>
          <w:sz w:val="20"/>
          <w:szCs w:val="20"/>
          <w:color w:val="auto"/>
        </w:rPr>
      </w:pPr>
      <w:r>
        <w:rPr>
          <w:rFonts w:ascii="Arial" w:cs="Arial" w:eastAsia="Arial" w:hAnsi="Arial"/>
          <w:sz w:val="18"/>
          <w:szCs w:val="18"/>
          <w:color w:val="auto"/>
        </w:rPr>
        <w:t>FNF family of companies</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A2</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90" w:lineRule="exact"/>
        <w:rPr>
          <w:sz w:val="20"/>
          <w:szCs w:val="20"/>
          <w:color w:val="auto"/>
        </w:rPr>
      </w:pPr>
    </w:p>
    <w:p>
      <w:pPr>
        <w:jc w:val="both"/>
        <w:ind w:left="660" w:right="2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S&amp;P "A" rating is the third highest rating of 11 ratings for S&amp;P. According to S&amp;P, an insurer rated “A” has strong capacity to meet its financial commitments, but is somewhat more susceptible to adverse effects of changes in circumstances and economic conditions than insurers with "AAA" or "AA" ratings.</w:t>
      </w:r>
    </w:p>
    <w:p>
      <w:pPr>
        <w:ind w:left="660" w:right="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Moody's "A2" rating is the third highest rating of 9 ratings for Moody's. Moody's states that companies rated “A2” are judged to be upper-medium grade and are subject to low credit risk.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Demotech provides financial strength/stability ratings for each of our title insurance underwriters individually,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Chicago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Fidelity National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4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National Title Insurance of New York</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Demotech states that its ratings of "A"(A double prime)" and "A' (A prime)" reflect its opinion that the insurer possesses "Unsurpassed" ability to</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The ratings of S&amp;P, Moody’s,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If the rating agencies downgrade our Company, our results of operations and competitive position in the title insurance industry may suffer” for further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Research and Development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national provider of real estate transaction products and services, we participate in an industry that is subject to significant regulatory requirements,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Policies and Investment Portfolio</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investment policy is designed to maximize total return through investment income and capital appreciation consistent with moderate risk of</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2019 and 2018, the carrying amount of total investments, which approximates the fair value, excluding investments in unconsolidated affiliates, was $4.3 billion and $3.4 billion, respectively.</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in our portfolio are subject to economic conditions and normal market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securities and preferred stock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8"/>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276"/>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Rating(1)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Aa/AA</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10.8</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31.3</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Baa/BBB</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26.3</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5.4</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8.3</w:t>
            </w:r>
          </w:p>
        </w:tc>
      </w:tr>
      <w:tr>
        <w:trPr>
          <w:trHeight w:val="27"/>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w:t>
      </w:r>
    </w:p>
    <w:p>
      <w:pPr>
        <w:spacing w:after="0" w:line="7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Ratings as assigned by Moody’s Investors Service or Standard &amp; Poor’s Ratings Group if a Moody's rating is unavailable.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Maturity</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53.4</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7.0</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2,090</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prepayment penalties. Because of the potential for prepayment on mortgage-backed and asset-backed securities, they are not categorized by contractual maturity.</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2019 and 2018, we held $131 million and $137 million, respectively, in investments that are accounted for using the equity method of accounting.</w:t>
      </w:r>
    </w:p>
    <w:p>
      <w:pPr>
        <w:spacing w:after="0" w:line="35" w:lineRule="exact"/>
        <w:rPr>
          <w:sz w:val="20"/>
          <w:szCs w:val="20"/>
          <w:color w:val="auto"/>
        </w:rPr>
      </w:pPr>
    </w:p>
    <w:p>
      <w:pPr>
        <w:jc w:val="both"/>
        <w:ind w:right="20" w:firstLine="329"/>
        <w:spacing w:after="0" w:line="328" w:lineRule="auto"/>
        <w:rPr>
          <w:sz w:val="20"/>
          <w:szCs w:val="20"/>
          <w:color w:val="auto"/>
        </w:rPr>
      </w:pPr>
      <w:r>
        <w:rPr>
          <w:rFonts w:ascii="Arial" w:cs="Arial" w:eastAsia="Arial" w:hAnsi="Arial"/>
          <w:sz w:val="18"/>
          <w:szCs w:val="18"/>
          <w:color w:val="auto"/>
        </w:rPr>
        <w:t>As of December 31, 2019 and 2018, other long-term investments were $153 million and $135 million, respectively. Other long-term investments include other investments carried at fair value and company-owned life insurance policies carried at cash surrender value.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Short-term investments, which consist primarily of commercial paper and money market instruments which have an original maturity of one year or less,</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carried at amortized cost, which approximates fair value. As of December 31, 2019 and 2018, short-term investments amounted to $876 million and $480 million,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2019, 2018 and 2017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139</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3,768</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3,291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3,296</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8"/>
        </w:trPr>
        <w:tc>
          <w:tcPr>
            <w:tcW w:w="20" w:type="dxa"/>
            <w:vAlign w:val="bottom"/>
          </w:tcPr>
          <w:p>
            <w:pPr>
              <w:spacing w:after="0"/>
              <w:rPr>
                <w:sz w:val="18"/>
                <w:szCs w:val="18"/>
                <w:color w:val="auto"/>
              </w:rPr>
            </w:pPr>
          </w:p>
        </w:tc>
        <w:tc>
          <w:tcPr>
            <w:tcW w:w="7560" w:type="dxa"/>
            <w:vAlign w:val="bottom"/>
          </w:tcPr>
          <w:p>
            <w:pPr>
              <w:jc w:val="right"/>
              <w:ind w:right="4070"/>
              <w:spacing w:after="0"/>
              <w:rPr>
                <w:sz w:val="20"/>
                <w:szCs w:val="20"/>
                <w:color w:val="auto"/>
              </w:rPr>
            </w:pPr>
            <w:r>
              <w:rPr>
                <w:rFonts w:ascii="Arial" w:cs="Arial" w:eastAsia="Arial" w:hAnsi="Arial"/>
                <w:sz w:val="18"/>
                <w:szCs w:val="18"/>
                <w:color w:val="auto"/>
                <w:w w:val="88"/>
              </w:rPr>
              <w:t>______________________________________</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jc w:val="both"/>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Net investment income as reported in our Consolidated Statements of Earnings has been adjusted in the presentation above to provide the tax equivalent yield on tax exempt investments and to exclude interest earned on cash and cash equivalents. Net investment income includes fees earned by holding customer funds in escrow (off-balance sheet) during facilitation of tax-deferred property exchanges. See Note D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to our Consolidated Financial Statements included in Item 8 of Part II of this Annual Report for a detail of our interest income.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Reserves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information about our loss reserves,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Critical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31, 2020, we had 25,063 full-time equivalent employees, which includes 24,443 in our Title segment and 620 in our Corporate and other segment. We monitor our staffing levels based on current economic activity. None of our employees are subject to collective bargaining agreements. We believe that our relations with employees are generally good.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by Operating Segment</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financial information by operating segment, see Note R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to our Consolidated Financial Statements included in Item 8 of Part II of this Annual Report.</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Statement Regarding Forward-Looking Information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statements contained in this Annual Report or in our other documents or in oral presentations or other statements made by our management that are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4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obtain without unanticipated conditions or significant delay, if at all, the necessary approvals to consummate the FGL Merger;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timely satisfy or obtain waiver of any of the closing conditions to the proposed FGL Merger;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successfully integrate FGL’s business with that of FNF, that such integration may be more difficult, time-consuming or costly than expected or that the expected benefits of the FGL Merger will not be realized;</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impact of the announcement or consummation of the FGL Merger on relationships, including employees, suppliers, customers and competitors;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concentration in the States of California and Texas are the source of approximately 14.3% and 13.8%, respectively, of our title insurance premiums;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other title insurance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not under any obligation (and expressly disclaim any such obligation) to update or alter our forward-looking statements, whether as a result of</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information, future events or otherwise. You should carefully consider the possibility that actual results may differ materially from our forward-looking statements.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www.fnf.com. We make available free of charge on or through our website our Annual Report on Form 10-K, Quarterly Reports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Form 10-Q, Current Reports on Form 8-K and all amendments to those reports filed or furnished pursuant to Section 13(a) or 15(d) of the Exchange Act as soon as reasonably practicable after such material is electronically filed with or furnished to the Securities and Exchange Commission. However, the information found on our website is not part of this or any other report.</w:t>
      </w:r>
    </w:p>
    <w:p>
      <w:pPr>
        <w:spacing w:after="0" w:line="33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Goodwill aggregated approximately $2,727 million, or 25.5% of our total assets, as of December 31, 2019.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In the year ended December 31, 2018, we recorded $3 million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goodwill impairment related to a real estate brokerage subsidiary in our Corporate and other segment. For the years ended December 31, 2019 and 2017, no goodwill impairment charge was recorded.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53"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2020, our title insurers may pay dividends or make distributions to us of approximately $518 million; however, insurance regulators have the authority to prohibit the payment of ordinary dividends or other payments by our title insurers to us if they determine that such payment could be adverse to our policyholders.</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3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credit cards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If additional information regarding an event previously considered immaterial is discovered, or a new event were to occur, it could potentially have a material adverse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4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9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3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large insurance entity and a publicly traded company, we have always had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development, and vendor risk management. These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the subject of various legal proceedings that could have a material adverse effect on our results of operations.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M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our Consolidated Financial Statements included in Item 8 of Part II of this Annual Report for further discussion of pending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matters and our related accrual.</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 mortgage funding supply is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housing inventory is limited or home prices are high or increasing;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Declines in the level of real estate activity or the average price of real estate sales are likely to adversely affect our title insurance revenues. The Mortgage Bankers Association's ("MBA") Mortgage Finance Forecast as of January 17, 2020 calculates an approximately $2.1 trillion mortgage origination market for 2019, which would be an increase from 2018 resulting primarily from increased refinance activity. However, the MBA predicts overall mortgage originations in 2020 and 2021 will decrease slightly when compared to 2019. Our revenues in future periods will continue to be subject to these and other factors which are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 xml:space="preserve">beyond our control and, as a result, are likely to fluctuate. See discussion under 'Business Trends and Conditions' within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 and Results of Operations </w:t>
      </w:r>
      <w:r>
        <w:rPr>
          <w:rFonts w:ascii="Arial" w:cs="Arial" w:eastAsia="Arial" w:hAnsi="Arial"/>
          <w:sz w:val="16"/>
          <w:szCs w:val="16"/>
          <w:color w:val="auto"/>
        </w:rPr>
        <w:t>included in Item 7 of Part II of this Annual Report for further discussion of current market trends.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$18.7 billion at December 31, 2019.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5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4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3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disclosure requirements on key terms of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Regulation” for further discussion of the current regulatory environment.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business operating results and financial conditions.</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and Texas for approximately 14.3% and 13.8% and of our title insurance premiums, respectively, our business may be adversely affected by regulatory conditions in California and/or Texas.</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California and Texas are the two largest sources of revenue for our title segment and, in 2019, California-based premiums accounted for approximately 28.9% of premiums earned by our direct operations and 0.8% of our agency premium revenues. Texas-based premiums accounted for 17.9% of premiums earned by our direct operations and 9.8% of our agency premium revenues. In the aggregate, California and Texas accounted for approximately 14.3% and 13.8%, respectively, of our total title insurance premiums for 2019.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the rating agencies downgrade our insurance companies, our results of operations and competitive position in the title insurance industry may suffer.</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title insurance subsidiaries are rated by S&amp;P, Moody’s,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claim loss prevention procedures fail, we could incur significant claim losses.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ordinary course of our title insurance business, we assume risks related to insuring clear title to residential and commercial properties. We have established procedures to mitigate the risk of loss from title claims, including extensive underwriting and risk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use of independent agents for a significant amount of our title insurance policies could adversely impact the frequency and severity of title claims.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Failure to respond to rapid changes in technology could adversely affect our results of operations or financial condition.</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pending acquisition of FGL may expose us to certain risks.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7, 2020, we signed a merger agreement (the “Merger Agreement”) to acquire FGL Holdings (“FGL”) (NYSE: FG) (the “FGL Merger”). Consummation of the FGL Merger is subject to the satisfaction or waiver of customary conditions. Additionally, the Merger Agreement contains certain customary termination rights in favor of either FNF or FGL. If the FGL Merger is completed, we may face challenges in integrating FGL into our existing infrastructure. These challenges include evaluating and possibly changing operations, facilities and systems, coordinating management and personnel, retaining key employees, and managing different corporate cultures. There can be no assurance that we will be able to fully integrate all aspects of the acquired business successfully, and the process of integrating this acquisition may disrupt our business and divert our resources.</w:t>
      </w:r>
    </w:p>
    <w:p>
      <w:pPr>
        <w:spacing w:after="0" w:line="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headquarters are in Jacksonville, Florida in owned facilities.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majority of our branch offices are leased from third parties. See Note B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Consolidated Financial Statements included in Item 8 of Part II of this Annual Report for further information on our outstanding leases. Our subsidiaries conduct their business operations primarily in leased office space in 45 states, Washington, DC, Canada and India.</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For a description of our legal proceedings see discussion of </w:t>
      </w:r>
      <w:r>
        <w:rPr>
          <w:rFonts w:ascii="Arial" w:cs="Arial" w:eastAsia="Arial" w:hAnsi="Arial"/>
          <w:sz w:val="17"/>
          <w:szCs w:val="17"/>
          <w:i w:val="1"/>
          <w:iCs w:val="1"/>
          <w:color w:val="auto"/>
        </w:rPr>
        <w:t>Legal and Regulatory Contingencies</w:t>
      </w:r>
      <w:r>
        <w:rPr>
          <w:rFonts w:ascii="Arial" w:cs="Arial" w:eastAsia="Arial" w:hAnsi="Arial"/>
          <w:sz w:val="17"/>
          <w:szCs w:val="17"/>
          <w:color w:val="auto"/>
        </w:rPr>
        <w:t xml:space="preserve"> in Note M.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in Item 8 of Part II of this Annual Report, which is incorporated by reference into this Item 3 of Part I.</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New York Stock Exchange under the trading symbol "FNF".</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31, 2020, the last reported sale price of our common stock on the New York Stock Exchange was $48.75. We had approximately 6,400 shareholders of record.</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Refer to Note O.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in Item 7 of Part II of this Annual Report, which is incorporated by reference into this Item 5 of Part II, for further information on securities issued for employee stock compensation pursuant to our Omnibus Plan.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concerning securities authorized for issuance under our equity compensation plans will be included in Item 12 of Part III of this Annual Report.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2019.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2014,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5025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12/31/2014</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12/31/2015</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12/31/2016</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12/31/2017</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12/31/2018</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12/31/2019</w:t>
            </w:r>
          </w:p>
        </w:tc>
      </w:tr>
      <w:tr>
        <w:trPr>
          <w:trHeight w:val="393"/>
        </w:trPr>
        <w:tc>
          <w:tcPr>
            <w:tcW w:w="3040" w:type="dxa"/>
            <w:vAlign w:val="bottom"/>
          </w:tcPr>
          <w:p>
            <w:pPr>
              <w:ind w:left="40"/>
              <w:spacing w:after="0"/>
              <w:rPr>
                <w:sz w:val="20"/>
                <w:szCs w:val="20"/>
                <w:color w:val="auto"/>
              </w:rPr>
            </w:pPr>
            <w:r>
              <w:rPr>
                <w:rFonts w:ascii="Arial" w:cs="Arial" w:eastAsia="Arial" w:hAnsi="Arial"/>
                <w:sz w:val="14"/>
                <w:szCs w:val="14"/>
                <w:color w:val="auto"/>
              </w:rPr>
              <w:t>Fidelity National Financial, Inc.</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102.92</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103.44</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169.69</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140.42</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208.88</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S&amp;P 500</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101.38</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113.51</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138.29</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132.23</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173.86</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Peer Group</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107.66</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117.46</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169.75</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143.77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185.71</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Dividends declared on our common stock for the two most recent fiscal years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7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0"/>
        </w:trPr>
        <w:tc>
          <w:tcPr>
            <w:tcW w:w="8120" w:type="dxa"/>
            <w:vAlign w:val="bottom"/>
            <w:tcBorders>
              <w:bottom w:val="single" w:sz="8" w:color="CCEEFF"/>
            </w:tcBorders>
          </w:tcPr>
          <w:p>
            <w:pPr>
              <w:spacing w:after="0"/>
              <w:rPr>
                <w:sz w:val="21"/>
                <w:szCs w:val="21"/>
                <w:color w:val="auto"/>
              </w:rPr>
            </w:pPr>
          </w:p>
        </w:tc>
        <w:tc>
          <w:tcPr>
            <w:tcW w:w="27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Cash Dividends per Share</w:t>
            </w:r>
          </w:p>
        </w:tc>
        <w:tc>
          <w:tcPr>
            <w:tcW w:w="540" w:type="dxa"/>
            <w:vAlign w:val="bottom"/>
            <w:tcBorders>
              <w:bottom w:val="single" w:sz="8" w:color="auto"/>
            </w:tcBorders>
          </w:tcPr>
          <w:p>
            <w:pPr>
              <w:spacing w:after="0"/>
              <w:rPr>
                <w:sz w:val="21"/>
                <w:szCs w:val="2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060" w:type="dxa"/>
            <w:vAlign w:val="bottom"/>
            <w:tcBorders>
              <w:bottom w:val="single" w:sz="8" w:color="CCEEFF"/>
            </w:tcBorders>
            <w:shd w:val="clear" w:color="auto" w:fill="CCEEFF"/>
          </w:tcPr>
          <w:p>
            <w:pPr>
              <w:jc w:val="right"/>
              <w:ind w:right="88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1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0.31</w:t>
            </w: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0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1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0.30</w:t>
            </w: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13, 2020, our Board of Directors formally declared a $0.33 per FNF share cash dividend that is payable on March 31, 2020 to FNF shareholders of record as of March 17, 2020.</w:t>
      </w:r>
    </w:p>
    <w:p>
      <w:pPr>
        <w:spacing w:after="0" w:line="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 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2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2019, $1,868 million of our net assets are restricted from dividend payments without prior approval from the Departments of Insurance in the states where our title insurance subsidiaries are domiciled. During 2020, our directly owned title insurance subsidiaries can pay dividends or make distributions to us of approximately $518 million without prior approval. The limits placed on such subsidiaries’ abilities to pay dividends affect our ability to pay dividends.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17, 2018, our Board of Directors approved a new three-year stock repurchase program effective August 1, 2018 (the "2018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During the year ended December 31, 2019, we repurchased a total of 2,120,000 FNF common shares for an aggregate amount of $85 million or an average of $40.09 per share. Since the original commencement of the 2018 Repurchase Program, we repurchased a total of 2,780,000 FNF common shares for an aggregate amount of $106 million, or an average of $38.24 per share.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repurchases of equity securities by FNF during the year ending December 31, 2019:</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 Yet Be Purchased</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 Programs</w:t>
            </w: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 Programs</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1/1/2019 - 1/31/2019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31.83</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24,280,000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2/1/2019 - 2/28/2019</w:t>
            </w:r>
          </w:p>
        </w:tc>
        <w:tc>
          <w:tcPr>
            <w:tcW w:w="1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34.83</w:t>
            </w:r>
          </w:p>
        </w:tc>
        <w:tc>
          <w:tcPr>
            <w:tcW w:w="100" w:type="dxa"/>
            <w:vAlign w:val="bottom"/>
          </w:tcPr>
          <w:p>
            <w:pPr>
              <w:spacing w:after="0"/>
              <w:rPr>
                <w:sz w:val="21"/>
                <w:szCs w:val="21"/>
                <w:color w:val="auto"/>
              </w:rPr>
            </w:pP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135,000</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24,145,000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3/1/2019 - 3/31/2019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23,830,000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4/1/2019 - 4/30/2019</w:t>
            </w:r>
          </w:p>
        </w:tc>
        <w:tc>
          <w:tcPr>
            <w:tcW w:w="1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90,000</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23,740,000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5/1/2019 - 5/31/2019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39.03</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23,410,000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6/1/2019 - 6/30/2019</w:t>
            </w:r>
          </w:p>
        </w:tc>
        <w:tc>
          <w:tcPr>
            <w:tcW w:w="1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39.95</w:t>
            </w:r>
          </w:p>
        </w:tc>
        <w:tc>
          <w:tcPr>
            <w:tcW w:w="100" w:type="dxa"/>
            <w:vAlign w:val="bottom"/>
          </w:tcPr>
          <w:p>
            <w:pPr>
              <w:spacing w:after="0"/>
              <w:rPr>
                <w:sz w:val="21"/>
                <w:szCs w:val="21"/>
                <w:color w:val="auto"/>
              </w:rPr>
            </w:pP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300,000</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23,110,000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7/1/2019 - 7/31/2019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42.47</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22,930,000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8/1/2019 - 8/31/2019</w:t>
            </w:r>
          </w:p>
        </w:tc>
        <w:tc>
          <w:tcPr>
            <w:tcW w:w="1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21"/>
                <w:szCs w:val="21"/>
                <w:color w:val="auto"/>
              </w:rPr>
            </w:pP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330,000</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22,600,000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9/1/2019 - 9/30/2019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22,300,000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10/1/2019 - 10/31/2019</w:t>
            </w:r>
          </w:p>
        </w:tc>
        <w:tc>
          <w:tcPr>
            <w:tcW w:w="12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60,000</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22,240,000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11/1/2019 - 11/30/2019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20,000</w:t>
            </w:r>
          </w:p>
        </w:tc>
        <w:tc>
          <w:tcPr>
            <w:tcW w:w="2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22,220,000</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12/1/2019 - 12/31/2019</w:t>
            </w:r>
          </w:p>
        </w:tc>
        <w:tc>
          <w:tcPr>
            <w:tcW w:w="12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48"/>
              <w:spacing w:after="0"/>
              <w:rPr>
                <w:sz w:val="20"/>
                <w:szCs w:val="20"/>
                <w:color w:val="auto"/>
              </w:rPr>
            </w:pPr>
            <w:r>
              <w:rPr>
                <w:rFonts w:ascii="Arial" w:cs="Arial" w:eastAsia="Arial" w:hAnsi="Arial"/>
                <w:sz w:val="18"/>
                <w:szCs w:val="18"/>
                <w:color w:val="auto"/>
              </w:rPr>
              <w:t>22,220,000</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2,120,000</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07"/>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17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July 17, 2018, our Board of Directors approved a three-year stock repurchase program effective August 1, 2018. Under the stock repurchase program, we may repurchase up to 25 million shares of our FNF common stock through July 31, 2021.</w:t>
      </w:r>
    </w:p>
    <w:p>
      <w:pPr>
        <w:spacing w:after="0" w:line="35"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Annual Report. Certain reclassifications have been made to the prior year amounts to conform with the 2019 presentation.</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17, 2017 we completed the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results of FNFV are presented as discontinued operations in the following tables.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29, 2017 we completed our tax-free distribution to FNF Group shareholders, of all 83.3 million shares of New BKH Corp. ("New BKH") common stock that we previously owned (the “BK Distribution”). The results of Black Knight are presented as discontinued operations in the following tables.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Prior to November 17, 2017, our common stock was comprised of two tracking stocks, FNF Group common stock and FNFV Group common stock.</w:t>
      </w:r>
    </w:p>
    <w:p>
      <w:pPr>
        <w:spacing w:after="0" w:line="200" w:lineRule="exact"/>
        <w:rPr>
          <w:sz w:val="20"/>
          <w:szCs w:val="20"/>
          <w:color w:val="auto"/>
        </w:rPr>
      </w:pPr>
    </w:p>
    <w:p>
      <w:pPr>
        <w:spacing w:after="0" w:line="217"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ind w:left="220"/>
              <w:spacing w:after="0"/>
              <w:rPr>
                <w:sz w:val="20"/>
                <w:szCs w:val="20"/>
                <w:color w:val="auto"/>
              </w:rPr>
            </w:pPr>
            <w:r>
              <w:rPr>
                <w:rFonts w:ascii="Arial" w:cs="Arial" w:eastAsia="Arial" w:hAnsi="Arial"/>
                <w:sz w:val="14"/>
                <w:szCs w:val="14"/>
                <w:b w:val="1"/>
                <w:bCs w:val="1"/>
                <w:color w:val="auto"/>
              </w:rPr>
              <w:t>(Dollars in millions, except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8,469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7,257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6,664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Earnings before income taxes, equity in earnings of unconsolidated affiliates,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from discontinued operations, net of tax</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Less: net earnings attributable to noncontrolling interests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9"/>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center"/>
              <w:ind w:right="19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Basic net earnings per share attributable to FNF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3.89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2.30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2.40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1.95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Basic net earnings (loss) per share attributable to FNFV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basic basis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277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basic basis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Diluted net earnings per share attributable to FNF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3.83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2.38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2.34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1.89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Diluted net earnings (loss) per share attributable to FNFV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(0.06)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diluted basis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286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diluted basis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Dividends declared per share of FNF Group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1.02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0.80</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Investments (1)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4,384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3,549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3,371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3,782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4,015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1,376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1,257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1,110</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1,049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696</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10,677</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9,301</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9,151</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14,521</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14,043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838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836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759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987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981</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Reserve for title claim losses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1,509</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1,488</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1,490</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1,487</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1,583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NCI</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344</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344</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5,365</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4,628</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4,467</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6,898</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6,588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share FNF Group (3)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18.05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22.81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21.21</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FNFV Group (3)</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15.54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15.05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2,066</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1,818</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1,942</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2,184</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2,092</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1,448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1,315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1,428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1,575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1,472</w:t>
            </w: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7"/>
              </w:rPr>
              <w:t>Provision for title insurance claim losses as a percent of title insurance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premiums (4)</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Title-related revenue (5):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Percentage direct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agency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as of December 31, 2019, 2018, 2017, 2016, and 2015, include securities pledged to secured trust deposits of $422 million, $426 million, $367 million, $544 million, and $608 million, respectively.</w:t>
      </w:r>
    </w:p>
    <w:p>
      <w:pPr>
        <w:spacing w:after="0" w:line="5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and cash equivalents as of December 31, 2019, 2018, 2017, 2016, and 2015 include cash pledged to secured trust deposits of $384 million, $412 million, $475 million, $331 million, and $108 million, respectively.</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effects of the release of $97 million of excess reserves in the quarter ended December 31, 2016.</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right"/>
        <w:ind w:right="7820"/>
        <w:spacing w:after="0"/>
        <w:rPr>
          <w:sz w:val="20"/>
          <w:szCs w:val="20"/>
          <w:color w:val="auto"/>
        </w:rPr>
      </w:pPr>
      <w:r>
        <w:rPr>
          <w:rFonts w:ascii="Arial" w:cs="Arial" w:eastAsia="Arial" w:hAnsi="Arial"/>
          <w:sz w:val="16"/>
          <w:szCs w:val="16"/>
          <w:b w:val="1"/>
          <w:bCs w:val="1"/>
          <w:color w:val="auto"/>
        </w:rPr>
        <w:t>Selected Quarterly Financial Data (Unaudited)</w:t>
      </w:r>
    </w:p>
    <w:p>
      <w:pPr>
        <w:spacing w:after="0" w:line="198" w:lineRule="exact"/>
        <w:rPr>
          <w:sz w:val="20"/>
          <w:szCs w:val="20"/>
          <w:color w:val="auto"/>
        </w:rPr>
      </w:pPr>
    </w:p>
    <w:p>
      <w:pPr>
        <w:jc w:val="right"/>
        <w:ind w:right="7820"/>
        <w:spacing w:after="0"/>
        <w:rPr>
          <w:sz w:val="20"/>
          <w:szCs w:val="20"/>
          <w:color w:val="auto"/>
        </w:rPr>
      </w:pPr>
      <w:r>
        <w:rPr>
          <w:rFonts w:ascii="Arial" w:cs="Arial" w:eastAsia="Arial" w:hAnsi="Arial"/>
          <w:sz w:val="17"/>
          <w:szCs w:val="17"/>
          <w:color w:val="auto"/>
        </w:rPr>
        <w:t>Selected quarterly financial data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(Dollars in millions, except per share data)</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1,722</w:t>
            </w:r>
          </w:p>
        </w:tc>
        <w:tc>
          <w:tcPr>
            <w:tcW w:w="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2,241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 equity in earnings of</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353</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4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FNF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0.74</w:t>
            </w:r>
          </w:p>
        </w:tc>
        <w:tc>
          <w:tcPr>
            <w:tcW w:w="4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per share FNF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 equity in earnings of</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20"/>
                <w:szCs w:val="20"/>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common shareholders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0.36</w:t>
            </w:r>
          </w:p>
        </w:tc>
        <w:tc>
          <w:tcPr>
            <w:tcW w:w="4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 FNF common shareholders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Dividends paid per share FNF common stock</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0.30</w:t>
            </w:r>
          </w:p>
        </w:tc>
        <w:tc>
          <w:tcPr>
            <w:tcW w:w="4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1"/>
                <w:szCs w:val="21"/>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0.30</w:t>
            </w:r>
          </w:p>
        </w:tc>
      </w:tr>
      <w:tr>
        <w:trPr>
          <w:trHeight w:val="459"/>
        </w:trPr>
        <w:tc>
          <w:tcPr>
            <w:tcW w:w="6520" w:type="dxa"/>
            <w:vAlign w:val="bottom"/>
          </w:tcPr>
          <w:p>
            <w:pPr>
              <w:ind w:left="56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Annual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 of Stewart Merger Agreement and Payment of Reverse Termination Fee</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2018, we signed a merger agreement (the "Stewart Merger Agreement") to acquire Stewart Information Services Corporation ("Stewart") (NYSE: STC) (the "Stewart Merger"). On September 9, 2019, we entered into a mutual Termination Agreement with Stewart (the “Termination Agreement”), pursuant to which the parties agreed to terminate the Stewart Merger Agreement, due to the Federal Trade Commission's issuance of an administrative complaint seeking to block the merger. In connection with the termination of the Stewart Merger Agreement, on September 12, 2019, we paid to Stewart the Reverse Termination Fee (as defined in the Stewart Merger Agreement) consisting of $50 million in cash, which is included within other operating expenses in the Consolidated Statements of Earnings.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Acquisition of FGL</w:t>
      </w:r>
    </w:p>
    <w:p>
      <w:pPr>
        <w:spacing w:after="0" w:line="9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7, 2020, we signed a merger agreement (the “Merger Agreement”) to acquire FGL Holdings (“FGL”) (NYSE: FG) (the “FGL Merger”). Subject to the terms and conditions of the Merger Agreement, which has been approved by the board of directors of FNF, at the First Effective Time (as defined in the Merger Agreement), the ordinary shares of FGL (the “Ordinary Shares”), including all restricted Ordinary Shares (whether vested or unvested), issued and outstanding as of immediately prior to the First Effective Time (other than (i) shares owned by FGL and any of its subsidiaries or FNF and any of its subsidiaries and (ii) shares in respect of which dissenters rights have been properly exercised and perfected under Cayman law) will be converted into the right to receive $12.50 in cash or 0.2558 shares (“the Stock Consideration”) of common stock of FNF (“FNF Common Stock”), at the election of the holder thereof and subject to the proration mechanics set forth in the Merger Agreement. Pursuant to the Merger Agreement, all Ordinary Shares held by FNF and its subsidiaries will be converted into the right to receive the Stock Consideration. Each Series B Cumulative Preferred Share, all of which are held by FNF and its subsidiaries, will be converted into the right to receive a number of shares of FNF Common Stock that is equal to (i) the Liquidation Preference (as defined in the Merger Agreement) divided by (ii) the Reference Parent Common Stock Price (as defined in the Merger Agreement).</w:t>
      </w:r>
    </w:p>
    <w:p>
      <w:pPr>
        <w:spacing w:after="0" w:line="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Additionally, all options to purchase Ordinary Shares (“FGL Share Option”) and phantom unit denominated in Ordinary Shares (“FGL Phantom Unit”), in each case, outstanding immediately prior to the First Effective Time, will be canceled and converted into options to purchase FNF Common Stock and phantom units denominated in FNF Common Stock at the First Effective Time (collectively, the “Rollover Awards”), as applicable. The Rollover Awards will generally be subject to the same terms and conditions as applicable to the applicable canceled FGL Share Option or FGL Phantom Unit immediately prior to the First Effective Time, except that (i) all performance-vesting criteria will be deemed satisfied at the First Effective Time at the levels described in the Merger Agreement and such Rollover Awards will be subject only to time-based vesting conditions after the First Effective Time, and (ii) immediately prior to the First Effective Time, additional time-vesting credits will be provided to holders in respect of FGL Share Options and FGL Phantom Units granted prior to January 1, 2020, as described in the Merger Agreement.</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of the transaction is subject to certain closing conditions, including the approval by FGL stockholders, federal and state regulatory approvals, and the satisfaction of other customary closing conditions. Closing is expected in the second or third quarter of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housing inventory and home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7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As of January 17, 2020, the Mortgage Banker's Association ("MBA") estimated the size of the United States ("U.S.") residential mortgage originations market as shown in the following table for 2019 - 2022 in its "Mortgage Finance Forecast" (in trillions, 2018 represents actual originations):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2018, total originations were reflective of a generally improving residential real estate market driven by increasing home prices and low mortgage interest rates. In 2018 average interest rates on 30-year, fixed-rate mortgages in the U.S. rose from approximately 4.0% to 4.9% through October, representing an increase of 22%, before retreating to 4.55% in the last week of December according to mortgage buyer Freddie Mac. As a result of the overall upward trend in rates, refinance transactions slightly decreased in 2018 from the historically high levels experienced in preceding years. Existing home sales also slightly decreased in 2018. In 2019, concerns over a slowing global economy and the impact of a prolonged trade war resulted in additional interest rate cuts in the second half of the year which significantly increased refinance transactions and slightly increased purchase transactions when compared to 2018.</w:t>
      </w:r>
    </w:p>
    <w:p>
      <w:pPr>
        <w:spacing w:after="0" w:line="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second half of 2019, the combination of reduced housing inventory, lower mortgage interest rates and increasing home prices led the MBA to keep purchase transaction forecasts relatively flat for 2020 and beyond. The MBA expects a decrease in refinance transactions in each of the next three years. Mortgage interest rates are generally expected to remain flat in 2020. In a stagnate interest rate environment, refinance transactions are expected to stagnate. The MBA predicts overall residential mortgage originations in 2020 and 2021 will decrease compared to 2019.</w:t>
      </w:r>
    </w:p>
    <w:p>
      <w:pPr>
        <w:spacing w:after="0" w:line="3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Other economic indicators used to measure the health of the U.S. economy, including the unemployment rate and consumer confidence, have continued to indicate the U.S. economy remains on strong footing. According to the U.S. Department of Labor's Bureau of Labor, the unemployment rate was at a historically low 3.5% in December 2019. Additionally, the Conference Board's monthly Consumer Confidence Index has remained at high levels through 2019, despite a slight decrease in the second half of the year. Toward the end of the fiscal year of 2018 and into 2019, there has been increased global economic uncertainty and stock market volatility as a result of, among other things, the ongoing trade war. Such market uncertainty could ultimately impact U.S. real estate markets if they worsen. We believe continued strong readings in domestic U.S. economic indicators present potential tailwinds for mortgage originations, despite growing risks from global economic uncertainties.</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be certain how the positive effects of a generally strong U.S. economy and the negative effects of flat or slightly increasing mortgage interest rates and global economic uncertainty will impact mortgage originations and our future results of operations from our residential business. We continually monitor mortgage origination trends and believe that, based on our ability to produce industry leading operating margins through all economic cycles, we are well positioned to adjust our operations for adverse changes in real estate activity.</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Conversely, long-term gradual increases in the Fed Funds Rate are generally expected to adversely impact availability of financing. In recent years, we have continued to experience strong demand in commercial real estate markets and from 2017 to 2019 experienced historically high volumes and fee-per-file in our commercial business.</w:t>
      </w:r>
    </w:p>
    <w:p>
      <w:pPr>
        <w:spacing w:after="0" w:line="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fluctuations in the real estate industry. The first calendar quarter is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Operations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direct title operations are divided into approximately 180 profit centers. Each profit 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5,300 agents, primarily in those areas in which agents are the more prevalent title insurance provider. Substantially all of our revenues are generated in the United States.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14.2</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New York</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6.3</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51.2</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Arial" w:cs="Arial" w:eastAsia="Arial" w:hAnsi="Arial"/>
          <w:sz w:val="18"/>
          <w:szCs w:val="18"/>
          <w:i w:val="1"/>
          <w:iCs w:val="1"/>
          <w:color w:val="auto"/>
        </w:rPr>
        <w:t>Business and Summary of Significant Accounting Policies</w:t>
      </w:r>
      <w:r>
        <w:rPr>
          <w:rFonts w:ascii="Arial" w:cs="Arial" w:eastAsia="Arial" w:hAnsi="Arial"/>
          <w:sz w:val="18"/>
          <w:szCs w:val="18"/>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Reserve for Title Claim Losses. </w:t>
      </w:r>
      <w:r>
        <w:rPr>
          <w:rFonts w:ascii="Arial" w:cs="Arial" w:eastAsia="Arial" w:hAnsi="Arial"/>
          <w:sz w:val="18"/>
          <w:szCs w:val="18"/>
          <w:color w:val="auto"/>
        </w:rPr>
        <w:t>Title companies issue two types of policies, owner's and lender's policies, since both the new owner and the lender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vMerge w:val="restart"/>
          </w:tcPr>
          <w:p>
            <w:pPr>
              <w:spacing w:after="0"/>
              <w:rPr>
                <w:sz w:val="16"/>
                <w:szCs w:val="16"/>
                <w:color w:val="auto"/>
              </w:rPr>
            </w:pP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4"/>
        </w:trPr>
        <w:tc>
          <w:tcPr>
            <w:tcW w:w="57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5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40"/>
              <w:spacing w:after="0"/>
              <w:rPr>
                <w:sz w:val="20"/>
                <w:szCs w:val="20"/>
                <w:color w:val="auto"/>
              </w:rPr>
            </w:pPr>
            <w:r>
              <w:rPr>
                <w:rFonts w:ascii="Arial" w:cs="Arial" w:eastAsia="Arial" w:hAnsi="Arial"/>
                <w:sz w:val="18"/>
                <w:szCs w:val="18"/>
                <w:color w:val="auto"/>
              </w:rPr>
              <w:t>Known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Total Reserve for Title Claim Losses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difficult because of the complex nature of title claims, the long periods of time over which claims are paid, significantly varying dollar amounts of individual claims and other factors.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 and subtracting actual paid claims, resulting in an amount that management then compares to the range of reasonable estimates provided by the actuarial calculation.</w:t>
      </w:r>
    </w:p>
    <w:p>
      <w:pPr>
        <w:spacing w:after="0" w:line="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recorded our loss provision rate at 4.5% for the year ended December 31, 2019. Our average loss provision rate was 4.5%, 4.5% and 4.9% for the years ended December 31, 2019, 2018 and 2017, respectively. Of such annual loss provision rates, 4.5%, for each of the years ended December 31, 2019, 2018 and 2017, respectively, related to losses on policies written in the current year, and the remainder, if any related to developments on prior year policies. The provision rate in 2019, 2018, and 2017 is supported by significant payment declines for prior policy years, and qualitative factors that would indicate favorable results, including better lender underwriting standards, extension of credit to higher quality borrowers, a high proportion of refinance activity, better claims expense management, better mechanic’s lien underwriting practices, and better fraud awareness by lenders, title insurers and settlement agents. In 2017, adverse development of prior year losses of $19 million or 0.4% of 2017 premium was accounted for in the provision rate.</w:t>
      </w:r>
    </w:p>
    <w:p>
      <w:pPr>
        <w:spacing w:after="0" w:line="5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200" w:lineRule="exact"/>
        <w:rPr>
          <w:sz w:val="20"/>
          <w:szCs w:val="20"/>
          <w:color w:val="auto"/>
        </w:rPr>
      </w:pPr>
    </w:p>
    <w:p>
      <w:pPr>
        <w:spacing w:after="0" w:line="3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196"/>
        </w:trPr>
        <w:tc>
          <w:tcPr>
            <w:tcW w:w="48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loss provision related to:</w:t>
            </w: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219</w:t>
            </w:r>
          </w:p>
        </w:tc>
      </w:tr>
      <w:tr>
        <w:trPr>
          <w:trHeight w:val="27"/>
        </w:trPr>
        <w:tc>
          <w:tcPr>
            <w:tcW w:w="4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2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37"/>
        </w:trPr>
        <w:tc>
          <w:tcPr>
            <w:tcW w:w="4800" w:type="dxa"/>
            <w:vAlign w:val="bottom"/>
          </w:tcPr>
          <w:p>
            <w:pPr>
              <w:ind w:left="500"/>
              <w:spacing w:after="0"/>
              <w:rPr>
                <w:sz w:val="20"/>
                <w:szCs w:val="20"/>
                <w:color w:val="auto"/>
              </w:rPr>
            </w:pPr>
            <w:r>
              <w:rPr>
                <w:rFonts w:ascii="Arial" w:cs="Arial" w:eastAsia="Arial" w:hAnsi="Arial"/>
                <w:sz w:val="18"/>
                <w:szCs w:val="18"/>
                <w:color w:val="auto"/>
              </w:rPr>
              <w:t>Total title claim loss provision</w:t>
            </w:r>
          </w:p>
        </w:tc>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48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2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29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7"/>
        </w:trPr>
        <w:tc>
          <w:tcPr>
            <w:tcW w:w="480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29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48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1,490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3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4,911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4,893</w:t>
            </w:r>
          </w:p>
        </w:tc>
      </w:tr>
      <w:tr>
        <w:trPr>
          <w:trHeight w:val="675"/>
        </w:trPr>
        <w:tc>
          <w:tcPr>
            <w:tcW w:w="4800" w:type="dxa"/>
            <w:vAlign w:val="bottom"/>
          </w:tcPr>
          <w:p>
            <w:pPr>
              <w:spacing w:after="0"/>
              <w:rPr>
                <w:sz w:val="24"/>
                <w:szCs w:val="24"/>
                <w:color w:val="auto"/>
              </w:rPr>
            </w:pPr>
          </w:p>
        </w:tc>
        <w:tc>
          <w:tcPr>
            <w:tcW w:w="2980" w:type="dxa"/>
            <w:vAlign w:val="bottom"/>
          </w:tcPr>
          <w:p>
            <w:pPr>
              <w:jc w:val="right"/>
              <w:ind w:right="189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4.5%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2"/>
              </w:rPr>
              <w:t>4.5%</w:t>
            </w:r>
          </w:p>
        </w:tc>
        <w:tc>
          <w:tcPr>
            <w:tcW w:w="12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97"/>
              </w:rPr>
              <w:t>4.5%</w:t>
            </w:r>
          </w:p>
        </w:tc>
      </w:tr>
      <w:tr>
        <w:trPr>
          <w:trHeight w:val="27"/>
        </w:trPr>
        <w:tc>
          <w:tcPr>
            <w:tcW w:w="7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7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0.4</w:t>
            </w:r>
          </w:p>
        </w:tc>
      </w:tr>
      <w:tr>
        <w:trPr>
          <w:trHeight w:val="257"/>
        </w:trPr>
        <w:tc>
          <w:tcPr>
            <w:tcW w:w="7600" w:type="dxa"/>
            <w:vAlign w:val="bottom"/>
          </w:tcPr>
          <w:p>
            <w:pPr>
              <w:ind w:left="500"/>
              <w:spacing w:after="0"/>
              <w:rPr>
                <w:sz w:val="20"/>
                <w:szCs w:val="20"/>
                <w:color w:val="auto"/>
              </w:rPr>
            </w:pPr>
            <w:r>
              <w:rPr>
                <w:rFonts w:ascii="Arial" w:cs="Arial" w:eastAsia="Arial" w:hAnsi="Arial"/>
                <w:sz w:val="18"/>
                <w:szCs w:val="18"/>
                <w:color w:val="auto"/>
              </w:rPr>
              <w:t>Total provision</w:t>
            </w:r>
          </w:p>
        </w:tc>
        <w:tc>
          <w:tcPr>
            <w:tcW w:w="7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4.5%</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7"/>
              </w:rPr>
              <w:t>4.9%</w:t>
            </w:r>
          </w:p>
        </w:tc>
      </w:tr>
      <w:tr>
        <w:trPr>
          <w:trHeight w:val="20"/>
        </w:trPr>
        <w:tc>
          <w:tcPr>
            <w:tcW w:w="7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consist of loss payments and claims management expenses offset by recoupments and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Claims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Payments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Management</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Recoupments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and 2018, our recorded reserves were $1,509 million and $1,488 million, respectively, which we determined were reasonable and represented our best estimate and these recorded amounts were within a reasonable range of the central estimates provided by our actuaries. Our recorded reserves were $34 million above the mid-point of the provided range of $1.3 billion to $1.7 billion of our actuarial estimates as of December 31, 2019. Our recorded reserves were $44 million above the mid-point of the provided range of our actuarial estimates of $1.3 billion to $1.6 billion as of December 31, 2018.</w:t>
      </w:r>
    </w:p>
    <w:p>
      <w:pPr>
        <w:spacing w:after="0" w:line="5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2019, 2018, and 2017, payment patterns were consistent with our actuaries' and management's expectations. Also, compared to prior years we have seen a leveling off of the ultimate loss ratios in more mature policy years, particularly 2005-2008. While we still see claims opened on these policy years, the proportion of our claims inventory represented by these policy years has continued to decrease. Additionally, we continued to see positive development relating to the 2009 through 2019 policy years, which we believe is indicative of more stringent underwriting standards by us and the lending industry. Further,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lender's policy claim paid relating to a property that is in foreclosure negates any potential loss under an owner's policy previously issued on the property as the owner has no equity in the property. Our ending open claim inventory decreased from approximately 12,800 claims at December 31, 2018 to approximately 11,800 claims at December 31, 2019.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approximate $53 million increase (decrease) in our annualized provision for title claim losses would occur if our loss provision rate were 1% higher (lower), based on 2019 title premiums of $5,342 million. A 10% increase (decrease) in our reserve for title claim losses, as of December 31, 2019, would result in an increase (decrease) in our provision for title claim losses of approximately $151 million.</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Investments in fixed maturity, equity, and preferred securities are recorded on the balance sheet at fair value. We regularly</w:t>
      </w:r>
      <w:r>
        <w:rPr>
          <w:rFonts w:ascii="Arial" w:cs="Arial" w:eastAsia="Arial" w:hAnsi="Arial"/>
          <w:sz w:val="16"/>
          <w:szCs w:val="16"/>
          <w:i w:val="1"/>
          <w:iCs w:val="1"/>
          <w:color w:val="auto"/>
        </w:rPr>
        <w:t xml:space="preserve"> </w:t>
      </w:r>
      <w:r>
        <w:rPr>
          <w:rFonts w:ascii="Arial" w:cs="Arial" w:eastAsia="Arial" w:hAnsi="Arial"/>
          <w:sz w:val="16"/>
          <w:szCs w:val="16"/>
          <w:color w:val="auto"/>
        </w:rPr>
        <w:t>review our fixed maturity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fixed maturity instruments that are susceptible to credit related declines are evaluated based on the aforementioned factors. Currently available market data is considered and estimates are made as to the duration and prospects for recovery, and the intent or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Realized gains and losses on the sale of investments are determined on the basis of the cost of the specific investments sold and are credited or charged to income on a trade date basis. Beginning January 1, 2018, unrealized gains or losses on equity and preferred securities are included in earnings. Unrealized gains or losses on fixed maturity securities (and equity and preferred securities prior to January 1, 2018)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on fixed maturity securities are considered other-than-temporary if factors exist that cause us to believe that the value will not increase to a level sufficient to recover our cost basis.</w:t>
      </w:r>
    </w:p>
    <w:p>
      <w:pPr>
        <w:spacing w:after="0" w:line="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16"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1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2019 and 2018,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Preferred securities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securities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preferred securities and fixed-maturity securities available for sale are provided by a third-party pricing service. We utilize one firm for our preferred security and our bond portfolios. The pricing service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When available and for certain investments, we independently compare the resulting prices to other publicly available measures of fair value and internally developed models. The pricing methodologies used by the relevant third party pricing services are as follows:</w:t>
      </w:r>
    </w:p>
    <w:p>
      <w:pPr>
        <w:spacing w:after="0" w:line="44"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conjunction with our adoption of ASU No. 2016-01, beginning January 1, 2018, we began recording certain preferred equity investments in other long term investments at fair value which were previously accounted for as cost method investments.</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December 31, 2019 was a range of 6.8% - 7.4% and a weighted-average of 7.0%. Based on the total fair value of our Level 3 other long-term investment as of December 31, 2019, changes in the discount rate utilized will not result in a fair value significantly different than the amount recorded.</w:t>
      </w:r>
    </w:p>
    <w:p>
      <w:pPr>
        <w:spacing w:after="0" w:line="32"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twelve months ended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Other long-term</w:t>
            </w:r>
          </w:p>
        </w:tc>
        <w:tc>
          <w:tcPr>
            <w:tcW w:w="28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Corporate debt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securities</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securities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940" w:type="dxa"/>
            <w:vAlign w:val="bottom"/>
          </w:tcPr>
          <w:p>
            <w:pPr>
              <w:ind w:left="20"/>
              <w:spacing w:after="0"/>
              <w:rPr>
                <w:sz w:val="20"/>
                <w:szCs w:val="20"/>
                <w:color w:val="auto"/>
              </w:rPr>
            </w:pPr>
            <w:r>
              <w:rPr>
                <w:rFonts w:ascii="Arial" w:cs="Arial" w:eastAsia="Arial" w:hAnsi="Arial"/>
                <w:sz w:val="18"/>
                <w:szCs w:val="18"/>
                <w:color w:val="auto"/>
              </w:rPr>
              <w:t>Fair value,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Fair value of assets associated with the adoption of ASU 2016-01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Transfers from Level 2</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Paid-in-kind dividends (2)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change in fair value included in earnings (3)</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940" w:type="dxa"/>
            <w:vAlign w:val="bottom"/>
          </w:tcPr>
          <w:p>
            <w:pPr>
              <w:ind w:left="160"/>
              <w:spacing w:after="0"/>
              <w:rPr>
                <w:sz w:val="20"/>
                <w:szCs w:val="20"/>
                <w:color w:val="auto"/>
              </w:rPr>
            </w:pPr>
            <w:r>
              <w:rPr>
                <w:rFonts w:ascii="Arial" w:cs="Arial" w:eastAsia="Arial" w:hAnsi="Arial"/>
                <w:sz w:val="18"/>
                <w:szCs w:val="18"/>
                <w:color w:val="auto"/>
              </w:rPr>
              <w:t>Net unrealized loss included in other comprehensive (loss)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tcPr>
          <w:p>
            <w:pPr>
              <w:ind w:left="160"/>
              <w:spacing w:after="0"/>
              <w:rPr>
                <w:sz w:val="20"/>
                <w:szCs w:val="20"/>
                <w:color w:val="auto"/>
              </w:rPr>
            </w:pPr>
            <w:r>
              <w:rPr>
                <w:rFonts w:ascii="Arial" w:cs="Arial" w:eastAsia="Arial" w:hAnsi="Arial"/>
                <w:sz w:val="18"/>
                <w:szCs w:val="18"/>
                <w:color w:val="auto"/>
              </w:rPr>
              <w:t>Transfers to Level 2</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Paid-in-kind dividends (2)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4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change in fair value included in earnings (3)</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18"/>
                <w:szCs w:val="18"/>
                <w:color w:val="auto"/>
              </w:rPr>
              <w:t>Fair value,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220"/>
              <w:spacing w:after="0"/>
              <w:rPr>
                <w:sz w:val="20"/>
                <w:szCs w:val="20"/>
                <w:color w:val="auto"/>
              </w:rPr>
            </w:pPr>
            <w:r>
              <w:rPr>
                <w:rFonts w:ascii="Arial" w:cs="Arial" w:eastAsia="Arial" w:hAnsi="Arial"/>
                <w:sz w:val="18"/>
                <w:szCs w:val="18"/>
                <w:color w:val="auto"/>
              </w:rPr>
              <w:t>___________________________________________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See Note S.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for further discussion.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Consolidated Statements of Earnings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Realized gains and losses, net on the Consolidated Statements of Earnings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For the year ended December 31, 2019, transfers between Level 2 and Level 3 are not considered material to the Company's financial position or results of operations. For the year ended December 31,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 The Company’s policy is to recognize transfers between levels in the fair value hierarchy at the end of the reporting period.</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During the years ended December 31, 2019, 2018 and 2017, we incurred impairment charges relating to investments that were determined to be other-than-temporarily impaired of $8 million, $3 million, and $1 million, respectively. Refer to Note D.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to our Consolidated Financial Statements included in Item 8 of Part II of this Annual Report for further discussion.</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have made acquisitions that have resulted in a significant amount of goodwill. As of December 31, 2019 and 2018, goodwill was $2,727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and $2,726 million, respectively. The majority of our goodwill as of December 31, 2019 relates to goodwill recorded in connection with the Chicago Title merger in 2000 and our acquisition of ServiceLink in 2014. Refer to Note F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to our Consolidated Financial Statements included in Item 8 of Part II of this Annual Report for a summary of recent changes in our Goodwill balance.</w:t>
      </w:r>
    </w:p>
    <w:p>
      <w:pPr>
        <w:spacing w:after="0" w:line="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evaluating the recoverability of goodwill, we perform a qualitative analysis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As a result of our analysis, $3 million of goodwill impairment related to a real estate brokerage subsidiary in our Corporate and other segment was recorded in the year ended December 31, 2018 . For the years ended December 31, 2019 and 2017, we determined there were no events or circumstances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indicated that the carrying value exceeded the fair value. As of December 31, 2019, we have determined that our title segment goodwill has a fair value which substantially exceeds its carrying value.</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Other Intangible Assets. </w:t>
      </w:r>
      <w:r>
        <w:rPr>
          <w:rFonts w:ascii="Arial" w:cs="Arial" w:eastAsia="Arial" w:hAnsi="Arial"/>
          <w:sz w:val="17"/>
          <w:szCs w:val="17"/>
          <w:color w:val="auto"/>
        </w:rPr>
        <w:t>We have other intangible assets, not including goodwill, which consist primarily of customer relationships and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and tradenames,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Contractual relationships are generally amortized over their contractual life. Trademarks and tradenames are generally amortized over ten years. 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recorded no impairment expense to other intangible assets during the year ended December 31, 2019. We recorded $3 million and $1 million in impairment expense to other intangible assets during the years ended December 31, 2018 and 2017, respectively. The impairment in 2018 primarily relates to an acquired customer relationship asset in our Title segment. The impairment in 2017 was for computer software at ServiceLink.</w:t>
      </w:r>
    </w:p>
    <w:p>
      <w:pPr>
        <w:spacing w:after="0" w:line="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the consolidated financial statements, we are required to determine income taxes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34" w:lineRule="exact"/>
        <w:rPr>
          <w:sz w:val="20"/>
          <w:szCs w:val="20"/>
          <w:color w:val="auto"/>
        </w:rPr>
      </w:pPr>
    </w:p>
    <w:p>
      <w:pPr>
        <w:ind w:right="2080" w:firstLine="324"/>
        <w:spacing w:after="0" w:line="344" w:lineRule="auto"/>
        <w:rPr>
          <w:sz w:val="20"/>
          <w:szCs w:val="20"/>
          <w:color w:val="auto"/>
        </w:rPr>
      </w:pPr>
      <w:r>
        <w:rPr>
          <w:rFonts w:ascii="Arial" w:cs="Arial" w:eastAsia="Arial" w:hAnsi="Arial"/>
          <w:sz w:val="18"/>
          <w:szCs w:val="18"/>
          <w:color w:val="auto"/>
        </w:rPr>
        <w:t xml:space="preserve">Refer to Note K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 Item 8 of Part II of this Annual Report for details. </w:t>
      </w:r>
      <w:r>
        <w:rPr>
          <w:rFonts w:ascii="Arial" w:cs="Arial" w:eastAsia="Arial" w:hAnsi="Arial"/>
          <w:sz w:val="18"/>
          <w:szCs w:val="18"/>
          <w:b w:val="1"/>
          <w:bCs w:val="1"/>
          <w:color w:val="auto"/>
        </w:rPr>
        <w:t>Certain Factors Affecting Comparability</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Year ended December 31, 2017. </w:t>
      </w:r>
      <w:r>
        <w:rPr>
          <w:rFonts w:ascii="Arial" w:cs="Arial" w:eastAsia="Arial" w:hAnsi="Arial"/>
          <w:sz w:val="18"/>
          <w:szCs w:val="18"/>
          <w:color w:val="auto"/>
        </w:rPr>
        <w:t>As a result of the BK Distribution and the FNFV Split-Off, we have reclassified the results of operations of Black Knight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FNFV to discontinued operations for all periods presented. Refer to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Consolidated Financial Statements in Item 8 of Part II of this Annual Report, which is incorporated by reference into this Item 7 of Part II of this Annual Report for further information on the results of operations of Black Knight and FNFV.</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2,381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2,170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2,089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6,799</w:t>
            </w:r>
          </w:p>
        </w:tc>
      </w:tr>
      <w:tr>
        <w:trPr>
          <w:trHeight w:val="209"/>
        </w:trPr>
        <w:tc>
          <w:tcPr>
            <w:tcW w:w="7780" w:type="dxa"/>
            <w:vAlign w:val="bottom"/>
          </w:tcPr>
          <w:p>
            <w:pPr>
              <w:ind w:left="40"/>
              <w:spacing w:after="0"/>
              <w:rPr>
                <w:sz w:val="20"/>
                <w:szCs w:val="20"/>
                <w:color w:val="auto"/>
              </w:rPr>
            </w:pPr>
            <w:r>
              <w:rPr>
                <w:rFonts w:ascii="Arial" w:cs="Arial" w:eastAsia="Arial" w:hAnsi="Arial"/>
                <w:sz w:val="18"/>
                <w:szCs w:val="18"/>
                <w:color w:val="auto"/>
                <w:w w:val="98"/>
              </w:rPr>
              <w:t>Earnings from continuing operations before income taxes and equity in earnings of unconsolidated</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864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on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Total revenue in 2019 increased $875 million compared to 2018, primarily attributable to increases in both our direct and agency premiums, increases in interest and investment income, and non-cash valuation gains on our equity and preferred investment holdings, partially offset by a decrease in escrow, title-related and other fees. Total revenue in 2018 decreased $69 million compared to 2017, primarily due to a decrease in agent remittances and non-cash valuation losses on our equity and preferred investment holdings, partially offset by an increase in interest income and direct title premiums.</w:t>
      </w:r>
    </w:p>
    <w:p>
      <w:pPr>
        <w:spacing w:after="0" w:line="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Note T.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our Consolidated Financial Statements included in Item 8 of Part II of this Annual Report for a breakout of our consolidated revenues.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earnings from continuing operations increased $441 million in the year ended December 31, 2019, compared to 2018 and decreased $4 million in the year ended December 31, 2018, compared to 2017.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is discussed in further detail at the segment level below.</w:t>
      </w:r>
    </w:p>
    <w:p>
      <w:pPr>
        <w:spacing w:after="0" w:line="9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was $225 million, $177 million, and $131 million for the years ended December 31, 2019, 2018, and 2017, respectively. The increase in 2019 as compared to 2018 is primarily attributable to increased fixed maturity interest income due to an increased average fixed maturity portfolio balance, increased interest income from our tax-deferred property exchange business, and increased interest income from a higher average balance of cash and cash equivalents and short term investments portfolio balance compared to the prior year, partially offset by lower investment yields as a result of declining interest rates year-over-year. The increase in 2018 as compared to 2017 is primarily attributable to increased interest income in our tax-deferred property exchange business and increased yield on our cash and cash equivalents and short term investments. The effective return on average invested assets, excluding realized gains and losses, was 5.5%, 5.1%, and 4.2% for the years ended December 31, 2019, 2018, and 2017, respectively.</w:t>
      </w:r>
    </w:p>
    <w:p>
      <w:pPr>
        <w:spacing w:after="0" w:line="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realized gains (losses) totaled $318 million, $(109) million, and $2 million for the years ended December 31, 2019, 2018, and 2017, respectively. Net realized gains for the year ended December 31, 2019 are primarily attributable to non-cash valuation gains on equity and preferred security holdings of $316 million, non-cash valuation gains on other long-term investments of $11 million, gains on sales of equity securities of $10 million, partially offset by impairments of lease assets of $8 million, net realized</w:t>
      </w:r>
    </w:p>
    <w:p>
      <w:pPr>
        <w:sectPr>
          <w:pgSz w:w="11900" w:h="16838" w:orient="portrait"/>
          <w:cols w:equalWidth="0" w:num="1">
            <w:col w:w="11420"/>
          </w:cols>
          <w:pgMar w:left="240" w:top="125"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losses of $5 million on sales and maturities of fixed maturity investment securities, and $7 million of other net realized losses. Net realized losses for the year ended December 31, 2018 are primarily attributable to non-cash valuation losses on equity and preferred security holdings of $95 million, losses on sales of equity securities of $21 million, and asset impairments of $7 million, partially offset by net realized gains of $3 million on sales and maturities of preferred and fixed maturity investment securities and $9 million of other realized gains. The net realized gains for the year ended December 31, 2017 includes a gain of $9 million on the sale of an other long term investment and a gain of $2 million related to the sale of fixed assets, offset by losses of $6 million on redemptions of convertible debt, net losses on sales and impairment of available for sale investments of $1 million, and $2 million of other miscellaneous losses.</w:t>
      </w:r>
    </w:p>
    <w:p>
      <w:pPr>
        <w:spacing w:after="0" w:line="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See Note D.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to our Consolidated Financial Statements included in Item 8 of Part II of this Annual Report for a breakout of our consolidated interest and investment income and realized gains and losses.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operating expenses is discussed in further detail at the segment level below.</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Income tax expense was $308 million, $120 million, and $235 million for the years ended December 31, 2019, 2018, and 2017, respectively. Income tax expense as a percentage of earnings from continuing operations before income taxes for the years ended December 31, 2019, 2018, and 2017 was 22.5%, 16.0%, and 27.2%, respectively. Income tax expense as a percentage of earnings before income taxes fluctuates depending on our estimate of ultimate income tax liability and changes in the characteristics of net earnings, such as the weighting of operating income versus investment income. 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The increase in the effective rate in 2019 compared to 2018 is primarily attributable to the residual impacts of the Tax Reform Act in 2018. The decrease in the effective tax rate in 2018 compared to 2017 period is primarily attributable to the decreased federal tax rate associated with the passage of the Tax Reform Act and a $45 million decrease in tax expense in 2018 regarding the timing of payments for, and tax rate applicable to, our tax liability resulting from the decrease in our statutory premium reserves associated with the redomestication of certain of our title insurance underwriters in 2017. See Note K.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 our Consolidated Financial Statements included in Item 8 of Part II of this Annual Report for a breakout of our income tax expense, deferred tax assets and liabilities, and effective tax rate.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our Title segment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2,170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2,181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7,211</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6,256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 (in 000's)</w:t>
            </w: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1,942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1,428</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Total revenues in 2019 increased $1,084 million or 15% compared to 2018. Total revenues in 2018 decreased $36 million or less than 1% compared to 2017. The increase in the year ended December 31, 2019 is primarily attributable to increases in both our direct and agency premiums, increases in escrow, title-related and other fees, increases in interest and investment income, and non-cash valuation gains on our equity and preferred investment holdings. The decrease in the year ended December 31, 2018 is primarily attributable to a decrease in agency remittances and non-cash valuation losses on our equity and preferred investment holdings, partially offset by an increase in investment income and direct title premiums.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3"/>
              </w:rPr>
              <w:t>2,221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w w:val="93"/>
              </w:rPr>
              <w:t>2,690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2,723</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55.7</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4,911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increased 9% in the year ended December 31, 2019 as compared to 2018. The increase was a result of an increase in premiums from direct operations of $160 million, or 7%, and an increase in premiums from agency operations of $271 million, or 10%. Title premiums increased less than 1% in the year ended December 31, 2018 as compared to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0" w:right="40" w:firstLine="243"/>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6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23495</wp:posOffset>
            </wp:positionV>
            <wp:extent cx="24269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526"/>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w w:val="92"/>
              </w:rPr>
              <w:t>(1)  Percentages exclude consideration of an immaterial number of non-purchase and non-refinance orders.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premiums from direct operations increased in 2019, primarily due to an increase in closed order volumes, partially offset by a decrease in the average fee per file. Closed order volumes were 1,448,000 in the year ended December 31, 2019 compared with 1,315,000 in the year ended December 31, 2018. This represented an increase of 10.1%. The increase in closed order volumes was primarily attributable to increased residential refinance activity as a result of lower mortgage interest rates in the year ended December 31, 2019 compared to 2018.</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average fee per file in our direct operations was $2,511 and $2,585 in the years ended December 31, 2019 and 2018, respectively. The decrease in average fee per file year over year reflects the increase in residential refinance activity, partially offset by an increase in the average fee per file in both commercial and residential purchase transactions. The residential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Title premiums from agency operations increased $271 million, or 10%, in the year ended December 31, 2019 as compared to 2018 and decreased $33 million, or 1%, in the year ended December 31, 2018 as compared to 2017. The increase in 2019 as compared to 2018 reflects an improving residential purchase environment in many markets throughout the country and a concerted effort by management to increase remittances with existing agents as well as cultivate new relationships with potential new agents. In addition, lower mortgage rates have resulted in increased refinance business with agents. The decrease in 2018 as compared to 2017 reflects a decrease of $51 million related to adjustments to our accrued agent premiums receivable, partially offset by an increase in remittances.</w:t>
      </w:r>
    </w:p>
    <w:p>
      <w:pPr>
        <w:spacing w:after="0" w:line="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Escrow, title-related and other fees increased by $185 million, or 8%, in the year ended December 31, 2019 from 2018. Escrow fees, which are more directly related to our direct operations, increased $72 million, or 9%, in the year ended December 31, 2019 compared to 2018. The increase is primarily driven by the related increase in direct title premiums. Other fees in the Title segment, excluding escrow fees, increased $113 million, or 8%, in the year ended December 31, 2019 compared to 2018. The change in both escrow fees and other fees is directionally consistent with the change in title premiums from direct operations. Escrow, title related and other fees increased by $23 million, or 1%, in the year ended December 31, 2018 from 2017. Escrow fees increased $6 million, or less than 1%, in the year ended December 31, 2018 compared to 2017. The increase is primarily driven by the related increase in direct title premiums. Other fees in the Title segment, excluding escrow fees, increased $17 million, or 1%, in the year ended December 31, 2018 compared to 2017. The change in both escrow fees and other fees is directionally consistent with the change in title premiums from direct operations.</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$32 million in the year ended December 31, 2019 compared to 2018 and increased $39 million in the year ended December 31, 2018 compared to 2017. The increase in 2019 was primarily attributable to increased fixed maturity interest income due to an increased average fixed maturity portfolio balance, increased interest income from our tax-deferred property exchange business, and increased yield on our cash and cash equivalents and short term investments.The increase in 2018 was primarily attributable to increased interest income in our tax-deferred property exchange business.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 $118 million, or 5% increase in the year ended December 31, 2019 compared to 2018 is directionally consistent with and primarily attributable to the increase in revenue. The $78 million, or 3%, increase in the year ended December 31, 2018 compared to 2017 is directionally consistent with and primarily attributable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the increase in revenue. Personnel costs as a percentage of total revenues from direct title premiums and escrow, title-related and other fees was 54% and 55% for years ended December 31, 2019 and 2018, respectively. Average employee count in the Title segment was 23,484 and 23,165 in the years ended December 31, 2019 and 2018, respectively.</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increased $88 million, or 6%, in the year ended December 31, 2019 compared to 2018. Other operating expenses as a percentage of total revenue excluding agency premiums, interest and investment income, and realized gains and losses remained flat in the year ended December 31, 2019 compared to 2018. Other operating expenses increased $17 million, or 1% in the year ended December 31, 2018 compared to 2017. Other operating expenses as a percentage of total revenue excluding agency premiums, interest and investment income, and realized gains and losses was 32% in the years ended December 31, 2019, 2018, and 2017.</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2017</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76.7</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margin from agency title insurance premiums retained as a percentage of total agency premiums in the year ended December 31, 2019 increased due to increased refinance activity when compared to the 2018 and 2017 periods.</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October 1, 2017, we revised our loss provision rate to 4.5% from 5%. The revision was attributable to favorable development on more recent policy year claims. No revisions were made to our loss provision in the years ended December 31, 2019 or 2018.</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claim loss provision for title insurance was $240 million, $221 million, and $238 million for the years ended December 31, 2019, 2018, and 2017, respectively. These amounts reflected average claim loss provision rates of 4.5% for 2019, 4.5% for 2018, and 4.9% for 2017. We will continue to monitor and evaluate our loss provision level, actual claims paid, and the loss reserve position each quarter.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our Corporate and Other segment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196"/>
        </w:trPr>
        <w:tc>
          <w:tcPr>
            <w:tcW w:w="7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720" w:type="dxa"/>
            <w:vAlign w:val="bottom"/>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195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456</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7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7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377</w:t>
            </w:r>
          </w:p>
        </w:tc>
      </w:tr>
      <w:tr>
        <w:trPr>
          <w:trHeight w:val="27"/>
        </w:trPr>
        <w:tc>
          <w:tcPr>
            <w:tcW w:w="7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77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720" w:type="dxa"/>
            <w:vAlign w:val="bottom"/>
            <w:tcBorders>
              <w:top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77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Total revenue in our Corporate and Other segment decreased $209 million, or 50%, in the year ended December 31, 2019 compared to 2018 and decreased $33 million, or 7%, in the year ended December 31, 2018 compared to 2017. The decrease in 2019 is primarily attributable to the sale of Pacific Union in the third quarter of 2018, partially offset by increased revenue associated with the valuation of deferred compensation assets. The decrease in 2018 is primarily attributable to a decrease of $74 million associated with lower real estate brokerage revenue resulting from the sale of Pacific Union, partially offset by growth and acquisitions in our real estate technology businesses resulting in increased revenue of $31 million in 2018 and increased interest income on corporate cash holdings of $7 million in 2018.</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Personnel costs increased $40 million, or 43%, in the year ended December 31, 2019 compared to 2018 and remained flat in the year ended December 31, 2018 compared to 2017. The increase in 2019 is primarily attributable to increased valuation of deferred compensation plan assets, increased costs resulting from growth of our real estate technology subsidiaries, and increased severance expense related to the departure of certain executives. In 2018 there were increased personnel costs related to acquisitions when compared 2017; however, these increased personnel costs were offset by the Pacific Union sale.</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Other operating expenses decreased $208 million, or 55% in the year ended December 31, 2019 from 2018 and increased $3 million, or 1%, in the year ended December 31, 2018 from 2017. The decrease in 2019 from 2018 is primarily attributable to the Pacific Union sale, which is partially offset by the Reverse Termination Fee of $50 million paid to Stewart on September 12, 2019. The increase in 2018 from 2017 is primarily attributable to an increase of $13 million attributable to growth in our real estate technology subsidiaries in 2018 and the inclusion of $33 million of expense eliminations (reduction to expense) in 2017 related to elimination of expense with Black Knight, partially offset by decreased expense in 2018 resulting from the Pacific Union sale.</w:t>
      </w:r>
    </w:p>
    <w:p>
      <w:pPr>
        <w:spacing w:after="0" w:line="5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Interest expense increased $4 million, or 9%, in the year ended December 31, 2019 compared to 2018 and decreased $5 million, or 10%, in the year ended December 31, 2018 compared to 2017. The increase in 2019 is primarily attributable to interest associated with our 4.50% Notes issued in August 2018. The decrease in 2018 compared to 2017 is primarily attributable to the final settlement of our convertible Notes in August 2018 and 6.6% Senior Notes in the 2017 period, partially offset by interest associated with our 4.50% Notes issued in August 2018. See Note J </w:t>
      </w:r>
      <w:r>
        <w:rPr>
          <w:rFonts w:ascii="Arial" w:cs="Arial" w:eastAsia="Arial" w:hAnsi="Arial"/>
          <w:sz w:val="17"/>
          <w:szCs w:val="17"/>
          <w:i w:val="1"/>
          <w:iCs w:val="1"/>
          <w:color w:val="auto"/>
        </w:rPr>
        <w:t>Notes Payable</w:t>
      </w:r>
      <w:r>
        <w:rPr>
          <w:rFonts w:ascii="Arial" w:cs="Arial" w:eastAsia="Arial" w:hAnsi="Arial"/>
          <w:sz w:val="17"/>
          <w:szCs w:val="17"/>
          <w:color w:val="auto"/>
        </w:rPr>
        <w:t xml:space="preserve"> to our Consolidated Financial Statements included in Item 8 of Part II of this Annual Report for further discussion of our outstanding debt.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a result of the FNFV Split-off and BK Distribution, the results of operations of FNFV and Black Knight are included in discontinued operations. Earnings from discontinued operations, net of tax, were $155 million in the year ended December 31, 2017. Refer to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Consolidated Financial Statements in Item 8 of Part II of this Annual Report for further information, including a breakout of the results of operations of both FNFV and Black Knight.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on our debt, including any premiums thereon, if any; capital expenditures; business acquisitions; stock repurchases and dividends on our common stock. We paid dividends of $1.26 per share during 2019, or approximately $344 million. On February 13, 2020, our Board of Directors formally declared a $0.33 per share cash dividend that is payable on March 31, 2020 to FNF shareholders of record as of March 17, 2020. There are no restrictions on our retained earnings regarding our ability to pay dividends to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t>
      </w:r>
    </w:p>
    <w:p>
      <w:pPr>
        <w:spacing w:after="0" w:line="1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2019, we had cash and cash equivalents of $1,376 million, short term investments of $876 million and available capacity under our Revolving Credit Facility of $800 million. 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24"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11"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2019, $1,868 million of our net assets were restricted from dividend payments without prior approval from the relevant departments of insurance. During 2020, our title insurance subsidiaries can pay or make distributions to us of approximately $518 million. Our underwritten title companies and non-title insurance subsidiaries collect revenue and pay operating expenses. However, they are not regulated to the same extent as our insurance subsidiaries.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operations is expected to be used for general corporate purposes including to reinvest in operations, repay debt, pay dividends, repurchase stock, other strategic initiatives or conserving cash.</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Operating Cash Flow</w:t>
      </w:r>
      <w:r>
        <w:rPr>
          <w:rFonts w:ascii="Arial" w:cs="Arial" w:eastAsia="Arial" w:hAnsi="Arial"/>
          <w:sz w:val="16"/>
          <w:szCs w:val="16"/>
          <w:color w:val="auto"/>
        </w:rPr>
        <w:t>. Our cash flows provided by operations for the years ended December 31, 2019, 2018, and 2017 were $1,121 million, $943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$737 million, respectively, inclusive of discontinued operations. Operating cash flows from discontinued operations for the year ended December 31, 2017 was $106 million. The increase in cash provided by operations of $178 million in the 2019 period from the 2018 period is primarily attributable to the increase in pre-tax earnings and the timing of receipts and payments of payables, partially offset by the timing of receipts and payments of prepaid assets, receivables and income taxes. Included in net earnings in the 2019 period is our payment to Stewart of the Reverse Termination Fee of $50 million. The increase in cash provided by operations of $206 million in the 2018 period from the 2017 period is primarily attributable to lower realized gains on sales of investments and assets, which are included in earnings but relate to investing activities, and a $128 million decrease in payments for income taxes by continuing operations in the 2018 period, partially offset by the inclusion of cash flows from discontinued operations in the 2017 period.</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(used in) provided by investing activities for the years ended December 31, 2019, 2018, and 2017 were $(520)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$(354) million and $79 million, respectively, inclusive of discontinued operations. Cash used in investing activities from discontinued operations for the year ended December 31, 2017 was $57 million. The decrease in cash provided 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(increase in cash used in) investing activities of $(166) million in the 2019 period from the 2018 period is primarily attributable to a decrease in net cash inflow from proceeds from calls and maturities of investment securities, partially offset by reduced purchases of investment securities. The decrease in cash provided by (increase in cash used in) investing activities of $(433) million in the 2018 period from the 2017 period is primarily attributable to $681 million increase in net outflows from purchases of investments and additional investments in unconsolidated investees, net of sales of investments and distributions of and from equity and fixed income investments, partially offset by a $160 million decrease in cash used in acquisitions, net of disposals, and a decrease in capital expenditures in the 2018 period.</w:t>
      </w:r>
    </w:p>
    <w:p>
      <w:pPr>
        <w:spacing w:after="0" w:line="139" w:lineRule="exact"/>
        <w:rPr>
          <w:sz w:val="20"/>
          <w:szCs w:val="20"/>
          <w:color w:val="auto"/>
        </w:rPr>
      </w:pPr>
    </w:p>
    <w:p>
      <w:pPr>
        <w:jc w:val="both"/>
        <w:ind w:firstLine="369"/>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$96 million, $83 million and $149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December 31, 2019, 2018, and 2017, respectively. The 2019 period primarily consists of capital expenditures in our Title segment. The 2018 period primarily consists of capital expenditures in our Title segment and the decrease from the 2017 period is primarily attributable to discontinued operations. The 2017 period consists of capital expenditures of $74 million related to our continuing operations, primarily our Title segment, and $75 million related to discontinued operations.</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Our cash used in financing activities for the years ended December 31, 2019, 2018, and 2017 were $482 million, $442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$1,029 million, respectively, inclusive of discontinued operations. The increase in cash used in financing activities of $40 million in the 2019 period from the 2018 period is primarily attributable to increased purchases of treasury stock of $66 million, a decrease in the change in net borrowing activity of $72 million, a decrease in net change of secured trust deposits of $23 million, increased dividends paid of $16 million, and increased other financing activities of $25 million, partially offset by increased exercise of stock options of $20 million and the payment of the equity portion of debt conversions settled in cash of $142 million in the 2018 period. The decrease in cash used in financing activities of $587 million in the 2018 period from the 2017 period is primarily attributable to a $458 million decrease in net debt service payments, net of borrowings, in the 2018 period, $109 million in cash transferred in the BK Distribution and FNFV Split-off in the 2017 period, repurchases of BKFS stock by Black Knight of $47 million in the 2017 period, and a $22 million decrease in change in secured trust deposits, partially offset by an increase in cash dividends paid of $50 million in the 2018 period.</w:t>
      </w:r>
    </w:p>
    <w:p>
      <w:pPr>
        <w:spacing w:after="0" w:line="113"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J</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to the Consolidated Financial Statements included in Item 8 of Part</w:t>
      </w:r>
      <w:r>
        <w:rPr>
          <w:rFonts w:ascii="Arial" w:cs="Arial" w:eastAsia="Arial" w:hAnsi="Arial"/>
          <w:sz w:val="18"/>
          <w:szCs w:val="18"/>
          <w:i w:val="1"/>
          <w:iCs w:val="1"/>
          <w:color w:val="auto"/>
        </w:rPr>
        <w:t xml:space="preserve"> </w:t>
      </w:r>
      <w:r>
        <w:rPr>
          <w:rFonts w:ascii="Arial" w:cs="Arial" w:eastAsia="Arial" w:hAnsi="Arial"/>
          <w:sz w:val="18"/>
          <w:szCs w:val="18"/>
          <w:color w:val="auto"/>
        </w:rPr>
        <w:t>II of this Annual Report, which is incorporated by reference into this Item 7 of Part II.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our required annual payments relating to these contractual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principal repayment</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483</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 payments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Title claim loss estimated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1,509</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fixed rate notes payable</w:t>
            </w:r>
          </w:p>
        </w:tc>
        <w:tc>
          <w:tcPr>
            <w:tcW w:w="6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422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3,264</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had title insurance reserves of $1,509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3"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We sponsor certain frozen pension and other post-retirement benefit plans. See Note O.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in Item 8 of Part II of this Annual Report for further information.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Capital Stock Transactions. </w:t>
      </w:r>
      <w:r>
        <w:rPr>
          <w:rFonts w:ascii="Arial" w:cs="Arial" w:eastAsia="Arial" w:hAnsi="Arial"/>
          <w:sz w:val="18"/>
          <w:szCs w:val="18"/>
          <w:color w:val="auto"/>
        </w:rPr>
        <w:t>On July 17, 2018, our Board of Directors approved a new three-year stock repurchase program effective August 1,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During the year ended December 31, 2019, we repurchased a total of 2,120,000 FNF common shares for an aggregate of $85 million or an average of $40.09 per share. Since the original commencement of the 2018 Repurchase Program, we have repurchased a total of 2,780,000 FNF common shares for an aggregate of $106 million, or an average of $38.24 per share.</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will be subject to such volatility.</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our escrow operations. In conducting our operations, we</w:t>
      </w:r>
      <w:r>
        <w:rPr>
          <w:rFonts w:ascii="Arial" w:cs="Arial" w:eastAsia="Arial" w:hAnsi="Arial"/>
          <w:sz w:val="17"/>
          <w:szCs w:val="17"/>
          <w:i w:val="1"/>
          <w:iCs w:val="1"/>
          <w:color w:val="auto"/>
        </w:rPr>
        <w:t xml:space="preserve"> </w:t>
      </w:r>
      <w:r>
        <w:rPr>
          <w:rFonts w:ascii="Arial" w:cs="Arial" w:eastAsia="Arial" w:hAnsi="Arial"/>
          <w:sz w:val="17"/>
          <w:szCs w:val="17"/>
          <w:color w:val="auto"/>
        </w:rPr>
        <w:t>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$18.7 billion and $13.5 billion at December 31, 2019 and 2018, respectively. As a result of holding these customers’ assets in escrow, we have ongoing programs for realizing economic benefits during the year through favorable borrowing and vendor arrangements with various banks.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recent accounting pronouncements, see Note S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to our Consolidated Financial Statements included in Item 8 of Part II of this Annual Report.</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the normal course of business, we are routinely subject to a variety of risks, as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and in our other filings with the Securities and Exchange Commission. For example, we are exposed to the risk that decreased real estate activity, which depends in part on the level of interest rates, may reduce our revenues.</w:t>
      </w:r>
    </w:p>
    <w:p>
      <w:pPr>
        <w:spacing w:after="0" w:line="46"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2019, we had $838 million in long-term debt, none of which bears interest at a floating rate. Accordingly, fluctuations in market interest rates will not have a material impact on our resulting interest expense.</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5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Equity price risk is the risk that we will incur economic losses due to adverse changes in equity prices. In the past, our exposure to changes in equity prices primarily resulted from our holdings of equity securities. At December 31, 2019, we held $811 million in marketable equity securities (not including our investments in preferred securities of $323 million and our investments in unconsolidated affiliates of $131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we perform a sensitivity analysis to determine the effects that market risk exposures may have on the fair values of our debt and other financial instruments.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30.4% of total liabilities at December 31, 2019) is not included in the hypothetical effects.</w:t>
      </w:r>
    </w:p>
    <w:p>
      <w:pPr>
        <w:spacing w:after="0" w:line="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2019 and December 31, 2018, are as follows: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$86 million as compared with a (decrease) increase of $70 million at December 31, 2018.</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2019, a 20% increase (decrease) in market prices, with all other variables held constant, would result in an increase (decrease) in the fair value of our equity securities portfolio of $162 million, as compared with an increase (decrease) of $100 million at December 31, 2018.</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2"/>
        </w:trPr>
        <w:tc>
          <w:tcPr>
            <w:tcW w:w="10240" w:type="dxa"/>
            <w:vAlign w:val="bottom"/>
            <w:gridSpan w:val="9"/>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 on Effectiveness of Internal Control over Financial Reporting</w:t>
              </w:r>
            </w:hyperlink>
          </w:p>
        </w:tc>
        <w:tc>
          <w:tcPr>
            <w:tcW w:w="660" w:type="dxa"/>
            <w:vAlign w:val="bottom"/>
            <w:gridSpan w:val="2"/>
          </w:tcPr>
          <w:p>
            <w:pPr>
              <w:jc w:val="center"/>
              <w:ind w:left="395"/>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480" w:type="dxa"/>
            <w:vAlign w:val="bottom"/>
          </w:tcPr>
          <w:p>
            <w:pPr>
              <w:spacing w:after="0"/>
              <w:rPr>
                <w:sz w:val="17"/>
                <w:szCs w:val="17"/>
                <w:color w:val="auto"/>
              </w:rPr>
            </w:pPr>
          </w:p>
        </w:tc>
      </w:tr>
      <w:tr>
        <w:trPr>
          <w:trHeight w:val="250"/>
        </w:trPr>
        <w:tc>
          <w:tcPr>
            <w:tcW w:w="7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Report of Independent Registered Public Accounting Firms on Consolidated Financial Statements</w:t>
              </w:r>
            </w:hyperlink>
          </w:p>
        </w:tc>
        <w:tc>
          <w:tcPr>
            <w:tcW w:w="1620" w:type="dxa"/>
            <w:vAlign w:val="bottom"/>
            <w:tcBorders>
              <w:top w:val="single" w:sz="8" w:color="0000EE"/>
            </w:tcBorders>
            <w:gridSpan w:val="2"/>
          </w:tcPr>
          <w:p>
            <w:pPr>
              <w:spacing w:after="0"/>
              <w:rPr>
                <w:sz w:val="21"/>
                <w:szCs w:val="21"/>
                <w:color w:val="auto"/>
              </w:rPr>
            </w:pPr>
          </w:p>
        </w:tc>
        <w:tc>
          <w:tcPr>
            <w:tcW w:w="1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December 31, 2019 and 2018</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Statements of Earnings for the years ended December 31, 2019, 2018, and 2017</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Comprehensive Earnings for the years ended December 31, 2019, 2018, and 2017</w:t>
              </w:r>
            </w:hyperlink>
          </w:p>
        </w:tc>
        <w:tc>
          <w:tcPr>
            <w:tcW w:w="23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Equity for the years ended December 31, 2019, 2018, and 2017</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December 31, 2019, 2018, and 2017</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53</w:t>
              </w:r>
            </w:hyperlink>
          </w:p>
        </w:tc>
        <w:tc>
          <w:tcPr>
            <w:tcW w:w="480" w:type="dxa"/>
            <w:vAlign w:val="bottom"/>
          </w:tcPr>
          <w:p>
            <w:pPr>
              <w:spacing w:after="0"/>
              <w:rPr>
                <w:sz w:val="21"/>
                <w:szCs w:val="21"/>
                <w:color w:val="auto"/>
              </w:rPr>
            </w:pPr>
          </w:p>
        </w:tc>
      </w:tr>
      <w:tr>
        <w:trPr>
          <w:trHeight w:val="250"/>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33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54</w:t>
              </w:r>
            </w:hyperlink>
          </w:p>
        </w:tc>
        <w:tc>
          <w:tcPr>
            <w:tcW w:w="480" w:type="dxa"/>
            <w:vAlign w:val="bottom"/>
          </w:tcPr>
          <w:p>
            <w:pPr>
              <w:spacing w:after="0"/>
              <w:rPr>
                <w:sz w:val="21"/>
                <w:szCs w:val="21"/>
                <w:color w:val="auto"/>
              </w:rPr>
            </w:pPr>
          </w:p>
        </w:tc>
      </w:tr>
      <w:tr>
        <w:trPr>
          <w:trHeight w:val="696"/>
        </w:trPr>
        <w:tc>
          <w:tcPr>
            <w:tcW w:w="3140" w:type="dxa"/>
            <w:vAlign w:val="bottom"/>
            <w:tcBorders>
              <w:top w:val="single" w:sz="8" w:color="0000EE"/>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Fidelity National Financial, Inc.</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Fidelity National Financial, Inc. and subsidiaries’ internal control over financial reporting as of December 31, 2019,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2019, based on the COSO criteria.</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2019 and 2018, and the related consolidated statements of earnings, comprehensive earnings, equity and cash flows for each of the three years in the period ended December 31, 2019, and the related notes and financial statement schedule listed in the Index at Item 15(a)(2) and our report dated February 14, 2020 expressed an unqualified opinion thereon.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Fidelity National Financial,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Fidelity National Financial, Inc. and subsidiaries (the Company) as of December 31, 2019 and 2018, and the related consolidated statements of earnings, comprehensive earnings, equity and cash flows for each of the three years in the period ended December 31, 2019,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14, 2020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 Update (ASU) No. 2016-01</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discussed in Note S to the consolidated financial statements, the Company changed its method of accounting for equity investments with readily determinable fair values in 2018 due to the adoption of ASU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85" w:lineRule="exact"/>
        <w:rPr>
          <w:sz w:val="20"/>
          <w:szCs w:val="20"/>
          <w:color w:val="auto"/>
        </w:rPr>
      </w:pPr>
    </w:p>
    <w:p>
      <w:pPr>
        <w:ind w:left="2660"/>
        <w:spacing w:after="0"/>
        <w:rPr>
          <w:sz w:val="20"/>
          <w:szCs w:val="20"/>
          <w:color w:val="auto"/>
        </w:rPr>
      </w:pPr>
      <w:r>
        <w:rPr>
          <w:rFonts w:ascii="Arial" w:cs="Arial" w:eastAsia="Arial" w:hAnsi="Arial"/>
          <w:sz w:val="18"/>
          <w:szCs w:val="18"/>
          <w:b w:val="1"/>
          <w:bCs w:val="1"/>
          <w:i w:val="1"/>
          <w:iCs w:val="1"/>
          <w:color w:val="auto"/>
        </w:rPr>
        <w:t>Reserve for Title Claim Losses</w:t>
      </w:r>
    </w:p>
    <w:p>
      <w:pPr>
        <w:sectPr>
          <w:pgSz w:w="11900" w:h="16838" w:orient="portrait"/>
          <w:cols w:equalWidth="0" w:num="1">
            <w:col w:w="11420"/>
          </w:cols>
          <w:pgMar w:left="240" w:top="125"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Company’s reserve for title claim losses totaled $1.51 billion as of December 31, 2019. As discussed in Note A to the consolidated financial statements, the reserve for title claim losses includes known claims as well as losses that have been incurred but not yet reported, net of recoupments. The Company establishes reserves for claims which are incurred but not reported at the time premium revenue is recognized based on estimated loss provision rates. There is significant uncertainty inherent in determining the loss provision rates.</w:t>
      </w:r>
    </w:p>
    <w:p>
      <w:pPr>
        <w:spacing w:after="0" w:line="107" w:lineRule="exact"/>
        <w:rPr>
          <w:sz w:val="20"/>
          <w:szCs w:val="20"/>
          <w:color w:val="auto"/>
        </w:rPr>
      </w:pPr>
    </w:p>
    <w:p>
      <w:pPr>
        <w:sectPr>
          <w:pgSz w:w="11900" w:h="16838" w:orient="portrait"/>
          <w:cols w:equalWidth="0" w:num="2">
            <w:col w:w="1940" w:space="720"/>
            <w:col w:w="8760"/>
          </w:cols>
          <w:pgMar w:left="240" w:top="125" w:right="239" w:bottom="1440" w:gutter="0" w:footer="0" w:header="0"/>
          <w:type w:val="continuous"/>
        </w:sectPr>
      </w:pPr>
    </w:p>
    <w:p>
      <w:pPr>
        <w:jc w:val="both"/>
        <w:ind w:left="2660" w:right="40"/>
        <w:spacing w:after="0" w:line="259" w:lineRule="auto"/>
        <w:rPr>
          <w:sz w:val="20"/>
          <w:szCs w:val="20"/>
          <w:color w:val="auto"/>
        </w:rPr>
      </w:pPr>
      <w:r>
        <w:rPr>
          <w:rFonts w:ascii="Arial" w:cs="Arial" w:eastAsia="Arial" w:hAnsi="Arial"/>
          <w:sz w:val="18"/>
          <w:szCs w:val="18"/>
          <w:color w:val="auto"/>
        </w:rPr>
        <w:t>Auditing the Company’s reserve for title claim losses was complex because of the highly judgmental nature of the determination of the loss provision rates used in the valuation of the reserve for title claim losses. The significant judgment was primarily due to the sensitivity of management’s estimate to claim loss history, industry trends, current legal environment, and geographic considerations.</w:t>
      </w:r>
    </w:p>
    <w:p>
      <w:pPr>
        <w:sectPr>
          <w:pgSz w:w="11900" w:h="16838" w:orient="portrait"/>
          <w:cols w:equalWidth="0" w:num="1">
            <w:col w:w="11420"/>
          </w:cols>
          <w:pgMar w:left="240" w:top="125" w:right="239" w:bottom="1440" w:gutter="0" w:footer="0" w:header="0"/>
          <w:type w:val="continuous"/>
        </w:sectPr>
      </w:pPr>
    </w:p>
    <w:p>
      <w:pPr>
        <w:spacing w:after="0" w:line="160" w:lineRule="exact"/>
        <w:rPr>
          <w:sz w:val="20"/>
          <w:szCs w:val="20"/>
          <w:color w:val="auto"/>
        </w:rPr>
      </w:pPr>
    </w:p>
    <w:p>
      <w:pPr>
        <w:ind w:left="40" w:right="260"/>
        <w:spacing w:after="0" w:line="34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obtained an understanding, evaluated the design, and tested the operating effectiveness of the Company’s controls over management’s process for the development of the loss provision rates and the recorded reserve for title claim losses. These controls included, among others, the review and approval process management has in place for the development of the loss provision rates and the estimation of the reserve for title claim losses.</w:t>
      </w:r>
    </w:p>
    <w:p>
      <w:pPr>
        <w:spacing w:after="0" w:line="90" w:lineRule="exact"/>
        <w:rPr>
          <w:sz w:val="20"/>
          <w:szCs w:val="20"/>
          <w:color w:val="auto"/>
        </w:rPr>
      </w:pPr>
    </w:p>
    <w:p>
      <w:pPr>
        <w:sectPr>
          <w:pgSz w:w="11900" w:h="16838" w:orient="portrait"/>
          <w:cols w:equalWidth="0" w:num="2">
            <w:col w:w="1940" w:space="720"/>
            <w:col w:w="8760"/>
          </w:cols>
          <w:pgMar w:left="240" w:top="125" w:right="239" w:bottom="1440" w:gutter="0" w:footer="0" w:header="0"/>
          <w:type w:val="continuous"/>
        </w:sectPr>
      </w:pPr>
    </w:p>
    <w:p>
      <w:pPr>
        <w:jc w:val="both"/>
        <w:ind w:left="2660" w:right="20"/>
        <w:spacing w:after="0" w:line="255" w:lineRule="auto"/>
        <w:rPr>
          <w:sz w:val="20"/>
          <w:szCs w:val="20"/>
          <w:color w:val="auto"/>
        </w:rPr>
      </w:pPr>
      <w:r>
        <w:rPr>
          <w:rFonts w:ascii="Arial" w:cs="Arial" w:eastAsia="Arial" w:hAnsi="Arial"/>
          <w:sz w:val="18"/>
          <w:szCs w:val="18"/>
          <w:color w:val="auto"/>
        </w:rPr>
        <w:t>To evaluate the judgment used by management in determining the loss provision rates, among other procedures, we considered claim loss history, industry trends, current legal environment and geographic considerations, and how management assessed these factors in the current period as compared to prior periods. With the assistance of our actuarial specialists, we performed an evaluation of the Company’s current year loss provision rates compared with those used in prior periods, as well as a review of loss development experience for prior years. We also independently calculated a range of reasonable reserve estimates which we compared to management’s recorded reserve for title claim losses.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(In millions, except share data)</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Fixed maturities available for sale, at fair value, at December 31, 2019 and 2018, includes pledged fixed maturities of $410 and $418, respectively,</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secured trust 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securities, at fair value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 at fair value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2"/>
              </w:rPr>
              <w:t>Short-term investments, includes pledged short term investments of $12 and $8 at December 31, 2019 and 2018, respectively, related to secured trust</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deposits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w:t>
            </w:r>
          </w:p>
        </w:tc>
        <w:tc>
          <w:tcPr>
            <w:tcW w:w="0" w:type="dxa"/>
            <w:vAlign w:val="bottom"/>
          </w:tcPr>
          <w:p>
            <w:pPr>
              <w:spacing w:after="0"/>
              <w:rPr>
                <w:sz w:val="1"/>
                <w:szCs w:val="1"/>
                <w:color w:val="auto"/>
              </w:rPr>
            </w:pPr>
          </w:p>
        </w:tc>
      </w:tr>
      <w:tr>
        <w:trPr>
          <w:trHeight w:val="191"/>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w w:val="94"/>
              </w:rPr>
              <w:t>Cash and cash equivalents, at December 31, 2019 and 2018, includes pledged cash of $384 and $412,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74"/>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and notes receivables, net of allowance of $20 and $19 at December 31, 2019 and 2018, respectively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Lease assets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Title plants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3"/>
        </w:trPr>
        <w:tc>
          <w:tcPr>
            <w:tcW w:w="8800" w:type="dxa"/>
            <w:vAlign w:val="bottom"/>
            <w:tcBorders>
              <w:top w:val="single" w:sz="8" w:color="CCEEFF"/>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9,301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1,094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Notes payable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 for title claim losses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Secured trust deposits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Lease liabilities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tax liability</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4,329</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FNF common stock, $0.0001 par value; authorized 600,000,000 shares as of December 31, 2019 and 2018; outstanding of 275,563,436 and</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275,373,834 as of December 31, 2019 and 2018, respectively; and issued of 292,236,476 and 289,601,523 as of December 31, 2019 and 2018,</w:t>
            </w: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 (loss)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16,673,040 shares and 14,227,689 shares as of December 31, 2019 and 2018, respectively, at cost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Inc. shareholders’ equity</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5,365</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4,628</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10,677</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9,301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196"/>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2"/>
              </w:rPr>
              <w:t>(In millions, except share data)</w:t>
            </w:r>
          </w:p>
        </w:tc>
        <w:tc>
          <w:tcPr>
            <w:tcW w:w="780" w:type="dxa"/>
            <w:vAlign w:val="bottom"/>
          </w:tcPr>
          <w:p>
            <w:pPr>
              <w:spacing w:after="0"/>
              <w:rPr>
                <w:sz w:val="17"/>
                <w:szCs w:val="17"/>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Direct title insurance premiums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2,381</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2,170</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Agency title insurance premiums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2,723</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Escrow, title-related and other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2,637</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investment income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w:t>
            </w:r>
          </w:p>
        </w:tc>
      </w:tr>
      <w:tr>
        <w:trPr>
          <w:trHeight w:val="264"/>
        </w:trPr>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Realized gains and losses,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6"/>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8,469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7,663</w:t>
            </w:r>
          </w:p>
        </w:tc>
      </w:tr>
      <w:tr>
        <w:trPr>
          <w:trHeight w:val="24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Personnel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2,460</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Agent commissions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2,089</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1,781</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title claim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r>
      <w:tr>
        <w:trPr>
          <w:trHeight w:val="264"/>
        </w:trPr>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r>
      <w:tr>
        <w:trPr>
          <w:trHeight w:val="250"/>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7,100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6,844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6,799</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 and equity in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864</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on continuing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equity in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629</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639</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from discontinued operations, net of tax</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794</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earnings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83"/>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w:t>
            </w:r>
          </w:p>
        </w:tc>
      </w:tr>
      <w:tr>
        <w:trPr>
          <w:trHeight w:val="210"/>
        </w:trPr>
        <w:tc>
          <w:tcPr>
            <w:tcW w:w="7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FNF Group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w:t>
            </w: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color w:val="auto"/>
              </w:rPr>
              <w:t>Net earnings from discontinued operations attributable to FNF Group common shareholders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43"/>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FNF Group common shareholders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662</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77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from discontinued operations attributable to FNFV Group common 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0"/>
        </w:trPr>
        <w:tc>
          <w:tcPr>
            <w:tcW w:w="7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25" w:right="2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 - (continued)</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r>
      <w:tr>
        <w:trPr>
          <w:trHeight w:val="80"/>
        </w:trPr>
        <w:tc>
          <w:tcPr>
            <w:tcW w:w="8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58"/>
        </w:trPr>
        <w:tc>
          <w:tcPr>
            <w:tcW w:w="8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r>
      <w:tr>
        <w:trPr>
          <w:trHeight w:val="283"/>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0.08</w:t>
            </w: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from discontinued operations attributable to FNFV Group common shareholders</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2.30</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2.38</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from discontinued operations attributable to FNFV Group common shareholders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1.63</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271</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278</w:t>
            </w: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r>
      <w:tr>
        <w:trPr>
          <w:trHeight w:val="237"/>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4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635</w:t>
            </w:r>
          </w:p>
        </w:tc>
        <w:tc>
          <w:tcPr>
            <w:tcW w:w="3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earnings (loss), net of tax:</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investments and other financial instruments, net (excluding investments 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unconsolidated affiliates) (1)</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Unrealized gain relating to investments in unconsolidated affiliates (2)</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gain (loss) on foreign currency translation and cash flow hedging (3)</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Reclassification adjustments for change in unrealized gains and losses included in net earnings (4)</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 adjustment (5)</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earnings (loss)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Comprehensive earnings attributable to noncontrolling interests</w:t>
            </w:r>
          </w:p>
        </w:tc>
        <w:tc>
          <w:tcPr>
            <w:tcW w:w="2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Fidelity National Financial, Inc.,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824</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Comprehensive earnings attributable to FNF Group common shareholders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709</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FNFV Group common shareholders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r>
      <w:tr>
        <w:trPr>
          <w:trHeight w:val="20"/>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980" w:right="20" w:hanging="972"/>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income tax expense (benefit) of $17 million, $(4) million, and $16 million for the years ended December 31, 2019, 2018 and 2017,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Net of income tax expense of $2 million, $1 million, and $7 million for the years ended December 31, 2019, 2018 and 2017, respectively.</w:t>
      </w:r>
    </w:p>
    <w:p>
      <w:pPr>
        <w:spacing w:after="0" w:line="182" w:lineRule="exact"/>
        <w:rPr>
          <w:rFonts w:ascii="Arial" w:cs="Arial" w:eastAsia="Arial" w:hAnsi="Arial"/>
          <w:sz w:val="17"/>
          <w:szCs w:val="17"/>
          <w:color w:val="auto"/>
        </w:rPr>
      </w:pPr>
    </w:p>
    <w:p>
      <w:pPr>
        <w:ind w:left="980" w:hanging="972"/>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income tax expense (benefit) of $1 million, $(2) million, and $4 million for the years ended December 31, 2019, 2018, and 2017,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income tax (benefit) expense of $(3) million and $2 million for the years ended December 31, 2019 and 2017, respectively.</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income tax expense of less than $1 million and $3 million for the years ended December 31,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13"/>
          </w:tcPr>
          <w:p>
            <w:pPr>
              <w:ind w:left="48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1"/>
              </w:rPr>
              <w:t>FNF Common</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6"/>
              </w:rPr>
              <w:t>FNFV Group</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Redeemable</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720" w:type="dxa"/>
            <w:vAlign w:val="bottom"/>
            <w:gridSpan w:val="3"/>
          </w:tcPr>
          <w:p>
            <w:pPr>
              <w:jc w:val="center"/>
              <w:ind w:left="317"/>
              <w:spacing w:after="0" w:line="144" w:lineRule="exact"/>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Other</w:t>
            </w:r>
          </w:p>
        </w:tc>
        <w:tc>
          <w:tcPr>
            <w:tcW w:w="1220" w:type="dxa"/>
            <w:vAlign w:val="bottom"/>
            <w:gridSpan w:val="4"/>
          </w:tcPr>
          <w:p>
            <w:pPr>
              <w:ind w:left="160"/>
              <w:spacing w:after="0" w:line="144"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94"/>
              </w:rPr>
              <w:t>Non-</w:t>
            </w:r>
          </w:p>
        </w:tc>
        <w:tc>
          <w:tcPr>
            <w:tcW w:w="0" w:type="dxa"/>
            <w:vAlign w:val="bottom"/>
          </w:tcPr>
          <w:p>
            <w:pPr>
              <w:spacing w:after="0"/>
              <w:rPr>
                <w:sz w:val="1"/>
                <w:szCs w:val="1"/>
                <w:color w:val="auto"/>
              </w:rPr>
            </w:pPr>
          </w:p>
        </w:tc>
      </w:tr>
      <w:tr>
        <w:trPr>
          <w:trHeight w:val="32"/>
        </w:trPr>
        <w:tc>
          <w:tcPr>
            <w:tcW w:w="2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2"/>
                <w:szCs w:val="2"/>
                <w:color w:val="auto"/>
              </w:rPr>
            </w:pPr>
          </w:p>
        </w:tc>
        <w:tc>
          <w:tcPr>
            <w:tcW w:w="680" w:type="dxa"/>
            <w:vAlign w:val="bottom"/>
            <w:gridSpan w:val="2"/>
            <w:vMerge w:val="restart"/>
          </w:tcPr>
          <w:p>
            <w:pPr>
              <w:jc w:val="right"/>
              <w:ind w:right="200"/>
              <w:spacing w:after="0" w:line="135" w:lineRule="exact"/>
              <w:rPr>
                <w:sz w:val="20"/>
                <w:szCs w:val="20"/>
                <w:color w:val="auto"/>
              </w:rPr>
            </w:pPr>
            <w:r>
              <w:rPr>
                <w:rFonts w:ascii="Arial" w:cs="Arial" w:eastAsia="Arial" w:hAnsi="Arial"/>
                <w:sz w:val="13"/>
                <w:szCs w:val="13"/>
                <w:b w:val="1"/>
                <w:bCs w:val="1"/>
                <w:color w:val="auto"/>
                <w:w w:val="83"/>
              </w:rPr>
              <w:t>Retained</w:t>
            </w:r>
          </w:p>
        </w:tc>
        <w:tc>
          <w:tcPr>
            <w:tcW w:w="11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80" w:type="dxa"/>
            <w:vAlign w:val="bottom"/>
          </w:tcPr>
          <w:p>
            <w:pPr>
              <w:spacing w:after="0"/>
              <w:rPr>
                <w:sz w:val="2"/>
                <w:szCs w:val="2"/>
                <w:color w:val="auto"/>
              </w:rPr>
            </w:pPr>
          </w:p>
        </w:tc>
        <w:tc>
          <w:tcPr>
            <w:tcW w:w="5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
                <w:szCs w:val="2"/>
                <w:color w:val="auto"/>
              </w:rPr>
            </w:pPr>
          </w:p>
        </w:tc>
        <w:tc>
          <w:tcPr>
            <w:tcW w:w="780" w:type="dxa"/>
            <w:vAlign w:val="bottom"/>
            <w:vMerge w:val="restart"/>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controlling</w:t>
            </w:r>
          </w:p>
        </w:tc>
        <w:tc>
          <w:tcPr>
            <w:tcW w:w="0" w:type="dxa"/>
            <w:vAlign w:val="bottom"/>
          </w:tcPr>
          <w:p>
            <w:pPr>
              <w:spacing w:after="0"/>
              <w:rPr>
                <w:sz w:val="1"/>
                <w:szCs w:val="1"/>
                <w:color w:val="auto"/>
              </w:rPr>
            </w:pPr>
          </w:p>
        </w:tc>
      </w:tr>
      <w:tr>
        <w:trPr>
          <w:trHeight w:val="83"/>
        </w:trPr>
        <w:tc>
          <w:tcPr>
            <w:tcW w:w="2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7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Shares</w:t>
            </w: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3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7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Earnings</w:t>
            </w: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5"/>
              </w:rPr>
              <w:t>Earnings (Loss)</w:t>
            </w: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0" w:type="dxa"/>
            <w:vAlign w:val="bottom"/>
          </w:tcPr>
          <w:p>
            <w:pPr>
              <w:spacing w:after="0"/>
              <w:rPr>
                <w:sz w:val="1"/>
                <w:szCs w:val="1"/>
                <w:color w:val="auto"/>
              </w:rPr>
            </w:pPr>
          </w:p>
        </w:tc>
      </w:tr>
      <w:tr>
        <w:trPr>
          <w:trHeight w:val="183"/>
        </w:trPr>
        <w:tc>
          <w:tcPr>
            <w:tcW w:w="25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(In millions)</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 —</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 (623)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Issuance of restricted stock</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gain on investments and other financial</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gain on investments in unconsolidated</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gain on foreign currency and cash flow</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hedging</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3"/>
              </w:rPr>
              <w:t>Other comprehensive earnings — minimum</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pension liability adjustment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6"/>
              </w:rPr>
              <w:t>Reclassification adjustments for change in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w w:val="94"/>
              </w:rPr>
              <w:t>unrealized gains and losses included in net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earnings</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Stock-based compensation</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rPr>
              <w:t>Purchase of additional interest in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consolidated subsidiaries</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9"/>
              </w:rPr>
              <w:t>Shares withheld for taxes and in treasury</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Purchases of treasury stock</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Sale of consolidated subsidiary</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Debt conversions settled in cash</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Acquisitions of noncontrolling interests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Black Knight repurchases of BKFS stock</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Spin-off of Black Knight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(1,624)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w w:val="99"/>
              </w:rPr>
              <w:t>Distribution of FNFV to Cannae Holdings</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(81)</w:t>
            </w:r>
          </w:p>
        </w:tc>
        <w:tc>
          <w:tcPr>
            <w:tcW w:w="14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(1,069)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Dividends declared</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4"/>
              </w:rPr>
              <w:t>Subsidiary dividends paid to noncontrolling</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794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2"/>
        </w:trPr>
        <w:tc>
          <w:tcPr>
            <w:tcW w:w="252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4,467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03"/>
        </w:trPr>
        <w:tc>
          <w:tcPr>
            <w:tcW w:w="2520" w:type="dxa"/>
            <w:vAlign w:val="bottom"/>
            <w:tcBorders>
              <w:top w:val="single" w:sz="8" w:color="CCEEFF"/>
            </w:tcBorders>
            <w:shd w:val="clear" w:color="auto" w:fill="CCEEFF"/>
          </w:tcPr>
          <w:p>
            <w:pPr>
              <w:ind w:left="160"/>
              <w:spacing w:after="0" w:line="103" w:lineRule="exact"/>
              <w:rPr>
                <w:sz w:val="20"/>
                <w:szCs w:val="20"/>
                <w:color w:val="auto"/>
              </w:rPr>
            </w:pPr>
            <w:r>
              <w:rPr>
                <w:rFonts w:ascii="Arial" w:cs="Arial" w:eastAsia="Arial" w:hAnsi="Arial"/>
                <w:sz w:val="11"/>
                <w:szCs w:val="11"/>
                <w:color w:val="auto"/>
              </w:rPr>
              <w:t>Adjustment for cumulative effect for</w:t>
            </w: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adoption of ASU 2016-01</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Issuance of restricted stock</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loss on investments and other financial</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gain on investments in unconsolidated</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loss on foreign currency and cash flow</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hedging</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3"/>
              </w:rPr>
              <w:t>Other comprehensive earnings — minimum</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pension liability adjustment</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Stock-based compensation</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9"/>
              </w:rPr>
              <w:t>Shares withheld for taxes and in treasury</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Purchases of treasury stock</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Debt conversions settled in cash</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rPr>
              <w:t>Dilution resulting from subsidiary equity</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issuance</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4"/>
              </w:rPr>
              <w:t>Subsidiary dividends paid to noncontrolling</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interests</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Pacific Union Sale</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 equity activity</w:t>
            </w:r>
          </w:p>
        </w:tc>
        <w:tc>
          <w:tcPr>
            <w:tcW w:w="7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Dividends declared</w:t>
            </w:r>
          </w:p>
        </w:tc>
        <w:tc>
          <w:tcPr>
            <w:tcW w:w="72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628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tcPr>
          <w:p>
            <w:pPr>
              <w:ind w:left="20"/>
              <w:spacing w:after="0"/>
              <w:rPr>
                <w:sz w:val="20"/>
                <w:szCs w:val="20"/>
                <w:color w:val="auto"/>
              </w:rPr>
            </w:pPr>
            <w:r>
              <w:rPr>
                <w:rFonts w:ascii="Arial" w:cs="Arial" w:eastAsia="Arial" w:hAnsi="Arial"/>
                <w:sz w:val="13"/>
                <w:szCs w:val="13"/>
                <w:color w:val="auto"/>
              </w:rPr>
              <w:t>Balance, December 31, 2018</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641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1"/>
                <w:szCs w:val="21"/>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w w:val="87"/>
              </w:rPr>
              <w:t>$ (498)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4,628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5" w:right="259" w:bottom="501"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125" w:right="259" w:bottom="501"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spacing w:after="0"/>
              <w:rPr>
                <w:sz w:val="20"/>
                <w:szCs w:val="20"/>
                <w:color w:val="auto"/>
              </w:rPr>
            </w:pPr>
            <w:r>
              <w:rPr>
                <w:rFonts w:ascii="Arial" w:cs="Arial" w:eastAsia="Arial" w:hAnsi="Arial"/>
                <w:sz w:val="13"/>
                <w:szCs w:val="13"/>
                <w:b w:val="1"/>
                <w:bCs w:val="1"/>
                <w:color w:val="auto"/>
                <w:w w:val="92"/>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30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w w:val="99"/>
              </w:rPr>
              <w:t>FNF Common 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24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2"/>
              </w:rPr>
              <w:t>Other</w:t>
            </w:r>
          </w:p>
        </w:tc>
        <w:tc>
          <w:tcPr>
            <w:tcW w:w="12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w w:val="87"/>
              </w:rPr>
              <w:t>Redeemable Non-</w:t>
            </w:r>
          </w:p>
        </w:tc>
        <w:tc>
          <w:tcPr>
            <w:tcW w:w="0" w:type="dxa"/>
            <w:vAlign w:val="bottom"/>
          </w:tcPr>
          <w:p>
            <w:pPr>
              <w:spacing w:after="0"/>
              <w:rPr>
                <w:sz w:val="1"/>
                <w:szCs w:val="1"/>
                <w:color w:val="auto"/>
              </w:rPr>
            </w:pPr>
          </w:p>
        </w:tc>
      </w:tr>
      <w:tr>
        <w:trPr>
          <w:trHeight w:val="110"/>
        </w:trPr>
        <w:tc>
          <w:tcPr>
            <w:tcW w:w="29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82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9"/>
                <w:szCs w:val="9"/>
                <w:color w:val="auto"/>
              </w:rPr>
            </w:pPr>
          </w:p>
        </w:tc>
        <w:tc>
          <w:tcPr>
            <w:tcW w:w="112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controlling</w:t>
            </w:r>
          </w:p>
        </w:tc>
        <w:tc>
          <w:tcPr>
            <w:tcW w:w="120" w:type="dxa"/>
            <w:vAlign w:val="bottom"/>
          </w:tcPr>
          <w:p>
            <w:pPr>
              <w:spacing w:after="0"/>
              <w:rPr>
                <w:sz w:val="9"/>
                <w:szCs w:val="9"/>
                <w:color w:val="auto"/>
              </w:rPr>
            </w:pPr>
          </w:p>
        </w:tc>
        <w:tc>
          <w:tcPr>
            <w:tcW w:w="6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9"/>
                <w:szCs w:val="9"/>
                <w:color w:val="auto"/>
              </w:rPr>
            </w:pPr>
          </w:p>
        </w:tc>
        <w:tc>
          <w:tcPr>
            <w:tcW w:w="860" w:type="dxa"/>
            <w:vAlign w:val="bottom"/>
          </w:tcPr>
          <w:p>
            <w:pPr>
              <w:jc w:val="right"/>
              <w:ind w:right="157"/>
              <w:spacing w:after="0" w:line="110" w:lineRule="exact"/>
              <w:rPr>
                <w:sz w:val="20"/>
                <w:szCs w:val="20"/>
                <w:color w:val="auto"/>
              </w:rPr>
            </w:pPr>
            <w:r>
              <w:rPr>
                <w:rFonts w:ascii="Arial" w:cs="Arial" w:eastAsia="Arial" w:hAnsi="Arial"/>
                <w:sz w:val="12"/>
                <w:szCs w:val="12"/>
                <w:b w:val="1"/>
                <w:bCs w:val="1"/>
                <w:color w:val="auto"/>
                <w:w w:val="99"/>
              </w:rPr>
              <w:t>controlling</w:t>
            </w:r>
          </w:p>
        </w:tc>
        <w:tc>
          <w:tcPr>
            <w:tcW w:w="0" w:type="dxa"/>
            <w:vAlign w:val="bottom"/>
          </w:tcPr>
          <w:p>
            <w:pPr>
              <w:spacing w:after="0"/>
              <w:rPr>
                <w:sz w:val="1"/>
                <w:szCs w:val="1"/>
                <w:color w:val="auto"/>
              </w:rPr>
            </w:pPr>
          </w:p>
        </w:tc>
      </w:tr>
      <w:tr>
        <w:trPr>
          <w:trHeight w:val="174"/>
        </w:trPr>
        <w:tc>
          <w:tcPr>
            <w:tcW w:w="2980" w:type="dxa"/>
            <w:vAlign w:val="bottom"/>
          </w:tcPr>
          <w:p>
            <w:pPr>
              <w:spacing w:after="0"/>
              <w:rPr>
                <w:sz w:val="15"/>
                <w:szCs w:val="15"/>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Earnings (Loss)</w:t>
            </w: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4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Interests</w:t>
            </w: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ind w:left="600"/>
              <w:spacing w:after="0"/>
              <w:rPr>
                <w:sz w:val="20"/>
                <w:szCs w:val="20"/>
                <w:color w:val="auto"/>
              </w:rPr>
            </w:pPr>
            <w:r>
              <w:rPr>
                <w:rFonts w:ascii="Arial" w:cs="Arial" w:eastAsia="Arial" w:hAnsi="Arial"/>
                <w:sz w:val="13"/>
                <w:szCs w:val="13"/>
                <w:b w:val="1"/>
                <w:bCs w:val="1"/>
                <w:color w:val="auto"/>
              </w:rPr>
              <w:t>(In millions)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December 31, 2018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 (498)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Other comprehensive earnings — unrealized gain on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investments and other financial instruments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980" w:type="dxa"/>
            <w:vAlign w:val="bottom"/>
          </w:tcPr>
          <w:p>
            <w:pPr>
              <w:ind w:left="180"/>
              <w:spacing w:after="0" w:line="148" w:lineRule="exact"/>
              <w:rPr>
                <w:sz w:val="20"/>
                <w:szCs w:val="20"/>
                <w:color w:val="auto"/>
              </w:rPr>
            </w:pPr>
            <w:r>
              <w:rPr>
                <w:rFonts w:ascii="Arial" w:cs="Arial" w:eastAsia="Arial" w:hAnsi="Arial"/>
                <w:sz w:val="13"/>
                <w:szCs w:val="13"/>
                <w:color w:val="auto"/>
                <w:w w:val="91"/>
              </w:rPr>
              <w:t>Other comprehensive earnings — unrealized gain 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rPr>
                <w:sz w:val="20"/>
                <w:szCs w:val="20"/>
                <w:color w:val="auto"/>
              </w:rPr>
            </w:pPr>
            <w:r>
              <w:rPr>
                <w:rFonts w:ascii="Arial" w:cs="Arial" w:eastAsia="Arial" w:hAnsi="Arial"/>
                <w:sz w:val="13"/>
                <w:szCs w:val="13"/>
                <w:color w:val="auto"/>
              </w:rPr>
              <w:t>investments in unconsolidated affiliates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Other comprehensive earnings — unrealized gain on</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foreign currency and cash flow hedging</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980" w:type="dxa"/>
            <w:vAlign w:val="bottom"/>
          </w:tcPr>
          <w:p>
            <w:pPr>
              <w:ind w:left="180"/>
              <w:spacing w:after="0" w:line="148" w:lineRule="exact"/>
              <w:rPr>
                <w:sz w:val="20"/>
                <w:szCs w:val="20"/>
                <w:color w:val="auto"/>
              </w:rPr>
            </w:pPr>
            <w:r>
              <w:rPr>
                <w:rFonts w:ascii="Arial" w:cs="Arial" w:eastAsia="Arial" w:hAnsi="Arial"/>
                <w:sz w:val="13"/>
                <w:szCs w:val="13"/>
                <w:color w:val="auto"/>
                <w:w w:val="90"/>
              </w:rPr>
              <w:t>Reclassification adjustments for change in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rPr>
                <w:sz w:val="20"/>
                <w:szCs w:val="20"/>
                <w:color w:val="auto"/>
              </w:rPr>
            </w:pPr>
            <w:r>
              <w:rPr>
                <w:rFonts w:ascii="Arial" w:cs="Arial" w:eastAsia="Arial" w:hAnsi="Arial"/>
                <w:sz w:val="13"/>
                <w:szCs w:val="13"/>
                <w:color w:val="auto"/>
              </w:rPr>
              <w:t>gains and losses included in net earnings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980" w:type="dxa"/>
            <w:vAlign w:val="bottom"/>
          </w:tcPr>
          <w:p>
            <w:pPr>
              <w:ind w:left="180"/>
              <w:spacing w:after="0" w:line="148" w:lineRule="exact"/>
              <w:rPr>
                <w:sz w:val="20"/>
                <w:szCs w:val="20"/>
                <w:color w:val="auto"/>
              </w:rPr>
            </w:pPr>
            <w:r>
              <w:rPr>
                <w:rFonts w:ascii="Arial" w:cs="Arial" w:eastAsia="Arial" w:hAnsi="Arial"/>
                <w:sz w:val="13"/>
                <w:szCs w:val="13"/>
                <w:color w:val="auto"/>
              </w:rPr>
              <w:t>Purchase of additional interest in consolidated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980" w:type="dxa"/>
            <w:vAlign w:val="bottom"/>
          </w:tcPr>
          <w:p>
            <w:pPr>
              <w:ind w:left="180"/>
              <w:spacing w:after="0"/>
              <w:rPr>
                <w:sz w:val="20"/>
                <w:szCs w:val="20"/>
                <w:color w:val="auto"/>
              </w:rPr>
            </w:pPr>
            <w:r>
              <w:rPr>
                <w:rFonts w:ascii="Arial" w:cs="Arial" w:eastAsia="Arial" w:hAnsi="Arial"/>
                <w:sz w:val="13"/>
                <w:szCs w:val="13"/>
                <w:color w:val="auto"/>
              </w:rPr>
              <w:t>subsidiaries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withheld for taxes and in treasury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Arial" w:cs="Arial" w:eastAsia="Arial" w:hAnsi="Arial"/>
                <w:sz w:val="13"/>
                <w:szCs w:val="13"/>
                <w:color w:val="auto"/>
              </w:rPr>
              <w:t>Purchases of treasury stock</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Subsidiary dividends paid to noncontrolling interests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98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1,062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980" w:type="dxa"/>
            <w:vAlign w:val="bottom"/>
          </w:tcPr>
          <w:p>
            <w:pPr>
              <w:ind w:left="40"/>
              <w:spacing w:after="0"/>
              <w:rPr>
                <w:sz w:val="20"/>
                <w:szCs w:val="20"/>
                <w:color w:val="auto"/>
              </w:rPr>
            </w:pPr>
            <w:r>
              <w:rPr>
                <w:rFonts w:ascii="Arial" w:cs="Arial" w:eastAsia="Arial" w:hAnsi="Arial"/>
                <w:sz w:val="13"/>
                <w:szCs w:val="13"/>
                <w:color w:val="auto"/>
              </w:rPr>
              <w:t>Balance, December 31, 2019</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4,581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1,356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7"/>
              </w:rPr>
              <w:t>$ (598)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5,365</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r>
      <w:tr>
        <w:trPr>
          <w:trHeight w:val="19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794</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389</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(earnings) losses of unconsolidated affiliates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Loss on sales of investments and other assets and asset impairments, net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 business by FNFV Group</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Gain on Pacific Union Sale</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loss on valuation of equity and preferred securities,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Stock-based compensation cost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lease costs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Operating lease payments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trade receivables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Net (increase) decrease in prepaid expenses and other assets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accounts payable, accrued liabilities, deferred revenue and other liabilities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Net increase (decrease) in reserve for title claim losses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change in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250"/>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737</w:t>
            </w:r>
          </w:p>
        </w:tc>
      </w:tr>
      <w:tr>
        <w:trPr>
          <w:trHeight w:val="25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Proceeds from sales of investment securities available for sale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434</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Proceeds from sales of property and equipment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cost method and other investments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Additions to property and equipment and capitalized software</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 securities available for sale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Purchases of other long-term investments</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(purchases of) proceeds from short-term investment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Additional investments in unconsolidated affiliates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Fundings of Cannae Holdings Inc. note receivable</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repayments of Cannae Holdings Inc. note receivable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proceeds from Pacific Union Sale, net of cash transferred</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Proceeds from the sale of business by FNFV Group</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325</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T-System Holding LLC, net of cash acquired</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Acquisition of Title Guaranty of Hawaii, net of cash acquired</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Real Geeks, LLC and Sky Slope, Inc., net of cash acquired</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64"/>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acquisitions/disposals of businesses, net of cash acquired/disposed</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5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r>
      <w:tr>
        <w:trPr>
          <w:trHeight w:val="244"/>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change in secured trust deposits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Borrowings</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785</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service payments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Additional investment in noncontrolling interest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portion of debt conversions paid in cash</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Black Knight treasury stock repurchases of BKFS stock</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transferred in the Black Knight spin-off</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Cash transferred in the FNFV split-off</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97"/>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for shares withheld for taxes and in treasury</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82"/>
        </w:trPr>
        <w:tc>
          <w:tcPr>
            <w:tcW w:w="8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r>
    </w:tbl>
    <w:p>
      <w:pPr>
        <w:sectPr>
          <w:pgSz w:w="11900" w:h="16900" w:orient="portrait"/>
          <w:cols w:equalWidth="0" w:num="1">
            <w:col w:w="11420"/>
          </w:cols>
          <w:pgMar w:left="240" w:top="125" w:right="239" w:bottom="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3680" w:type="dxa"/>
            <w:vAlign w:val="bottom"/>
          </w:tcPr>
          <w:p>
            <w:pPr>
              <w:ind w:left="180"/>
              <w:spacing w:after="0"/>
              <w:rPr>
                <w:sz w:val="20"/>
                <w:szCs w:val="20"/>
                <w:color w:val="auto"/>
              </w:rPr>
            </w:pPr>
            <w:r>
              <w:rPr>
                <w:rFonts w:ascii="Arial" w:cs="Arial" w:eastAsia="Arial" w:hAnsi="Arial"/>
                <w:sz w:val="14"/>
                <w:szCs w:val="14"/>
                <w:color w:val="auto"/>
              </w:rPr>
              <w:t>Purchases of treasury stock</w:t>
            </w:r>
          </w:p>
        </w:tc>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0"/>
        </w:trPr>
        <w:tc>
          <w:tcPr>
            <w:tcW w:w="3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financing activity</w:t>
            </w:r>
          </w:p>
        </w:tc>
        <w:tc>
          <w:tcPr>
            <w:tcW w:w="47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47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r>
      <w:tr>
        <w:trPr>
          <w:trHeight w:val="256"/>
        </w:trPr>
        <w:tc>
          <w:tcPr>
            <w:tcW w:w="3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4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264"/>
        </w:trPr>
        <w:tc>
          <w:tcPr>
            <w:tcW w:w="36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4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1,323</w:t>
            </w:r>
          </w:p>
        </w:tc>
      </w:tr>
      <w:tr>
        <w:trPr>
          <w:trHeight w:val="243"/>
        </w:trPr>
        <w:tc>
          <w:tcPr>
            <w:tcW w:w="3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5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3680" w:type="dxa"/>
            <w:vAlign w:val="bottom"/>
          </w:tcPr>
          <w:p>
            <w:pPr>
              <w:spacing w:after="0"/>
              <w:rPr>
                <w:sz w:val="14"/>
                <w:szCs w:val="14"/>
                <w:color w:val="auto"/>
              </w:rPr>
            </w:pPr>
          </w:p>
        </w:tc>
        <w:tc>
          <w:tcPr>
            <w:tcW w:w="5080" w:type="dxa"/>
            <w:vAlign w:val="bottom"/>
            <w:gridSpan w:val="2"/>
          </w:tcPr>
          <w:p>
            <w:pPr>
              <w:jc w:val="right"/>
              <w:ind w:right="1640"/>
              <w:spacing w:after="0"/>
              <w:rPr>
                <w:sz w:val="20"/>
                <w:szCs w:val="20"/>
                <w:color w:val="auto"/>
              </w:rPr>
            </w:pPr>
            <w:r>
              <w:rPr>
                <w:rFonts w:ascii="Arial" w:cs="Arial" w:eastAsia="Arial" w:hAnsi="Arial"/>
                <w:sz w:val="14"/>
                <w:szCs w:val="14"/>
                <w:color w:val="auto"/>
              </w:rPr>
              <w:t>See Notes to Consolidated Financial Statements.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9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on businesses comprising our reportable segments, refer to Note R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 of Stewart Merger Agreement and Payment of Reverse Termination Fee</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2018, we signed a merger agreement (the "Stewart Merger Agreement") to acquire Stewart Information Services Corporation ("Stewart") (NYSE: STC) (the "Stewart Merger"). On, September 9, 2019, we entered into a mutual Termination Agreement with Stewart (the “Termination Agreement”), pursuant to which the parties agreed to terminate the Stewart Merger Agreement, due to the Federal Trade Commission's issuance of an administrative complaint seeking to block the merger. In connection with the termination of the Stewart Merger Agreement, we paid to Stewart, on September 12, 2019, the Reverse Termination Fee (as defined in the Stewart Merger Agreement) consisting of $50 million in cash, which is included within other operating expenses in the Consolidated Statements of Earnings.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Acquisition of FGL</w:t>
      </w:r>
    </w:p>
    <w:p>
      <w:pPr>
        <w:spacing w:after="0" w:line="9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February 7, 2020, we signed a merger agreement (the “Merger Agreement”) to acquire FGL Holdings (“FGL”) (NYSE: FG) (the “FGL Merger”). Subject to the terms and conditions of the Merger Agreement, which has been approved by the board of directors of FNF, at the First Effective Time (as defined in the Merger Agreement), the ordinary shares of FGL (the “Ordinary Shares”), including all restricted Ordinary Shares (whether vested or unvested), issued and outstanding as of immediately prior to the First Effective Time (other than (i) shares owned by FGL and any of its subsidiaries or FNF and any of its subsidiaries and (ii) shares in respect of which dissenters rights have been properly exercised and perfected under Cayman law) will be converted into the right to receive $12.50 in cash or 0.2558 shares (“the Stock Consideration”) of common stock of FNF (“FNF Common Stock”), at the election of the holder thereof and subject to the proration mechanics set forth in the Merger Agreement. Pursuant to the Merger Agreement, all Ordinary Shares held by FNF and its subsidiaries will be converted into the right to receive the Stock Consideration. Each Series B Cumulative Preferred Share, all of which are held by FNF and its subsidiaries, will be converted into the right to receive a number of shares of FNF Common Stock that is equal to (i) the Liquidation Preference (as defined in the Merger Agreement) divided by (ii) the Reference Parent Common Stock Price (as defined in the Merger Agreement).</w:t>
      </w:r>
    </w:p>
    <w:p>
      <w:pPr>
        <w:spacing w:after="0" w:line="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Additionally, all options to purchase Ordinary Shares (“FGL Share Option”) and phantom unit denominated in Ordinary Shares (“FGL Phantom Unit”), in each case, outstanding immediately prior to the First Effective Time, will be canceled and converted into options to purchase FNF Common Stock and phantom units denominated in FNF Common Stock at the First Effective Time (collectively, the “Rollover Awards”), as applicable. The Rollover Awards will generally be subject to the same terms and conditions as applicable to the applicable canceled FGL Share Option or FGL Phantom Unit immediately prior to the First Effective Time, except that (i) all performance-vesting criteria will be deemed satisfied at the First Effective Time at the levels described in the Merger Agreement and such Rollover Awards will be subject only to time-based vesting conditions after the First Effective Time, and (ii) immediately prior to the First Effective Time, additional time-vesting credits will be provided to holders in respect of FGL Share Options and FGL Phantom Units granted prior to January 1, 2020, as described in the Merger Agreement.</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closing of the transaction is subject to certain closing conditions, including the approval by FGL stockholders, federal and state regulatory approvals, and the satisfaction of other customary closing conditions. Closing is expected in the second or third quarter of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 from Cannae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12529"/>
        </w:rPr>
        <w:t>In November 2017, in conjunction with the split-off of our former portfolio company investments into a separate company, C</w:t>
      </w:r>
      <w:r>
        <w:rPr>
          <w:rFonts w:ascii="Arial" w:cs="Arial" w:eastAsia="Arial" w:hAnsi="Arial"/>
          <w:sz w:val="18"/>
          <w:szCs w:val="18"/>
          <w:color w:val="000000"/>
        </w:rPr>
        <w:t>annae Holdings, Inc.</w:t>
      </w:r>
      <w:r>
        <w:rPr>
          <w:rFonts w:ascii="Arial" w:cs="Arial" w:eastAsia="Arial" w:hAnsi="Arial"/>
          <w:sz w:val="18"/>
          <w:szCs w:val="18"/>
          <w:color w:val="212529"/>
        </w:rPr>
        <w:t xml:space="preserve"> </w:t>
      </w:r>
      <w:r>
        <w:rPr>
          <w:rFonts w:ascii="Arial" w:cs="Arial" w:eastAsia="Arial" w:hAnsi="Arial"/>
          <w:sz w:val="18"/>
          <w:szCs w:val="18"/>
          <w:color w:val="000000"/>
        </w:rPr>
        <w:t>("Cannae"), we issued to Cannae a revolver note (the "Cannae Revolver") in the aggregate principal amount of up to $100 million. Cannae is considered a related party to FNF.</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Cannae Revolver accrues interest quarterly at LIBOR plus 450 basis points and matures on the five-year anniversary from the date of issuance. The maturity date is automatically extended for additional five-year terms unless notice of non-renewal is otherwise provided by either FNF or Cannae, in their sole discretion.</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7, 2019, Cannae borrowed $100 million from FNF under the Cannae Revolver. On June 12, 2019, Cannae repaid to FNF the entire $100 million outstanding amount under the Cannae Revolver.</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5, 2019, Cannae borrowed $100 million from FNF under the Cannae Revolver. On September 11, 2019, Cannae repaid to FNF the entire $100 million outstanding amount under the Cannae Revolver.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there is no outstanding balance under the Cannae Revolver.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account for the Cannae Revolver as a financing receivable. Interest income is recorded ratably in periods in which principal is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Uncollectible financing receivables are written off or impaired when, based on all available information, it is probable that a loss has occurred.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Equity and preferred securities held are carried at fair value as of the balance sheet dates. Our equity and certain preferred securities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 xml:space="preserve">Other long-term investments consist of other investments and company-owned life insurance policies. Other investments are carried at fair value. See Note C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for further discussion of other investments. Company-owned life insurance policies are carried at cash surrender value.</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consist primarily of money market instruments, which are carried at fair value, and commercial paper, which have an original maturity of one year or less and are carried at amortized cost, which approximates fair value.</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Realized gains and losses on the sale of investments are determined on the basis of the cost of the specific investments sold and are credited or charged to income on a trade date basis. Beginning January 1, 2018, unrealized gains or losses on equity and preferred securities are included in earnings. Unrealized gains or losses on fixed maturity securities (and equity and preferred securities prior to January 1, 2018)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on fixed maturity securities are considered other-than-temporary if factors exist that cause us to believe that the value will not increase to a level sufficient to recover our cost basis. Some factors considered in evaluating whether or not a decline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in fair value is other-than-temporary include: (i) our need and intent to sell the investment prior to a period of time sufficient to allow for a recovery in value;</w:t>
      </w:r>
    </w:p>
    <w:p>
      <w:pPr>
        <w:spacing w:after="0" w:line="46" w:lineRule="exact"/>
        <w:rPr>
          <w:sz w:val="20"/>
          <w:szCs w:val="20"/>
          <w:color w:val="auto"/>
        </w:rPr>
      </w:pPr>
    </w:p>
    <w:p>
      <w:pPr>
        <w:ind w:firstLine="8"/>
        <w:spacing w:after="0" w:line="290" w:lineRule="auto"/>
        <w:tabs>
          <w:tab w:leader="none" w:pos="2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26" w:lineRule="exact"/>
        <w:rPr>
          <w:sz w:val="20"/>
          <w:szCs w:val="20"/>
          <w:color w:val="auto"/>
        </w:rPr>
      </w:pPr>
    </w:p>
    <w:p>
      <w:pPr>
        <w:jc w:val="both"/>
        <w:ind w:right="20" w:firstLine="324"/>
        <w:spacing w:after="0" w:line="334" w:lineRule="auto"/>
        <w:rPr>
          <w:sz w:val="20"/>
          <w:szCs w:val="20"/>
          <w:color w:val="auto"/>
        </w:rPr>
      </w:pPr>
      <w:r>
        <w:rPr>
          <w:rFonts w:ascii="Arial" w:cs="Arial" w:eastAsia="Arial" w:hAnsi="Arial"/>
          <w:sz w:val="16"/>
          <w:szCs w:val="16"/>
          <w:color w:val="auto"/>
        </w:rPr>
        <w:t xml:space="preserve">See Note S.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xml:space="preserve"> for discussion of ASU No. 2016-01 </w:t>
      </w:r>
      <w:r>
        <w:rPr>
          <w:rFonts w:ascii="Arial" w:cs="Arial" w:eastAsia="Arial" w:hAnsi="Arial"/>
          <w:sz w:val="16"/>
          <w:szCs w:val="16"/>
          <w:i w:val="1"/>
          <w:iCs w:val="1"/>
          <w:color w:val="auto"/>
        </w:rPr>
        <w:t>Financial Instruments - Overall (Subtopic 825-10): Recognition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Financial Assets and Financial Liabilities </w:t>
      </w:r>
      <w:r>
        <w:rPr>
          <w:rFonts w:ascii="Arial" w:cs="Arial" w:eastAsia="Arial" w:hAnsi="Arial"/>
          <w:sz w:val="16"/>
          <w:szCs w:val="16"/>
          <w:color w:val="auto"/>
        </w:rPr>
        <w:t>which changed the accounting for unrealized gains and losses on equity and preferred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89% - 94% reported within three months following closing, an additional 6% - 9% reported within the next three months and the remainder within seven to fifteen months. In addition to accruing these earned but unreported agency premiums, we also accrue agent commission expense, which was 76.3% of agent premiums earned in 2019, 76.5% of agent premiums earned in 2018, and 76.7% of agent premiums earned in 2017. The amount due from our agents relating to this accrual, i.e., the agent premium less their contractual retained commission, was approximately $46 million and $44 million at December 31, 2019 and 2018, respectively. Due to the offsetting effects of reversing prior period accruals, the impact of this accrual to our recorded Agency title insurance premiums, Agent commissions and net earnings in any given period is not considered material.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completed annual goodwill impairment analyses in the fourth quarter of each period presented using a September 30 measurement date. As a result of the analysis, $3 million of goodwill impairment related to a real estate brokerage reporting unit in our Corporate and other segment was recorded in the year ended December 31, 2018. For the years ended December 31, 2019 and 2017, we determined there were no events or circumstances which indicated that the carrying value exceeded the fair value. See Note F. </w:t>
      </w:r>
      <w:r>
        <w:rPr>
          <w:rFonts w:ascii="Arial" w:cs="Arial" w:eastAsia="Arial" w:hAnsi="Arial"/>
          <w:sz w:val="18"/>
          <w:szCs w:val="18"/>
          <w:i w:val="1"/>
          <w:iCs w:val="1"/>
          <w:color w:val="auto"/>
        </w:rPr>
        <w:t>Goodwill</w:t>
      </w:r>
      <w:r>
        <w:rPr>
          <w:rFonts w:ascii="Arial" w:cs="Arial" w:eastAsia="Arial" w:hAnsi="Arial"/>
          <w:sz w:val="18"/>
          <w:szCs w:val="18"/>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other intangible assets, not including goodwill, which consist primarily of customer relationships and contracts, trademarks and tradenames,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ten years, using an accelerated method which takes into consideration expected customer attrition rates. Contractual relationships are generally amortized over their contractual life. Trademarks and tradenames are generally amortized over ten years. Capitalized software includes the fair value of software acquired in business combinations, purchased software and capitalized software development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9" w:name="page60"/>
    <w:bookmarkEnd w:id="5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five to ten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recorded no impairment expense to other intangible assets during the year ended December 31, 2019. We recorded $3 million and $1 million in impairment expense to other intangible assets during the years ended December 31, 2018 and 2017, respectively. The impairment in 2018 primarily relates to an acquired customer relationship asset in our Title segment. The impairment in 2017 was for computer software at ServiceLink.</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recorded $1 million in impairment expense to title plants during the year ended December 31, 2019 for two title plants which are no longer in use. We reviewed title plants for impairment but recorded no impairment expense related to title plants in the years ended December 31, 2018 or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reserve for title claim losses also includes reserves for losses arising from closing and disbursement functions due to fraud or operational error.</w:t>
      </w:r>
    </w:p>
    <w:p>
      <w:pPr>
        <w:spacing w:after="0" w:line="10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$791 million and $822 million at December 31, 2019 and 2018, respectively, representing customers’ assets held by us and corresponding assets including cash and investments pledged as security for those trust balances.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0" w:name="page61"/>
    <w:bookmarkEnd w:id="6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Refer to Note T.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description of our accounting for our various revenue streams.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of each outstanding share of FNFV common stock for one share of Cannae common stock, as of November 17, 2017. As a result of the FNFV Split-Off, Cannae became a separate, publicly-traded company (NYSE: CNNE) as of November 20, 2017. All of the Company’s core title insurance, real estate, technology and mortgage related businesses, assets and liabilities currently attributed to the Company’s FNF common stock that were not held by Cannae remain with the Company. As a result of the FNFV Split-Off, the financial results of FNFV Group have been reclassified to discontinued operations for the year ended December 31, 2017.</w:t>
      </w:r>
    </w:p>
    <w:p>
      <w:pPr>
        <w:spacing w:after="0" w:line="5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29, 2017 we completed our tax-free distribution to FNF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 traded holding company, Black Knight, Inc. ("New Black Knight"). Holders of FNF common stock received approximately 0.30663 shares of New Black Knight common stock for every one share of FNF common stock held at the close of business on September 20, 2017, the record date for the BK Distribution. New Black Knight's common stock is now listed under the symbol “BKI” on the New York Stock Exchange. The BK Distribution was generally tax-free to FNF shareholders for U.S. federal income tax purposes, except to the extent of any cash received in lieu of New Black Knight's fractional shares. As a result of the BK Distribution, the financial results of Black Knight have been reclassified to discontinued operations for the year ended December 31, 2017.</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details of the results and financial position of FNFV and Black Knight.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 (Loss)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Realized gains and losses, net on the Consolidated Statements of Earnings.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balance of Other comprehensive earnings (loss) by component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1" w:name="page62"/>
    <w:bookmarkEnd w:id="6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gain (loss) on</w:t>
            </w:r>
          </w:p>
        </w:tc>
        <w:tc>
          <w:tcPr>
            <w:tcW w:w="16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Unrealized gain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investments and other financial</w:t>
            </w:r>
          </w:p>
        </w:tc>
        <w:tc>
          <w:tcPr>
            <w:tcW w:w="16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(loss) relating to</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Unrealized (loss) gain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Total Accumulated</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instruments, net (excluding</w:t>
            </w:r>
          </w:p>
        </w:tc>
        <w:tc>
          <w:tcPr>
            <w:tcW w:w="16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87"/>
              </w:rPr>
              <w:t>investments 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foreign currency</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Minimum pension</w:t>
            </w: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Other</w:t>
            </w:r>
          </w:p>
        </w:tc>
      </w:tr>
      <w:tr>
        <w:trPr>
          <w:trHeight w:val="203"/>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investments in unconsolidated</w:t>
            </w:r>
          </w:p>
        </w:tc>
        <w:tc>
          <w:tcPr>
            <w:tcW w:w="16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unconsolidated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translation and cash</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liability</w:t>
            </w: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Comprehensive</w:t>
            </w:r>
          </w:p>
        </w:tc>
      </w:tr>
      <w:tr>
        <w:trPr>
          <w:trHeight w:val="210"/>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affiliates)</w:t>
            </w:r>
          </w:p>
        </w:tc>
        <w:tc>
          <w:tcPr>
            <w:tcW w:w="160" w:type="dxa"/>
            <w:vAlign w:val="bottom"/>
          </w:tcPr>
          <w:p>
            <w:pPr>
              <w:spacing w:after="0"/>
              <w:rPr>
                <w:sz w:val="18"/>
                <w:szCs w:val="18"/>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affiliates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flow hedging</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adjustment</w:t>
            </w:r>
          </w:p>
        </w:tc>
        <w:tc>
          <w:tcPr>
            <w:tcW w:w="140" w:type="dxa"/>
            <w:vAlign w:val="bottom"/>
          </w:tcPr>
          <w:p>
            <w:pPr>
              <w:spacing w:after="0"/>
              <w:rPr>
                <w:sz w:val="18"/>
                <w:szCs w:val="18"/>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Earnings (Loss)</w:t>
            </w:r>
          </w:p>
        </w:tc>
      </w:tr>
      <w:tr>
        <w:trPr>
          <w:trHeight w:val="33"/>
        </w:trPr>
        <w:tc>
          <w:tcPr>
            <w:tcW w:w="2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60" w:type="dxa"/>
            <w:vAlign w:val="bottom"/>
            <w:gridSpan w:val="5"/>
          </w:tcPr>
          <w:p>
            <w:pPr>
              <w:ind w:left="40"/>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Balance December 31, 2017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111</w:t>
            </w: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0"/>
        </w:trPr>
        <w:tc>
          <w:tcPr>
            <w:tcW w:w="27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Adjustment for cumulative effect for</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adoption of ASU 2016-01</w:t>
            </w:r>
          </w:p>
        </w:tc>
        <w:tc>
          <w:tcPr>
            <w:tcW w:w="1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37"/>
        </w:trPr>
        <w:tc>
          <w:tcPr>
            <w:tcW w:w="2740" w:type="dxa"/>
            <w:vAlign w:val="bottom"/>
          </w:tcPr>
          <w:p>
            <w:pPr>
              <w:ind w:left="280"/>
              <w:spacing w:after="0"/>
              <w:rPr>
                <w:sz w:val="20"/>
                <w:szCs w:val="20"/>
                <w:color w:val="auto"/>
              </w:rPr>
            </w:pPr>
            <w:r>
              <w:rPr>
                <w:rFonts w:ascii="Arial" w:cs="Arial" w:eastAsia="Arial" w:hAnsi="Arial"/>
                <w:sz w:val="16"/>
                <w:szCs w:val="16"/>
                <w:color w:val="auto"/>
              </w:rPr>
              <w:t>Adoption of ASU 2018-02</w:t>
            </w:r>
          </w:p>
        </w:tc>
        <w:tc>
          <w:tcPr>
            <w:tcW w:w="12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earnings</w:t>
            </w:r>
          </w:p>
        </w:tc>
        <w:tc>
          <w:tcPr>
            <w:tcW w:w="1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Balance December 31, 2018</w:t>
            </w:r>
          </w:p>
        </w:tc>
        <w:tc>
          <w:tcPr>
            <w:tcW w:w="1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2740" w:type="dxa"/>
            <w:vAlign w:val="bottom"/>
          </w:tcPr>
          <w:p>
            <w:pPr>
              <w:ind w:left="280"/>
              <w:spacing w:after="0"/>
              <w:rPr>
                <w:sz w:val="20"/>
                <w:szCs w:val="20"/>
                <w:color w:val="auto"/>
              </w:rPr>
            </w:pPr>
            <w:r>
              <w:rPr>
                <w:rFonts w:ascii="Arial" w:cs="Arial" w:eastAsia="Arial" w:hAnsi="Arial"/>
                <w:sz w:val="16"/>
                <w:szCs w:val="16"/>
                <w:color w:val="auto"/>
              </w:rPr>
              <w:t>Other comprehensive earnings</w:t>
            </w:r>
          </w:p>
        </w:tc>
        <w:tc>
          <w:tcPr>
            <w:tcW w:w="120" w:type="dxa"/>
            <w:vAlign w:val="bottom"/>
          </w:tcPr>
          <w:p>
            <w:pPr>
              <w:spacing w:after="0"/>
              <w:rPr>
                <w:sz w:val="20"/>
                <w:szCs w:val="20"/>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Subsequent to our acquisition of Lender Processing Services, Inc. ("LPS") in January 2014, we issued a 35% ownership interest in ServiceLink to funds affiliated with Thomas H. Lee Partners ("THL" or "the minority interest holder"). THL has an option to put its ownership interests of ServiceLink to us if no public offering of the corresponding business was consummated after four years from the date of FNF's purchase of LPS. The units owned by THL (the "redeemable noncontrolling interests") may be settled in cash or common stock of FNF or a combination of both at our election. As of January 2018, no public offering was made and the redeemable noncontrolling interests were no longer subject to a holding requirement. The redeemable noncontrolling interests will be settled at the current fair value at the time we receive notice of THL's put election as determined by the parties or by a third party appraisal under the terms of the Unit Purchase Agreement. As a result of a recapitalization of ServiceLink in 2015, the ownership interest by the minority interest holder was reduced from 35% to 21%. As of December 31, 2019, the redeemable noncontrolling interests have a fair value of approximately $176 million and we do not believe the exercise of their remaining put right in ServiceLink to be probable. The redeemable noncontrolling interests are recorded at their initial value of $344 million in our consolidated balance sheets and would be adjusted to fair value were such value to rise above the initial value.</w:t>
      </w:r>
    </w:p>
    <w:p>
      <w:pPr>
        <w:spacing w:after="0" w:line="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these redeemable noncontrolling interests provide for redemption features not solely within our control, we classify the redeemable noncontrolling interests outside of permanent equity. Redeemable noncontrolling interests held by third parties in subsidiaries owned or controlled by FNF is reported on the Consolidated Balance Sheet outside of permanent equity; and the Consolidated Statement of Earnings reflects the respective redeemable noncontrolling interests in Net earnings attributable to non-controlling interests, the effect of which is removed from the net earnings attributable to Fidelity National Financial, Inc. common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Restricted stock, options or other instruments which provide the ability to acquire shares of our common stock that are antidilutive are excluded from the computation of diluted earnings per share. For the years ended December 31, 2019 and 2018, no antidilutive shares were outstanding.</w:t>
      </w:r>
    </w:p>
    <w:p>
      <w:pPr>
        <w:spacing w:after="0" w:line="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Basic and diluted earnings per share attributable to our former FNFV group common stock for the 2017 period were calculated using weighted average shares outstanding through the date of the FNFV Split-off, November 17, 2017.</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reclassifications have been made in the 2018 and 2017 Consolidated Financial Statements to conform to classifications used in 2019. These reclassifications have not changed net earnings or total equity, as previously reported.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information on reclassifications related to disposed businesses.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1" w:right="239" w:bottom="1440" w:gutter="0" w:footer="0" w:header="0"/>
        </w:sectPr>
      </w:pPr>
    </w:p>
    <w:bookmarkStart w:id="63" w:name="page64"/>
    <w:bookmarkEnd w:id="6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Leases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adopted ASC Topic 842 on January 1, 2019 using a modified retrospective approach. Prior year periods continue to be reported under ASC Topic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840. See Note S.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xml:space="preserve"> for further discussion of the current period effects of adoption of ASU No. 2016-02 </w:t>
      </w:r>
      <w:r>
        <w:rPr>
          <w:rFonts w:ascii="Arial" w:cs="Arial" w:eastAsia="Arial" w:hAnsi="Arial"/>
          <w:sz w:val="16"/>
          <w:szCs w:val="16"/>
          <w:i w:val="1"/>
          <w:iCs w:val="1"/>
          <w:color w:val="auto"/>
        </w:rPr>
        <w:t>Leases (Topic 842).</w:t>
      </w:r>
    </w:p>
    <w:p>
      <w:pPr>
        <w:spacing w:after="0" w:line="20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Right-of-use assets and lease liabilities related to operating leases under ASC Topic 842 are recorded when we are party to a contract which conveys the right for the Company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2019.</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operating leases range in term from one to ten years. As of December 31, 2019, the weighted-average remaining lease term of our operating leases was 4.2 years.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lease agreements do not contain material variable lease payments, buyout options, residual value guarantees or restrictive covenants.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lease liability is determined by discounting future lease payments using a discount rate based on the Company's incremental borrowing rate for similar collateralized borrowing. The discount rate is calculated as an average of the current yield on our unsecured notes payable and 140 basis points in excess of the current five year LIBOR swap rate. As of December 31, 2019 the weighted-average discount rate used to determine our operating lease liability was 4.23%.</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separate lease components from non-lease components for any of our right-of-use assets.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lease costs are included in Other operating expenses on the Consolidated Statements of Income and was $146 million for the year ended December 31, 2019. We do not have any material short term lease costs, variable lease costs, or sublease income.</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Rent expense incurred for operating leases under ASC Topic 840 during the years ended December 31, 2018 and 2017 was $150 million and $144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payments under operating lease arrangements accounted for under ASC Topic 842 as of December 31, 2019 are as follows (in millions):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121</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7"/>
        </w:trPr>
        <w:tc>
          <w:tcPr>
            <w:tcW w:w="10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payments, undiscounted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w:t>
            </w: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color w:val="auto"/>
              </w:rPr>
              <w:t>Less: present value discount</w:t>
            </w: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10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 at present value</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r>
      <w:tr>
        <w:trPr>
          <w:trHeight w:val="20"/>
        </w:trPr>
        <w:tc>
          <w:tcPr>
            <w:tcW w:w="10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Note P. </w:t>
      </w:r>
      <w:r>
        <w:rPr>
          <w:rFonts w:ascii="Arial" w:cs="Arial" w:eastAsia="Arial" w:hAnsi="Arial"/>
          <w:sz w:val="18"/>
          <w:szCs w:val="18"/>
          <w:i w:val="1"/>
          <w:iCs w:val="1"/>
          <w:color w:val="auto"/>
        </w:rPr>
        <w:t>Supplementary Cash Flow Information</w:t>
      </w:r>
      <w:r>
        <w:rPr>
          <w:rFonts w:ascii="Arial" w:cs="Arial" w:eastAsia="Arial" w:hAnsi="Arial"/>
          <w:sz w:val="18"/>
          <w:szCs w:val="18"/>
          <w:color w:val="auto"/>
        </w:rPr>
        <w:t xml:space="preserve"> for certain information on noncash investing and financing activities related to our operating lease arrangements.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4" w:name="page65"/>
    <w:bookmarkEnd w:id="6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2019 and 2018,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securities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323</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3,344</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9"/>
        </w:trPr>
        <w:tc>
          <w:tcPr>
            <w:tcW w:w="6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securities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2,898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Level 2 fair value measures for preferred and fixed-maturity securities available for sale are provided by a third-party pricing service. We utilize one firm for our preferred securities and our bond portfolios. The pricing service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w:t>
      </w:r>
    </w:p>
    <w:p>
      <w:pPr>
        <w:sectPr>
          <w:pgSz w:w="11900" w:h="16838" w:orient="portrait"/>
          <w:cols w:equalWidth="0" w:num="1">
            <w:col w:w="11420"/>
          </w:cols>
          <w:pgMar w:left="240" w:top="121" w:right="2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1" w:right="239" w:bottom="1440" w:gutter="0" w:footer="0" w:header="0"/>
          <w:type w:val="continuous"/>
        </w:sectPr>
      </w:pPr>
    </w:p>
    <w:bookmarkStart w:id="65" w:name="page66"/>
    <w:bookmarkEnd w:id="6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securities, bids, offers and reference data including market research publications. We review the pricing methodologies for all of our Level 2 securities by obtaining an understanding of the valuation models and assumptions used by the third-party. When available and for certain investments, we independently compare the resulting prices to other publicly available measures of fair value and internally developed models. The pricing methodologies used by the relevant third-party pricing services are as follows:</w:t>
      </w:r>
    </w:p>
    <w:p>
      <w:pPr>
        <w:spacing w:after="0" w:line="52" w:lineRule="exact"/>
        <w:rPr>
          <w:sz w:val="20"/>
          <w:szCs w:val="20"/>
          <w:color w:val="auto"/>
        </w:rPr>
      </w:pPr>
    </w:p>
    <w:p>
      <w:pPr>
        <w:ind w:left="660" w:right="2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conjunction with our adoption of ASU No. 2016-01, beginning January 1, 2018, we began recording certain preferred equity investments included in other long term investments at fair value which were previously accounted for as cost method investments. See discussion of Recent Accounting Pronouncements in Note S.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for further information on the impact of the adoption of ASU No. 2016-01.</w:t>
      </w:r>
    </w:p>
    <w:p>
      <w:pPr>
        <w:spacing w:after="0" w:line="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Level 3 fair value measures for our other long term investment are provided by a third-party pricing service. We utilize one firm to value our Level 3 other long-term investment. The pricing service is a leading global provider of financial market data, analytics and related services to financial institutions. We utilize the income approach and a discounted cash flow analysis in determining the fair value of our Level 3 other long-term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long-term investment as of December 31, 2019 was a range of 6.8% - 7.4% and a weighted-average of 7.0%. Based on the total fair value of our Level 3 other long-term investment as of December 31, 2019, changes in the discount rate utilized will not result in a fair value significantly different than the amount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6" w:name="page67"/>
    <w:bookmarkEnd w:id="6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fair values of Level 3 assets, measured on a recurring basis, for the years ended December 31, 2019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 long-term</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Corporate debt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investments</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8"/>
              </w:rPr>
              <w:t>securities</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securities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940" w:type="dxa"/>
            <w:vAlign w:val="bottom"/>
          </w:tcPr>
          <w:p>
            <w:pPr>
              <w:ind w:left="40"/>
              <w:spacing w:after="0"/>
              <w:rPr>
                <w:sz w:val="20"/>
                <w:szCs w:val="20"/>
                <w:color w:val="auto"/>
              </w:rPr>
            </w:pPr>
            <w:r>
              <w:rPr>
                <w:rFonts w:ascii="Arial" w:cs="Arial" w:eastAsia="Arial" w:hAnsi="Arial"/>
                <w:sz w:val="18"/>
                <w:szCs w:val="18"/>
                <w:color w:val="auto"/>
              </w:rPr>
              <w:t>Fair value, December 31,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Fair value of assets associated with the adoption of ASU 2016-01</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Transfers from Level 2</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Paid-in-kind dividends (2)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fair value included in earnings (3)</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Arial" w:cs="Arial" w:eastAsia="Arial" w:hAnsi="Arial"/>
                <w:sz w:val="18"/>
                <w:szCs w:val="18"/>
                <w:color w:val="auto"/>
              </w:rPr>
              <w:t>Net unrealized loss included in other comprehensive (loss)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Transfers to Level 2</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Paid-in-kind dividends (2)</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fair value included in earnings (3)</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940" w:type="dxa"/>
            <w:vAlign w:val="bottom"/>
          </w:tcPr>
          <w:p>
            <w:pPr>
              <w:ind w:left="40"/>
              <w:spacing w:after="0"/>
              <w:rPr>
                <w:sz w:val="20"/>
                <w:szCs w:val="20"/>
                <w:color w:val="auto"/>
              </w:rPr>
            </w:pPr>
            <w:r>
              <w:rPr>
                <w:rFonts w:ascii="Arial" w:cs="Arial" w:eastAsia="Arial" w:hAnsi="Arial"/>
                <w:sz w:val="18"/>
                <w:szCs w:val="18"/>
                <w:color w:val="auto"/>
              </w:rPr>
              <w:t>Fair value,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See Note S.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for further discussion.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Interest and investment income on the Consolidated Statements of Earnings.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Realized gains and losses, net on the Consolidated Statements of Earnings.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For the year ended December 31, 2019, transfers between Level 2 and Level 3 are not considered material to the Company's financial position or results of operations. For the year ended December 31,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 The Company’s policy is to recognize transfers between levels in the fair value hierarchy at the end of the reporting period.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transfers of assets or liabilities measured at fair value using Level 1 inputs to Level 2 in the years ended December 31, 2019 or 2018.</w:t>
      </w:r>
    </w:p>
    <w:p>
      <w:pPr>
        <w:spacing w:after="0" w:line="14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Substantially all of the unrealized gain (loss) on investments and other financial instruments, net (excluding investments in unconsolidated affiliates) on our Consolidated Statements of Comprehensive Income relate to fixed maturity securities which are considered Level 2 fair value measures.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carrying amounts of short-term investments, accounts receivable and notes receivable approximate fair value due to their short-term nature. The fair value of our notes payable is included in Note J. </w:t>
      </w:r>
      <w:r>
        <w:rPr>
          <w:rFonts w:ascii="Arial" w:cs="Arial" w:eastAsia="Arial" w:hAnsi="Arial"/>
          <w:sz w:val="18"/>
          <w:szCs w:val="18"/>
          <w:i w:val="1"/>
          <w:iCs w:val="1"/>
          <w:color w:val="auto"/>
        </w:rPr>
        <w:t>Notes Payable</w:t>
      </w:r>
      <w:r>
        <w:rPr>
          <w:rFonts w:ascii="Arial" w:cs="Arial" w:eastAsia="Arial" w:hAnsi="Arial"/>
          <w:sz w:val="18"/>
          <w:szCs w:val="18"/>
          <w:color w:val="auto"/>
        </w:rPr>
        <w: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D.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7" w:name="page68"/>
    <w:bookmarkEnd w:id="6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5"/>
          <w:szCs w:val="15"/>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basis and fair values of our available for sale securities at December 31, 2019 and 2018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282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226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1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net unrealized gains and (losses) on fixed maturities for the years ended December 31, 2019, 2018, and 2017 was an increase (decrease) of $72 million, $(21) million, and $(1) million, respectively.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96"/>
              </w:rPr>
              <w:t>Maturity</w:t>
            </w:r>
          </w:p>
        </w:tc>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Amortized Cost</w:t>
            </w:r>
          </w:p>
        </w:tc>
        <w:tc>
          <w:tcPr>
            <w:tcW w:w="122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right"/>
              <w:ind w:right="294"/>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one year through five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ten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Fixed maturity securities valued at approximately $94 million and $122 million were on deposit with various governmental authorities at December 31, 2019 and 2018, respectively, as required by law.</w:t>
      </w:r>
    </w:p>
    <w:p>
      <w:pPr>
        <w:sectPr>
          <w:pgSz w:w="11900" w:h="16838" w:orient="portrait"/>
          <w:cols w:equalWidth="0" w:num="1">
            <w:col w:w="11420"/>
          </w:cols>
          <w:pgMar w:left="240" w:top="121"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1" w:right="239" w:bottom="1440" w:gutter="0" w:footer="0" w:header="0"/>
          <w:type w:val="continuous"/>
        </w:sectPr>
      </w:pPr>
    </w:p>
    <w:bookmarkStart w:id="68" w:name="page69"/>
    <w:bookmarkEnd w:id="6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2019 and 2018 are as follows (in millions):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December 31, 2018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962</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unrealized losses for the corporate debt securities and U.S. government bonds were primarily caused by fluctuations in interest rates. The unrealized losses for the foreign government bonds were primarily caused by foreign exchange fluctuations. We consider the unrealized losses related to these securities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2019.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4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years ended December 31, 2019, 2018 and 2017 we incurred impairment charges relating to investments that were determined to be other-than-temporarily impaired, which resulted in impairment charges of $8 million, $3 million and $1 million, respectively. The impairment charges in 2019 related to credit risks of certain issuers of our fixed maturity securities which have exhibited a decreasing fair value and from which we are uncertain of our ability to recover our initial investment. The impairment charges in 2018 and 2017 related to fixed maturity securities of investees entering Chapter 11 bankruptcy which have exhibited a decreasing fair market value and from which we are uncertain of our ability to recover our initial investment.</w:t>
      </w:r>
    </w:p>
    <w:p>
      <w:pPr>
        <w:spacing w:after="0" w:line="2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December 31, 2019, we held $9 million of investment securities for which other-than-temporary impairments have been previously recognized. As of December 31, 2018, we held no investment securities for which other-than-temporary impairments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9" w:name="page70"/>
    <w:bookmarkEnd w:id="6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years ended December 31, 2019, 2018, and 2017, respectively: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2019</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Valuation gain on equity securities (1)</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gain on preferred securities (1)</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Valuation of other long term investments (1)</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lease assets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realized gains and losses, net</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5"/>
        </w:trPr>
        <w:tc>
          <w:tcPr>
            <w:tcW w:w="754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 xml:space="preserve">(1) See discussion of adoption of ASU 2016-01 in Note S. </w:t>
            </w:r>
            <w:r>
              <w:rPr>
                <w:rFonts w:ascii="Arial" w:cs="Arial" w:eastAsia="Arial" w:hAnsi="Arial"/>
                <w:sz w:val="14"/>
                <w:szCs w:val="14"/>
                <w:i w:val="1"/>
                <w:iCs w:val="1"/>
                <w:color w:val="auto"/>
              </w:rPr>
              <w:t>Recent Accounting Pronouncements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2018</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Valuation loss on equity securities (1)</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loss on preferred securities (1)</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Pacific Union Sale</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realized gains and losses, net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45"/>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 xml:space="preserve">(1) See discussion of adoption of ASU 2016-01 in Note S. </w:t>
            </w:r>
            <w:r>
              <w:rPr>
                <w:rFonts w:ascii="Arial" w:cs="Arial" w:eastAsia="Arial" w:hAnsi="Arial"/>
                <w:sz w:val="14"/>
                <w:szCs w:val="14"/>
                <w:i w:val="1"/>
                <w:iCs w:val="1"/>
                <w:color w:val="auto"/>
              </w:rPr>
              <w:t>Recent Accounting Pronouncements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2017</w:t>
            </w: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Loss on debt conversions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realized gains and losses, net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92"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1" w:right="239" w:bottom="892" w:gutter="0" w:footer="0" w:header="0"/>
          <w:type w:val="continuous"/>
        </w:sectPr>
      </w:pPr>
    </w:p>
    <w:bookmarkStart w:id="70" w:name="page71"/>
    <w:bookmarkEnd w:id="7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investment income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9"/>
          </w:tcPr>
          <w:p>
            <w:pPr>
              <w:jc w:val="center"/>
              <w:ind w:left="12"/>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Tax-deferred property exchange income</w:t>
            </w: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6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 and preferred stock available for sale</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Other</w:t>
            </w:r>
          </w:p>
        </w:tc>
        <w:tc>
          <w:tcPr>
            <w:tcW w:w="7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225</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E.</w:t>
            </w:r>
          </w:p>
        </w:tc>
        <w:tc>
          <w:tcPr>
            <w:tcW w:w="71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b w:val="1"/>
                <w:bCs w:val="1"/>
                <w:color w:val="auto"/>
              </w:rPr>
              <w:t>Property and Equipment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020" w:type="dxa"/>
            <w:vAlign w:val="bottom"/>
            <w:vMerge w:val="continue"/>
          </w:tcPr>
          <w:p>
            <w:pPr>
              <w:spacing w:after="0"/>
              <w:rPr>
                <w:sz w:val="24"/>
                <w:szCs w:val="24"/>
                <w:color w:val="auto"/>
              </w:rPr>
            </w:pPr>
          </w:p>
        </w:tc>
        <w:tc>
          <w:tcPr>
            <w:tcW w:w="71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gridSpan w:val="2"/>
          </w:tcPr>
          <w:p>
            <w:pPr>
              <w:ind w:left="300"/>
              <w:spacing w:after="0"/>
              <w:rPr>
                <w:sz w:val="20"/>
                <w:szCs w:val="20"/>
                <w:color w:val="auto"/>
              </w:rPr>
            </w:pPr>
            <w:r>
              <w:rPr>
                <w:rFonts w:ascii="Arial" w:cs="Arial" w:eastAsia="Arial" w:hAnsi="Arial"/>
                <w:sz w:val="18"/>
                <w:szCs w:val="18"/>
                <w:color w:val="auto"/>
              </w:rPr>
              <w:t>Property and equipment consists of the following:</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Furniture, fixtures and equipment</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2"/>
                <w:szCs w:val="22"/>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Data processing equipment</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7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Land</w:t>
            </w:r>
          </w:p>
        </w:tc>
        <w:tc>
          <w:tcPr>
            <w:tcW w:w="7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property and equipment, gross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5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Total property and equipment, net</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on property and equipment was $42 million, $46 million, and $48 million for the years ended December 31, 2019, 2018, and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7040" w:type="dxa"/>
            <w:vAlign w:val="bottom"/>
          </w:tcPr>
          <w:p>
            <w:pPr>
              <w:ind w:left="220"/>
              <w:spacing w:after="0"/>
              <w:rPr>
                <w:sz w:val="20"/>
                <w:szCs w:val="20"/>
                <w:color w:val="auto"/>
              </w:rPr>
            </w:pPr>
            <w:r>
              <w:rPr>
                <w:rFonts w:ascii="Arial" w:cs="Arial" w:eastAsia="Arial" w:hAnsi="Arial"/>
                <w:sz w:val="18"/>
                <w:szCs w:val="18"/>
                <w:b w:val="1"/>
                <w:bCs w:val="1"/>
                <w:color w:val="auto"/>
              </w:rPr>
              <w:t>Goodwill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120" w:type="dxa"/>
            <w:vAlign w:val="bottom"/>
            <w:gridSpan w:val="2"/>
          </w:tcPr>
          <w:p>
            <w:pPr>
              <w:ind w:left="340"/>
              <w:spacing w:after="0"/>
              <w:rPr>
                <w:sz w:val="20"/>
                <w:szCs w:val="20"/>
                <w:color w:val="auto"/>
              </w:rPr>
            </w:pPr>
            <w:r>
              <w:rPr>
                <w:rFonts w:ascii="Arial" w:cs="Arial" w:eastAsia="Arial" w:hAnsi="Arial"/>
                <w:sz w:val="18"/>
                <w:szCs w:val="18"/>
                <w:color w:val="auto"/>
              </w:rPr>
              <w:t>Goodwill consists of the following: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Goodwill acquired during the year</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Pacific Union Sale</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70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2018</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2019</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2,462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162" w:gutter="0" w:footer="0" w:header="0"/>
          <w:type w:val="continuous"/>
        </w:sectPr>
      </w:pPr>
    </w:p>
    <w:bookmarkStart w:id="71" w:name="page72"/>
    <w:bookmarkEnd w:id="7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G.</w:t>
      </w:r>
      <w:r>
        <w:rPr>
          <w:sz w:val="20"/>
          <w:szCs w:val="20"/>
          <w:color w:val="auto"/>
        </w:rPr>
        <w:tab/>
      </w:r>
      <w:r>
        <w:rPr>
          <w:rFonts w:ascii="Arial" w:cs="Arial" w:eastAsia="Arial" w:hAnsi="Arial"/>
          <w:sz w:val="16"/>
          <w:szCs w:val="16"/>
          <w:b w:val="1"/>
          <w:bCs w:val="1"/>
          <w:color w:val="auto"/>
        </w:rPr>
        <w:t>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result of the BK Distribution, the financial results of Black Knight have been reclassified to discontinued operations for all periods presented in our Consolidated Statements of Earnings. We retained no ownership in Black Knight.</w:t>
      </w:r>
    </w:p>
    <w:p>
      <w:pPr>
        <w:spacing w:after="0" w:line="14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various agreements with Black Knight to provide technology, data and analytics services, as well as corporate shared services and information technology. We are also a party to certain other agreements under which we incur other expenses or receive revenues from Black Knight. We expect to continue utilizing Black Knight to provide technology and data and analytics services for the foreseeable future. The cash inflows and outflows from and to Black Knight as well as revenues and expenses included in continuing operations subsequent to the BK Distribution which were previously eliminated in our consolidated financial statements as intra-entity transactions, are not considered material to our results of operations.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Black Knight included in discontinued operations is shown below:</w:t>
      </w:r>
    </w:p>
    <w:p>
      <w:pPr>
        <w:spacing w:after="0" w:line="374"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916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Year Ended December 31,</w:t>
            </w:r>
          </w:p>
        </w:tc>
      </w:tr>
      <w:tr>
        <w:trPr>
          <w:trHeight w:val="33"/>
        </w:trPr>
        <w:tc>
          <w:tcPr>
            <w:tcW w:w="9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9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r>
      <w:tr>
        <w:trPr>
          <w:trHeight w:val="33"/>
        </w:trPr>
        <w:tc>
          <w:tcPr>
            <w:tcW w:w="9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91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color w:val="auto"/>
              </w:rPr>
              <w:t>(in millions)</w:t>
            </w:r>
          </w:p>
        </w:tc>
      </w:tr>
      <w:tr>
        <w:trPr>
          <w:trHeight w:val="33"/>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Escrow, title-related and other fees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745</w:t>
            </w:r>
          </w:p>
        </w:tc>
      </w:tr>
      <w:tr>
        <w:trPr>
          <w:trHeight w:val="224"/>
        </w:trPr>
        <w:tc>
          <w:tcPr>
            <w:tcW w:w="9160" w:type="dxa"/>
            <w:vAlign w:val="bottom"/>
          </w:tcPr>
          <w:p>
            <w:pPr>
              <w:ind w:left="260"/>
              <w:spacing w:after="0"/>
              <w:rPr>
                <w:sz w:val="20"/>
                <w:szCs w:val="20"/>
                <w:color w:val="auto"/>
              </w:rPr>
            </w:pPr>
            <w:r>
              <w:rPr>
                <w:rFonts w:ascii="Arial" w:cs="Arial" w:eastAsia="Arial" w:hAnsi="Arial"/>
                <w:sz w:val="16"/>
                <w:szCs w:val="16"/>
                <w:color w:val="auto"/>
              </w:rPr>
              <w:t>Realized gains and losses, net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9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w:t>
            </w:r>
          </w:p>
        </w:tc>
      </w:tr>
      <w:tr>
        <w:trPr>
          <w:trHeight w:val="224"/>
        </w:trPr>
        <w:tc>
          <w:tcPr>
            <w:tcW w:w="9160" w:type="dxa"/>
            <w:vAlign w:val="bottom"/>
          </w:tcPr>
          <w:p>
            <w:pPr>
              <w:ind w:left="20"/>
              <w:spacing w:after="0"/>
              <w:rPr>
                <w:sz w:val="20"/>
                <w:szCs w:val="20"/>
                <w:color w:val="auto"/>
              </w:rPr>
            </w:pPr>
            <w:r>
              <w:rPr>
                <w:rFonts w:ascii="Arial" w:cs="Arial" w:eastAsia="Arial" w:hAnsi="Arial"/>
                <w:sz w:val="16"/>
                <w:szCs w:val="16"/>
                <w:color w:val="auto"/>
              </w:rPr>
              <w:t>Expenses:</w:t>
            </w: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Personnel costs</w:t>
            </w: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r>
      <w:tr>
        <w:trPr>
          <w:trHeight w:val="224"/>
        </w:trPr>
        <w:tc>
          <w:tcPr>
            <w:tcW w:w="9160" w:type="dxa"/>
            <w:vAlign w:val="bottom"/>
          </w:tcPr>
          <w:p>
            <w:pPr>
              <w:ind w:left="260"/>
              <w:spacing w:after="0"/>
              <w:rPr>
                <w:sz w:val="20"/>
                <w:szCs w:val="20"/>
                <w:color w:val="auto"/>
              </w:rPr>
            </w:pPr>
            <w:r>
              <w:rPr>
                <w:rFonts w:ascii="Arial" w:cs="Arial" w:eastAsia="Arial" w:hAnsi="Arial"/>
                <w:sz w:val="16"/>
                <w:szCs w:val="16"/>
                <w:color w:val="auto"/>
              </w:rPr>
              <w:t>Other operating expenses</w:t>
            </w:r>
          </w:p>
        </w:tc>
        <w:tc>
          <w:tcPr>
            <w:tcW w:w="3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145</w:t>
            </w:r>
          </w:p>
        </w:tc>
      </w:tr>
      <w:tr>
        <w:trPr>
          <w:trHeight w:val="33"/>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w:t>
            </w:r>
          </w:p>
        </w:tc>
      </w:tr>
      <w:tr>
        <w:trPr>
          <w:trHeight w:val="224"/>
        </w:trPr>
        <w:tc>
          <w:tcPr>
            <w:tcW w:w="91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42</w:t>
            </w:r>
          </w:p>
        </w:tc>
      </w:tr>
      <w:tr>
        <w:trPr>
          <w:trHeight w:val="33"/>
        </w:trPr>
        <w:tc>
          <w:tcPr>
            <w:tcW w:w="9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r>
      <w:tr>
        <w:trPr>
          <w:trHeight w:val="217"/>
        </w:trPr>
        <w:tc>
          <w:tcPr>
            <w:tcW w:w="9160" w:type="dxa"/>
            <w:vAlign w:val="bottom"/>
          </w:tcPr>
          <w:p>
            <w:pPr>
              <w:ind w:left="20"/>
              <w:spacing w:after="0"/>
              <w:rPr>
                <w:sz w:val="20"/>
                <w:szCs w:val="20"/>
                <w:color w:val="auto"/>
              </w:rPr>
            </w:pPr>
            <w:r>
              <w:rPr>
                <w:rFonts w:ascii="Arial" w:cs="Arial" w:eastAsia="Arial" w:hAnsi="Arial"/>
                <w:sz w:val="16"/>
                <w:szCs w:val="16"/>
                <w:color w:val="auto"/>
              </w:rPr>
              <w:t>Earnings from discontinued operations before income taxes</w:t>
            </w: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w:t>
            </w:r>
          </w:p>
        </w:tc>
      </w:tr>
      <w:tr>
        <w:trPr>
          <w:trHeight w:val="33"/>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r>
      <w:tr>
        <w:trPr>
          <w:trHeight w:val="217"/>
        </w:trPr>
        <w:tc>
          <w:tcPr>
            <w:tcW w:w="916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w:t>
            </w:r>
          </w:p>
        </w:tc>
        <w:tc>
          <w:tcPr>
            <w:tcW w:w="3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r>
      <w:tr>
        <w:trPr>
          <w:trHeight w:val="33"/>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r>
      <w:tr>
        <w:trPr>
          <w:trHeight w:val="284"/>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r>
      <w:tr>
        <w:trPr>
          <w:trHeight w:val="271"/>
        </w:trPr>
        <w:tc>
          <w:tcPr>
            <w:tcW w:w="9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7"/>
        </w:trPr>
        <w:tc>
          <w:tcPr>
            <w:tcW w:w="9160" w:type="dxa"/>
            <w:vAlign w:val="bottom"/>
          </w:tcPr>
          <w:p>
            <w:pPr>
              <w:ind w:left="20"/>
              <w:spacing w:after="0"/>
              <w:rPr>
                <w:sz w:val="20"/>
                <w:szCs w:val="20"/>
                <w:color w:val="auto"/>
              </w:rPr>
            </w:pPr>
            <w:r>
              <w:rPr>
                <w:rFonts w:ascii="Arial" w:cs="Arial" w:eastAsia="Arial" w:hAnsi="Arial"/>
                <w:sz w:val="16"/>
                <w:szCs w:val="16"/>
                <w:color w:val="auto"/>
              </w:rPr>
              <w:t>Cash flow from discontinued operations data:</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9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operations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r>
      <w:tr>
        <w:trPr>
          <w:trHeight w:val="224"/>
        </w:trPr>
        <w:tc>
          <w:tcPr>
            <w:tcW w:w="91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200" w:lineRule="exact"/>
        <w:rPr>
          <w:sz w:val="20"/>
          <w:szCs w:val="20"/>
          <w:color w:val="auto"/>
        </w:rPr>
      </w:pPr>
    </w:p>
    <w:p>
      <w:pPr>
        <w:sectPr>
          <w:pgSz w:w="11900" w:h="16838" w:orient="portrait"/>
          <w:cols w:equalWidth="0" w:num="1">
            <w:col w:w="11420"/>
          </w:cols>
          <w:pgMar w:left="240" w:top="121" w:right="239" w:bottom="3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1" w:right="239" w:bottom="393" w:gutter="0" w:footer="0" w:header="0"/>
          <w:type w:val="continuous"/>
        </w:sectPr>
      </w:pPr>
    </w:p>
    <w:bookmarkStart w:id="72" w:name="page73"/>
    <w:bookmarkEnd w:id="7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FNFV Split-Off, the financial results of FNFV Group have been reclassified to discontinued operations for all periods presented in our Consolidated Statements of Earnings. Subsequent to the FNFV Split-Off, Cannae is considered a related party to FNF. The cash inflows and outflows from and to Cannae as well as revenues and expenses included in continuing operations subsequent to November 17, 2017, the date of the FNFV Split-Off, which were previously eliminated in our consolidated financial statements as intra-entity transactions, are not material to our results of operations for the year ended December 31, 2017.</w:t>
      </w:r>
    </w:p>
    <w:p>
      <w:pPr>
        <w:spacing w:after="0" w:line="16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conjunction with the FNFV Split-Off, FNTIC, Chicago Title, and Commonwealth Title contributed an aggregate of $100 million to Cannae in exchange for 5,706,134 shares of Cannae common stock. As of December 31, 2019, we own approximately 7.2% of Cannae's outstanding common equity. In addition, we issued to Cannae a revolver note (the "Cannae Revolver") in the aggregate principal amount of up to $100 million, which accrues interest at LIBOR plus 450 basis points and matures on the five-year anniversary of the date of the revolver note. The maturity date is automatically extended for additional five-year terms unless notice of non-renewal is otherwise provided by either FNF or Cannae, in their sole discretion.</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FNFV Split-Off, the following material agreements were entered into by and between the Company and Cannae (the “Split-Off Agreements”):</w:t>
      </w:r>
    </w:p>
    <w:p>
      <w:pPr>
        <w:spacing w:after="0" w:line="143" w:lineRule="exact"/>
        <w:rPr>
          <w:sz w:val="20"/>
          <w:szCs w:val="20"/>
          <w:color w:val="auto"/>
        </w:rPr>
      </w:pPr>
    </w:p>
    <w:p>
      <w:pPr>
        <w:jc w:val="both"/>
        <w:ind w:left="660" w:firstLine="320"/>
        <w:spacing w:after="0" w:line="264" w:lineRule="auto"/>
        <w:tabs>
          <w:tab w:leader="none" w:pos="13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Reorganization Agreement, dated as of November 17, 2017, by and between the Company and Cannae, which provides for, among other things, the principal corporate transactions required to effect the Split-Off, certain conditions to the Split-Off and provisions governing the relationship between the Company and Cannae with respect to and resulting from the Split-Off;</w:t>
      </w:r>
    </w:p>
    <w:p>
      <w:pPr>
        <w:spacing w:after="0" w:line="154" w:lineRule="exact"/>
        <w:rPr>
          <w:rFonts w:ascii="Arial" w:cs="Arial" w:eastAsia="Arial" w:hAnsi="Arial"/>
          <w:sz w:val="18"/>
          <w:szCs w:val="18"/>
          <w:color w:val="auto"/>
        </w:rPr>
      </w:pPr>
    </w:p>
    <w:p>
      <w:pPr>
        <w:jc w:val="both"/>
        <w:ind w:left="660" w:firstLine="320"/>
        <w:spacing w:after="0" w:line="264" w:lineRule="auto"/>
        <w:tabs>
          <w:tab w:leader="none" w:pos="13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Matters Agreement, dated as of November 17, 2017, by and between the Company and Cannae, which governs the Company’s and Cannae’s respective rights, responsibilities and obligations with respect to taxes and tax benefits, the filing of tax returns, the control of audits and other tax matters; and</w:t>
      </w:r>
    </w:p>
    <w:p>
      <w:pPr>
        <w:spacing w:after="0" w:line="154" w:lineRule="exact"/>
        <w:rPr>
          <w:rFonts w:ascii="Arial" w:cs="Arial" w:eastAsia="Arial" w:hAnsi="Arial"/>
          <w:sz w:val="18"/>
          <w:szCs w:val="18"/>
          <w:color w:val="auto"/>
        </w:rPr>
      </w:pPr>
    </w:p>
    <w:p>
      <w:pPr>
        <w:jc w:val="both"/>
        <w:ind w:left="660" w:firstLine="320"/>
        <w:spacing w:after="0" w:line="257" w:lineRule="auto"/>
        <w:tabs>
          <w:tab w:leader="none" w:pos="13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Agreement, dated as of November 17, 2017, by and between the Company and Cannae, pursuant to which the Company agrees to appear or cause all shares of Cannae common stock that the Company or its subsidiaries, as applicable, own after the Split-Off to be counted as present at any meeting of the stockholders of Cannae, for the purpose of establishing a quorum, and agrees to vote all of such shares of Cannae common stock (or cause them to be voted) in the same manner as, and in the same proportion to, all shares voted by holders of Cannae common stock (other than the Company and its subsidiaries).</w:t>
      </w:r>
    </w:p>
    <w:p>
      <w:pPr>
        <w:sectPr>
          <w:pgSz w:w="11900" w:h="16838" w:orient="portrait"/>
          <w:cols w:equalWidth="0" w:num="1">
            <w:col w:w="11420"/>
          </w:cols>
          <w:pgMar w:left="240" w:top="121" w:right="23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757" w:gutter="0" w:footer="0" w:header="0"/>
          <w:type w:val="continuous"/>
        </w:sectPr>
      </w:pPr>
    </w:p>
    <w:bookmarkStart w:id="73" w:name="page74"/>
    <w:bookmarkEnd w:id="7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FNFV included in discontinued operations is shown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6"/>
          </w:tcPr>
          <w:p>
            <w:pPr>
              <w:jc w:val="center"/>
              <w:ind w:right="48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6"/>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2017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120" w:type="dxa"/>
            <w:vAlign w:val="bottom"/>
            <w:gridSpan w:val="3"/>
          </w:tcPr>
          <w:p>
            <w:pPr>
              <w:ind w:left="40"/>
              <w:spacing w:after="0"/>
              <w:rPr>
                <w:sz w:val="20"/>
                <w:szCs w:val="20"/>
                <w:color w:val="auto"/>
              </w:rPr>
            </w:pPr>
            <w:r>
              <w:rPr>
                <w:rFonts w:ascii="Arial" w:cs="Arial" w:eastAsia="Arial" w:hAnsi="Arial"/>
                <w:sz w:val="16"/>
                <w:szCs w:val="16"/>
                <w:color w:val="auto"/>
              </w:rPr>
              <w:t>Revenues: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6"/>
          </w:tcPr>
          <w:p>
            <w:pPr>
              <w:jc w:val="center"/>
              <w:ind w:right="48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Escrow, title-related and other fees</w:t>
            </w: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20" w:type="dxa"/>
            <w:vAlign w:val="bottom"/>
          </w:tcPr>
          <w:p>
            <w:pPr>
              <w:ind w:left="80"/>
              <w:spacing w:after="0"/>
              <w:rPr>
                <w:sz w:val="20"/>
                <w:szCs w:val="20"/>
                <w:color w:val="auto"/>
              </w:rPr>
            </w:pPr>
            <w:r>
              <w:rPr>
                <w:rFonts w:ascii="Arial" w:cs="Arial" w:eastAsia="Arial" w:hAnsi="Arial"/>
                <w:sz w:val="16"/>
                <w:szCs w:val="16"/>
                <w:color w:val="auto"/>
              </w:rPr>
              <w:t>Restaurant revenue</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Interest and investment income</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20" w:type="dxa"/>
            <w:vAlign w:val="bottom"/>
          </w:tcPr>
          <w:p>
            <w:pPr>
              <w:ind w:left="80"/>
              <w:spacing w:after="0"/>
              <w:rPr>
                <w:sz w:val="20"/>
                <w:szCs w:val="20"/>
                <w:color w:val="auto"/>
              </w:rPr>
            </w:pPr>
            <w:r>
              <w:rPr>
                <w:rFonts w:ascii="Arial" w:cs="Arial" w:eastAsia="Arial" w:hAnsi="Arial"/>
                <w:sz w:val="16"/>
                <w:szCs w:val="16"/>
                <w:color w:val="auto"/>
              </w:rPr>
              <w:t>Realized gains and losses, net</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revenues</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1,374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120" w:type="dxa"/>
            <w:vAlign w:val="bottom"/>
            <w:gridSpan w:val="3"/>
          </w:tcPr>
          <w:p>
            <w:pPr>
              <w:ind w:left="40"/>
              <w:spacing w:after="0"/>
              <w:rPr>
                <w:sz w:val="20"/>
                <w:szCs w:val="20"/>
                <w:color w:val="auto"/>
              </w:rPr>
            </w:pPr>
            <w:r>
              <w:rPr>
                <w:rFonts w:ascii="Arial" w:cs="Arial" w:eastAsia="Arial" w:hAnsi="Arial"/>
                <w:sz w:val="16"/>
                <w:szCs w:val="16"/>
                <w:color w:val="auto"/>
              </w:rPr>
              <w:t>Expenses: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Personnel costs</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20" w:type="dxa"/>
            <w:vAlign w:val="bottom"/>
          </w:tcPr>
          <w:p>
            <w:pPr>
              <w:ind w:left="80"/>
              <w:spacing w:after="0"/>
              <w:rPr>
                <w:sz w:val="20"/>
                <w:szCs w:val="20"/>
                <w:color w:val="auto"/>
              </w:rPr>
            </w:pPr>
            <w:r>
              <w:rPr>
                <w:rFonts w:ascii="Arial" w:cs="Arial" w:eastAsia="Arial" w:hAnsi="Arial"/>
                <w:sz w:val="16"/>
                <w:szCs w:val="16"/>
                <w:color w:val="auto"/>
              </w:rPr>
              <w:t>Other operating expenses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Cost of restaurant revenue</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2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0" w:type="dxa"/>
            <w:vAlign w:val="bottom"/>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Interest expense</w:t>
            </w: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Pr>
          <w:p>
            <w:pPr>
              <w:ind w:left="620"/>
              <w:spacing w:after="0"/>
              <w:rPr>
                <w:sz w:val="20"/>
                <w:szCs w:val="20"/>
                <w:color w:val="auto"/>
              </w:rPr>
            </w:pPr>
            <w:r>
              <w:rPr>
                <w:rFonts w:ascii="Arial" w:cs="Arial" w:eastAsia="Arial" w:hAnsi="Arial"/>
                <w:sz w:val="16"/>
                <w:szCs w:val="16"/>
                <w:color w:val="auto"/>
              </w:rPr>
              <w:t>Total expenses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1,163</w:t>
            </w:r>
          </w:p>
        </w:tc>
        <w:tc>
          <w:tcPr>
            <w:tcW w:w="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Earnings from discontinued operations before income taxes</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120" w:type="dxa"/>
            <w:vAlign w:val="bottom"/>
            <w:gridSpan w:val="3"/>
          </w:tcPr>
          <w:p>
            <w:pPr>
              <w:ind w:left="40"/>
              <w:spacing w:after="0"/>
              <w:rPr>
                <w:sz w:val="20"/>
                <w:szCs w:val="20"/>
                <w:color w:val="auto"/>
              </w:rPr>
            </w:pPr>
            <w:r>
              <w:rPr>
                <w:rFonts w:ascii="Arial" w:cs="Arial" w:eastAsia="Arial" w:hAnsi="Arial"/>
                <w:sz w:val="16"/>
                <w:szCs w:val="16"/>
                <w:color w:val="auto"/>
              </w:rPr>
              <w:t>Income tax expense</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losses of unconsolidated affiliates</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120" w:type="dxa"/>
            <w:vAlign w:val="bottom"/>
            <w:gridSpan w:val="3"/>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120" w:type="dxa"/>
            <w:vAlign w:val="bottom"/>
            <w:gridSpan w:val="3"/>
          </w:tcPr>
          <w:p>
            <w:pPr>
              <w:ind w:left="40"/>
              <w:spacing w:after="0"/>
              <w:rPr>
                <w:sz w:val="20"/>
                <w:szCs w:val="20"/>
                <w:color w:val="auto"/>
              </w:rPr>
            </w:pPr>
            <w:r>
              <w:rPr>
                <w:rFonts w:ascii="Arial" w:cs="Arial" w:eastAsia="Arial" w:hAnsi="Arial"/>
                <w:sz w:val="16"/>
                <w:szCs w:val="16"/>
                <w:color w:val="auto"/>
              </w:rPr>
              <w:t>Less: Net losses attributable to non-controlling interests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gridSpan w:val="2"/>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8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8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8120" w:type="dxa"/>
            <w:vAlign w:val="bottom"/>
            <w:gridSpan w:val="3"/>
          </w:tcPr>
          <w:p>
            <w:pPr>
              <w:ind w:left="40"/>
              <w:spacing w:after="0"/>
              <w:rPr>
                <w:sz w:val="20"/>
                <w:szCs w:val="20"/>
                <w:color w:val="auto"/>
              </w:rPr>
            </w:pPr>
            <w:r>
              <w:rPr>
                <w:rFonts w:ascii="Arial" w:cs="Arial" w:eastAsia="Arial" w:hAnsi="Arial"/>
                <w:sz w:val="16"/>
                <w:szCs w:val="16"/>
                <w:color w:val="auto"/>
              </w:rPr>
              <w:t>Net cash used in operations</w:t>
            </w:r>
          </w:p>
        </w:tc>
        <w:tc>
          <w:tcPr>
            <w:tcW w:w="840" w:type="dxa"/>
            <w:vAlign w:val="bottom"/>
          </w:tcPr>
          <w:p>
            <w:pPr>
              <w:spacing w:after="0"/>
              <w:rPr>
                <w:sz w:val="19"/>
                <w:szCs w:val="19"/>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(134)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58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Reconciliation to Consolidated Financial Statements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gridSpan w:val="4"/>
          </w:tcPr>
          <w:p>
            <w:pPr>
              <w:ind w:left="340"/>
              <w:spacing w:after="0"/>
              <w:rPr>
                <w:sz w:val="20"/>
                <w:szCs w:val="20"/>
                <w:color w:val="auto"/>
              </w:rPr>
            </w:pPr>
            <w:r>
              <w:rPr>
                <w:rFonts w:ascii="Arial" w:cs="Arial" w:eastAsia="Arial" w:hAnsi="Arial"/>
                <w:sz w:val="18"/>
                <w:szCs w:val="18"/>
                <w:color w:val="auto"/>
                <w:w w:val="94"/>
              </w:rPr>
              <w:t>A reconciliation of the net earnings of Black Knight and FNFV to the Statement of Operations is shown below:</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2017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gridSpan w:val="6"/>
          </w:tcPr>
          <w:p>
            <w:pPr>
              <w:jc w:val="center"/>
              <w:ind w:right="540"/>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attributable to Black Knight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40" w:type="dxa"/>
            <w:vAlign w:val="bottom"/>
            <w:gridSpan w:val="2"/>
          </w:tcPr>
          <w:p>
            <w:pPr>
              <w:ind w:left="40"/>
              <w:spacing w:after="0"/>
              <w:rPr>
                <w:sz w:val="20"/>
                <w:szCs w:val="20"/>
                <w:color w:val="auto"/>
              </w:rPr>
            </w:pPr>
            <w:r>
              <w:rPr>
                <w:rFonts w:ascii="Arial" w:cs="Arial" w:eastAsia="Arial" w:hAnsi="Arial"/>
                <w:sz w:val="18"/>
                <w:szCs w:val="18"/>
                <w:color w:val="auto"/>
              </w:rPr>
              <w:t>Earnings from discontinued operations attributable to FNFV</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earnings from discontinued operations, net of tax</w:t>
            </w: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155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H.</w:t>
            </w:r>
          </w:p>
        </w:tc>
        <w:tc>
          <w:tcPr>
            <w:tcW w:w="792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Other Intangible Assets</w:t>
            </w: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0" w:type="dxa"/>
            <w:vAlign w:val="bottom"/>
            <w:gridSpan w:val="3"/>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gridSpan w:val="4"/>
          </w:tcPr>
          <w:p>
            <w:pPr>
              <w:ind w:left="280"/>
              <w:spacing w:after="0"/>
              <w:rPr>
                <w:sz w:val="20"/>
                <w:szCs w:val="20"/>
                <w:color w:val="auto"/>
              </w:rPr>
            </w:pPr>
            <w:r>
              <w:rPr>
                <w:rFonts w:ascii="Arial" w:cs="Arial" w:eastAsia="Arial" w:hAnsi="Arial"/>
                <w:sz w:val="18"/>
                <w:szCs w:val="18"/>
                <w:color w:val="auto"/>
              </w:rPr>
              <w:t>Other intangible assets consist of the following:</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Customer relationships and contracts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758</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Computer software</w:t>
            </w:r>
          </w:p>
        </w:tc>
        <w:tc>
          <w:tcPr>
            <w:tcW w:w="840" w:type="dxa"/>
            <w:vAlign w:val="bottom"/>
          </w:tcPr>
          <w:p>
            <w:pPr>
              <w:spacing w:after="0"/>
              <w:rPr>
                <w:sz w:val="21"/>
                <w:szCs w:val="21"/>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8580" w:type="dxa"/>
            <w:vAlign w:val="bottom"/>
            <w:gridSpan w:val="4"/>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7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43"/>
        </w:trPr>
        <w:tc>
          <w:tcPr>
            <w:tcW w:w="8580" w:type="dxa"/>
            <w:vAlign w:val="bottom"/>
            <w:gridSpan w:val="4"/>
          </w:tcPr>
          <w:p>
            <w:pPr>
              <w:ind w:left="40"/>
              <w:spacing w:after="0"/>
              <w:rPr>
                <w:sz w:val="20"/>
                <w:szCs w:val="20"/>
                <w:color w:val="auto"/>
              </w:rPr>
            </w:pPr>
            <w:r>
              <w:rPr>
                <w:rFonts w:ascii="Arial" w:cs="Arial" w:eastAsia="Arial" w:hAnsi="Arial"/>
                <w:sz w:val="18"/>
                <w:szCs w:val="18"/>
                <w:color w:val="auto"/>
              </w:rPr>
              <w:t>Accumulated amortization</w:t>
            </w:r>
          </w:p>
        </w:tc>
        <w:tc>
          <w:tcPr>
            <w:tcW w:w="84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9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211" w:gutter="0" w:footer="0" w:header="0"/>
        </w:sectPr>
      </w:pPr>
    </w:p>
    <w:bookmarkStart w:id="74" w:name="page75"/>
    <w:bookmarkEnd w:id="74"/>
    <w:p>
      <w:pPr>
        <w:jc w:val="both"/>
        <w:ind w:right="20" w:firstLine="324"/>
        <w:spacing w:after="0" w:line="312" w:lineRule="auto"/>
        <w:rPr>
          <w:sz w:val="20"/>
          <w:szCs w:val="20"/>
          <w:color w:val="auto"/>
        </w:rPr>
      </w:pPr>
      <w:r>
        <w:rPr>
          <w:rFonts w:ascii="Arial" w:cs="Arial" w:eastAsia="Arial" w:hAnsi="Arial"/>
          <w:sz w:val="16"/>
          <w:szCs w:val="16"/>
          <w:color w:val="auto"/>
        </w:rPr>
        <w:t>Amortization expense for amortizable intangible assets, which consist primarily of customer relationships and computer software, was $131 million, $119 million, and $130 million for the years ended December 31, 2019, 2018 and 2017, respectively. Estimated amortization expense for the next five years for assets owned at December 31, 2019, is $115 million in 2020, $87 million in 2021, $65 million in 2022, $46 million in 2023 and $20 million in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7280" w:type="dxa"/>
            <w:vAlign w:val="bottom"/>
          </w:tcPr>
          <w:p>
            <w:pPr>
              <w:spacing w:after="0"/>
              <w:rPr>
                <w:sz w:val="20"/>
                <w:szCs w:val="20"/>
                <w:color w:val="auto"/>
              </w:rPr>
            </w:pPr>
            <w:r>
              <w:rPr>
                <w:rFonts w:ascii="Arial" w:cs="Arial" w:eastAsia="Arial" w:hAnsi="Arial"/>
                <w:sz w:val="18"/>
                <w:szCs w:val="18"/>
                <w:b w:val="1"/>
                <w:bCs w:val="1"/>
                <w:color w:val="auto"/>
              </w:rPr>
              <w:t>Accounts Payable and Other Accrued Liabilities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accrued liabilities consist of the following:</w:t>
            </w: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1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196"/>
        </w:trPr>
        <w:tc>
          <w:tcPr>
            <w:tcW w:w="13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incentives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w w:val="92"/>
              </w:rPr>
              <w:t>Accrued benefits</w:t>
            </w:r>
          </w:p>
        </w:tc>
        <w:tc>
          <w:tcPr>
            <w:tcW w:w="7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Deferred revenue</w:t>
            </w:r>
          </w:p>
        </w:tc>
        <w:tc>
          <w:tcPr>
            <w:tcW w:w="7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 acquisitions</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8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Accrued recording fees and transfer taxes</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85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premium taxes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accrued liabilities</w:t>
            </w:r>
          </w:p>
        </w:tc>
        <w:tc>
          <w:tcPr>
            <w:tcW w:w="8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13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7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1,094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8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9"/>
        </w:trPr>
        <w:tc>
          <w:tcPr>
            <w:tcW w:w="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4.50% Notes, net of discount</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6"/>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5.50% Notes, net of discount</w:t>
            </w:r>
          </w:p>
        </w:tc>
        <w:tc>
          <w:tcPr>
            <w:tcW w:w="740" w:type="dxa"/>
            <w:vAlign w:val="bottom"/>
          </w:tcPr>
          <w:p>
            <w:pPr>
              <w:spacing w:after="0"/>
              <w:rPr>
                <w:sz w:val="21"/>
                <w:szCs w:val="21"/>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w w:val="86"/>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398</w:t>
            </w:r>
          </w:p>
        </w:tc>
      </w:tr>
      <w:tr>
        <w:trPr>
          <w:trHeight w:val="27"/>
        </w:trPr>
        <w:tc>
          <w:tcPr>
            <w:tcW w:w="90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9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86"/>
              </w:rPr>
              <w:t>838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836</w:t>
            </w:r>
          </w:p>
        </w:tc>
      </w:tr>
      <w:tr>
        <w:trPr>
          <w:trHeight w:val="27"/>
        </w:trPr>
        <w:tc>
          <w:tcPr>
            <w:tcW w:w="9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the estimated fair value of our unsecured notes payable was approximately $918 million, or $68 million higher than its carrying value, excluding $12 million of net unamortized debt issuance costs and premium/discount. The fair values of our unsecured notes payable are based on established market prices for the securities on December 31, 2019 and are considered Level 2 financial liabilities.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5" w:name="page76"/>
    <w:bookmarkEnd w:id="7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13, 2018, we completed an offering of $450 million in aggregate principal amount of notes due August 2028 with stated interest of 4.50% per annum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under the Securities Act of 1933 (the "4.50% Notes Exchange"). There were no material changes to the terms of the 4.50% Notes as a result of the 4.50% Notes Exchange and all holders of the 4.50% Notes accepted the offer to exchange.</w:t>
      </w:r>
    </w:p>
    <w:p>
      <w:pPr>
        <w:spacing w:after="0" w:line="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Revolving Credit Facility was amended (the "Restated Credit Agreement") to extend the term for 5 years, from a maturity date of July 15, 2018 to April 27, 2022. Revolving loans under the credit facility generally bear interest at a variable rate based on either (i) the base rate (which is the highest of (a) 0.5% in excess of the federal funds rate, (b) the Administrative Agent's “prime rate”, or (c) the sum of 1% plus one-month LIBOR) plus a margin of between 10 and 60 basis points depending on the senior unsecured long-term debt ratings of FNF or (ii) LIBOR plus a margin of between 110 and 160 basis points depending on the senior unsecured long-term debt ratings of the Company. Based on our current Moody’s and Standard &amp; Poor’s senior unsecured long-term debt ratings of Baa2/BBB, respectively, the applicable margin for revolving loans subject to LIBOR is 140 basis points. In addition, we pay a commitment fee of between 15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As of December 31, 2019, there is no balance outstanding, $3 million in unamortized debt issuance costs and $800 million of borrowing capacity under the Revolving Credit Facility.</w:t>
      </w:r>
    </w:p>
    <w:p>
      <w:pPr>
        <w:spacing w:after="0" w:line="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We pay interest on the 5.50% semi-annually on the 1st of March and September, beginning March 1, 2013.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Gross principal maturities of notes payable at December 31, 2019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2020</w:t>
            </w:r>
          </w:p>
        </w:tc>
        <w:tc>
          <w:tcPr>
            <w:tcW w:w="7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2022</w:t>
            </w:r>
          </w:p>
        </w:tc>
        <w:tc>
          <w:tcPr>
            <w:tcW w:w="7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2024</w:t>
            </w:r>
          </w:p>
        </w:tc>
        <w:tc>
          <w:tcPr>
            <w:tcW w:w="7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vMerge w:val="restart"/>
          </w:tcPr>
          <w:p>
            <w:pPr>
              <w:jc w:val="right"/>
              <w:ind w:right="4390"/>
              <w:spacing w:after="0"/>
              <w:rPr>
                <w:sz w:val="20"/>
                <w:szCs w:val="20"/>
                <w:color w:val="auto"/>
              </w:rPr>
            </w:pPr>
            <w:r>
              <w:rPr>
                <w:rFonts w:ascii="Arial" w:cs="Arial" w:eastAsia="Arial" w:hAnsi="Arial"/>
                <w:sz w:val="18"/>
                <w:szCs w:val="18"/>
                <w:color w:val="auto"/>
              </w:rPr>
              <w:t>72</w:t>
            </w: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0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20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6" w:name="page77"/>
    <w:bookmarkEnd w:id="7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Note K.</w:t>
            </w:r>
          </w:p>
        </w:tc>
        <w:tc>
          <w:tcPr>
            <w:tcW w:w="67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80" w:type="dxa"/>
            <w:vAlign w:val="bottom"/>
            <w:gridSpan w:val="3"/>
          </w:tcPr>
          <w:p>
            <w:pPr>
              <w:ind w:left="340"/>
              <w:spacing w:after="0"/>
              <w:rPr>
                <w:sz w:val="20"/>
                <w:szCs w:val="20"/>
                <w:color w:val="auto"/>
              </w:rPr>
            </w:pPr>
            <w:r>
              <w:rPr>
                <w:rFonts w:ascii="Arial" w:cs="Arial" w:eastAsia="Arial" w:hAnsi="Arial"/>
                <w:sz w:val="18"/>
                <w:szCs w:val="18"/>
                <w:color w:val="auto"/>
              </w:rPr>
              <w:t>Income tax expense (benefit) on continuing operations consists of the following:</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10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8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Total income tax expense was allocated as follows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expense attributable to net earnings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Other comprehensive earnings (loss):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Unrealized gain (loss) on investments and other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Arial" w:cs="Arial" w:eastAsia="Arial" w:hAnsi="Arial"/>
                <w:sz w:val="18"/>
                <w:szCs w:val="18"/>
                <w:color w:val="auto"/>
              </w:rPr>
              <w:t>Unrealized gain (loss) on foreign currency translation and cash flow hedging</w:t>
            </w: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Total income tax expense (benefit) allocated to other comprehensive earnings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6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4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Deductible dividends paid to FNF 401(k) plan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Tax exempt interest income</w:t>
            </w:r>
          </w:p>
        </w:tc>
        <w:tc>
          <w:tcPr>
            <w:tcW w:w="140" w:type="dxa"/>
            <w:vAlign w:val="bottom"/>
          </w:tcPr>
          <w:p>
            <w:pPr>
              <w:spacing w:after="0"/>
              <w:rPr>
                <w:sz w:val="21"/>
                <w:szCs w:val="21"/>
                <w:color w:val="auto"/>
              </w:rPr>
            </w:pPr>
          </w:p>
        </w:tc>
        <w:tc>
          <w:tcPr>
            <w:tcW w:w="11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Partnerships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Tax reform</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Effective tax rate</w:t>
            </w:r>
          </w:p>
        </w:tc>
        <w:tc>
          <w:tcPr>
            <w:tcW w:w="3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2019 and 2018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264"/>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7"/>
                <w:szCs w:val="17"/>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64</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Pension plan</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gross 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plant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Amortization of goodwill and intangible assets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Insurance reserve discounting</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57"/>
        </w:trPr>
        <w:tc>
          <w:tcPr>
            <w:tcW w:w="8700" w:type="dxa"/>
            <w:vAlign w:val="bottom"/>
          </w:tcPr>
          <w:p>
            <w:pPr>
              <w:ind w:left="280"/>
              <w:spacing w:after="0"/>
              <w:rPr>
                <w:sz w:val="20"/>
                <w:szCs w:val="20"/>
                <w:color w:val="auto"/>
              </w:rPr>
            </w:pPr>
            <w:r>
              <w:rPr>
                <w:rFonts w:ascii="Arial" w:cs="Arial" w:eastAsia="Arial" w:hAnsi="Arial"/>
                <w:sz w:val="18"/>
                <w:szCs w:val="18"/>
                <w:color w:val="auto"/>
              </w:rPr>
              <w:t>Net deferred tax liability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Our net deferred tax liability was $284 million and $227 million at December 31, 2019, and 2018, respectively. The significant changes in the deferred taxes are as follows: the deferred tax liability for investment securities increased (prior year asset decreased) by $78 million largely due to unrealized gains recorded for investment securities. The deferred tax liability relating to partnerships decreased by $14 million primarily related to ServiceLink book intangibles not amortizable for tax.</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SEC Staff Accounting Bulletin No. 118 ("SAB 118"), provided guidance for companies that had not completed their accounting for the income tax effects of the Tax Reform in the period of enactment, allowing for a measurement period of up to one year after the enactment date to finalize the recording of the related tax impacts. We completed our accounting for the tax effects of the enactment of the Tax Reform as of December 31, 2018.</w:t>
      </w:r>
    </w:p>
    <w:p>
      <w:pPr>
        <w:spacing w:after="0" w:line="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2019, we have net operating losses ("NOL") on a pretax basis of $14 million available to carryforward and offset future federal taxable income. The net operating losses are US federal net operating losses arising from acquisitions made since 2012, including Buyers Protection Group, Inc., Digital Insurance Holdings, Inc., and ServiceLink. Most of the NOLs are subject to an annual Internal Revenue Code Section 382 limitation. These losses will begin to expire in year 2023 and we fully anticipate utilizing these losses prior to expiration with the exception of $3 million of gross net operating losses that are offset by a $1 million valuation allowance.</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2019 and 2018, we had $39 million and $41 million of tax credits, respectively, which expire in 2032. The credits primarily consist of general business credits from historical acquisitions. We anticipate that these credits will be utilized prior to expiration after a valuation allowance of $21 million on the general business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2540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line="10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and 2018, we had approximately $8 million and $9 million (including interest of $2 million), respectively, of total unrecognized tax benefits that, if recognized, would favorably affect our income tax rate. We record interest and penalties related to income taxes as a component of income tax expense.</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Internal Revenue Service (“IRS”) has selected us to participate in the Compliance Assurance Program that is a real-time audit. We are currently under audit by the IRS for the 2018 through 2020 tax years. We file income tax returns in various foreign and US state jurisdictions. Our state income tax returns for the 2014 through 2019 tax years remain subject to examination by state jurisdictions.</w:t>
      </w:r>
    </w:p>
    <w:p>
      <w:pPr>
        <w:spacing w:after="0" w:line="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L.</w:t>
      </w:r>
      <w:r>
        <w:rPr>
          <w:sz w:val="20"/>
          <w:szCs w:val="20"/>
          <w:color w:val="auto"/>
        </w:rPr>
        <w:tab/>
      </w:r>
      <w:r>
        <w:rPr>
          <w:rFonts w:ascii="Arial" w:cs="Arial" w:eastAsia="Arial" w:hAnsi="Arial"/>
          <w:sz w:val="16"/>
          <w:szCs w:val="16"/>
          <w:b w:val="1"/>
          <w:bCs w:val="1"/>
          <w:color w:val="auto"/>
        </w:rPr>
        <w:t>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196"/>
        </w:trPr>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(Dollars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1,487</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219</w:t>
            </w: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r>
      <w:tr>
        <w:trPr>
          <w:trHeight w:val="237"/>
        </w:trPr>
        <w:tc>
          <w:tcPr>
            <w:tcW w:w="7580" w:type="dxa"/>
            <w:vAlign w:val="bottom"/>
          </w:tcPr>
          <w:p>
            <w:pPr>
              <w:ind w:left="500"/>
              <w:spacing w:after="0"/>
              <w:rPr>
                <w:sz w:val="20"/>
                <w:szCs w:val="20"/>
                <w:color w:val="auto"/>
              </w:rPr>
            </w:pPr>
            <w:r>
              <w:rPr>
                <w:rFonts w:ascii="Arial" w:cs="Arial" w:eastAsia="Arial" w:hAnsi="Arial"/>
                <w:sz w:val="18"/>
                <w:szCs w:val="18"/>
                <w:color w:val="auto"/>
              </w:rPr>
              <w:t>Total title claim loss provision</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238</w:t>
            </w: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w:t>
            </w: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r>
      <w:tr>
        <w:trPr>
          <w:trHeight w:val="237"/>
        </w:trPr>
        <w:tc>
          <w:tcPr>
            <w:tcW w:w="758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(231)</w:t>
            </w:r>
          </w:p>
        </w:tc>
      </w:tr>
      <w:tr>
        <w:trPr>
          <w:trHeight w:val="27"/>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1,490</w:t>
            </w: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7580" w:type="dxa"/>
            <w:vAlign w:val="bottom"/>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quarter ended December 31, 2017, we reduced the current quarter provision for claims losses to 4.5%. In response to favorable development on recent year claims, the average provision rate decreased in 2017 and remained constant in 2018 and 2019.</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1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4th quarter of 2019, three lawsuits were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 seeking to acquire California alcoholic beverage licenses. Plaintiffs contend that under California state law, alcoholic beverage license applicants are required to escrow an amount equal to the license purchase price while their applications remain pending with the State. It is further alleged that Chicago Title Company participated with Ms. Champion-Cain and her entities in a fraud scheme involving an escrow account maintained by Chicago Title Company into which the plaintiffs’ funds were deposited.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three lawsuits are as follows:</w:t>
      </w:r>
    </w:p>
    <w:p>
      <w:pPr>
        <w:spacing w:after="0" w:line="14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October 22, 2019, a lawsuit styled, Ovation Fin. Holdings 2 LLC, Ovation Fund Mgmt. II, LLC, Banc of California, N.A. v. Chicago Title Ins. Co., Chicago Title Co., was filed in the United States District Court for the Southern District of California. Plaintiffs claim losses of more than $75 million as a result of the alleged fraud scheme, and also seek consequential,</w:t>
      </w:r>
    </w:p>
    <w:p>
      <w:pPr>
        <w:spacing w:after="0" w:line="1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treble, and punitive damages. The Named Companies are defending and have filed a motion to dismiss the complaint on several grounds, or alternatively, to stay the case.</w:t>
      </w:r>
    </w:p>
    <w:p>
      <w:pPr>
        <w:spacing w:after="0" w:line="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5, 2019, a putative class action lawsuit styled, Blake E. Allred and Melissa M. Allred v. Chicago Title Co., Chicago Title Ins. Co., Adelle E. Ducharme, Betty Elixman, Gina Champion-Cain, Joelle Hanson, Cris Torres, and Rachel Bond, was filed in the United States District Court for the Southern District of California. Plaintiffs seek class certification and consequential, treble, and punitive damages. The Named Companies are defending and have filed a motion to dismiss the complaint on several grounds, or alternatively, to stay the case.</w:t>
      </w:r>
    </w:p>
    <w:p>
      <w:pPr>
        <w:spacing w:after="0" w:line="10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December 13, 2019, a lawsuit styled, Kim Funding, LLC, Kim H. Peterson, Joseph J. Cohen, and ABC Funding Strategies, LLC v. Chicago Title Co., Chicago Title Ins. Co., Thomas Schwiebert, Adelle Ducharme, and Betty Elixman, was filed in the Superior Court of San Diego County for the State of California. Plaintiffs claim losses of more than $250 million as a result of the alleged fraud scheme, and also seek statutory, treble, and punitive damages. The Named Companies are defending and have filed a motion to dismiss the complaint on several grounds.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Chicago Title Company is also in receipt of a pre-suit demand for approximately $30 million from another group of alleged investors.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Chicago Title Company has acknowledged receipt of the claim and is investigating.</w:t>
      </w:r>
    </w:p>
    <w:p>
      <w:pPr>
        <w:spacing w:after="0" w:line="1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this time, the Company is unable to ascertain its liability, if any, and is unable to make an estimate of a reasonably possible claim loss for any of these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w:t>
      </w:r>
    </w:p>
    <w:p>
      <w:pPr>
        <w:sectPr>
          <w:pgSz w:w="11900" w:h="16939" w:orient="portrait"/>
          <w:cols w:equalWidth="0" w:num="1">
            <w:col w:w="11420"/>
          </w:cols>
          <w:pgMar w:left="240" w:top="121" w:right="239" w:bottom="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possible defenses, counterclaims, crossclaims or third-party claims that may exist. Moreover, it is likely that in some instances, the claims listed above are duplicative. The Company, however, has recorded an incurred claim loss reserve for legal fees related to these matters as of December 31, 2019, which is included in its consolidated reserve for claim losses. As further information becomes available, the Company will continue to evaluate the adequacy of its consolidated reserve for claim losses.</w:t>
      </w:r>
    </w:p>
    <w:p>
      <w:pPr>
        <w:spacing w:after="0" w:line="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Contingencies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L. </w:t>
      </w:r>
      <w:r>
        <w:rPr>
          <w:rFonts w:ascii="Arial" w:cs="Arial" w:eastAsia="Arial" w:hAnsi="Arial"/>
          <w:sz w:val="18"/>
          <w:szCs w:val="18"/>
          <w:i w:val="1"/>
          <w:iCs w:val="1"/>
          <w:color w:val="auto"/>
        </w:rPr>
        <w:t>Summary of Reserve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Claim Losses </w:t>
      </w:r>
      <w:r>
        <w:rPr>
          <w:rFonts w:ascii="Arial" w:cs="Arial" w:eastAsia="Arial" w:hAnsi="Arial"/>
          <w:sz w:val="18"/>
          <w:szCs w:val="18"/>
          <w:color w:val="auto"/>
        </w:rPr>
        <w:t>for further discussion. Additionally, like other companies, our ordinary course litigation includes a number of class action and purported class</w:t>
      </w:r>
      <w:r>
        <w:rPr>
          <w:rFonts w:ascii="Arial" w:cs="Arial" w:eastAsia="Arial" w:hAnsi="Arial"/>
          <w:sz w:val="18"/>
          <w:szCs w:val="18"/>
          <w:i w:val="1"/>
          <w:iCs w:val="1"/>
          <w:color w:val="auto"/>
        </w:rPr>
        <w:t xml:space="preserve"> </w:t>
      </w:r>
      <w:r>
        <w:rPr>
          <w:rFonts w:ascii="Arial" w:cs="Arial" w:eastAsia="Arial" w:hAnsi="Arial"/>
          <w:sz w:val="18"/>
          <w:szCs w:val="18"/>
          <w:color w:val="auto"/>
        </w:rPr>
        <w:t>action lawsuits, which make allegations related to aspects of our operations. We believe that no actions, other than the matters discussed below, if any, depart from customary litigation incidental to our business.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$22 million and $11 million as of December 31, 2019 and 2018,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a class action captioned, </w:t>
      </w:r>
      <w:r>
        <w:rPr>
          <w:rFonts w:ascii="Arial" w:cs="Arial" w:eastAsia="Arial" w:hAnsi="Arial"/>
          <w:sz w:val="16"/>
          <w:szCs w:val="16"/>
          <w:i w:val="1"/>
          <w:iCs w:val="1"/>
          <w:color w:val="auto"/>
        </w:rPr>
        <w:t>Patterson, et al. v. Fidelity National Title Insurance Company, et al.</w:t>
      </w:r>
      <w:r>
        <w:rPr>
          <w:rFonts w:ascii="Arial" w:cs="Arial" w:eastAsia="Arial" w:hAnsi="Arial"/>
          <w:sz w:val="16"/>
          <w:szCs w:val="16"/>
          <w:color w:val="auto"/>
        </w:rPr>
        <w:t>,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that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The court also determined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that a multiplier of 1.5, not treble, should be applied to the amount of damages, if any, proven by class members at trial, and that Plaintiffs should bear the responsibility of identifying class members and calculating damages. The Company’s requests for interlocutory appeals of both the liability and damage multiplier issues were denied. The parties have reached an agreement in principle to resolve the matter, and are in the process of documenting the settlement agreement for submission to the court for approval. We do not believe the settlement will have a material adverse effect on our financial condition.</w:t>
      </w:r>
    </w:p>
    <w:p>
      <w:pPr>
        <w:spacing w:after="0" w:line="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$18.7 billion at December 31, 2019. As a result of holding these customers’ assets in escrow, we have ongoing programs for realizing economic benefits during the year through favorable borrowing and vendor arrangements with various banks. There were no investments or loans outstanding as of December 31, 2019 and 2018 related to these arrangements.</w:t>
      </w:r>
    </w:p>
    <w:p>
      <w:pPr>
        <w:spacing w:after="0" w:line="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Regulation and Equity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2019, the combined statutory unearned premium reserve required and reported for our title insurers was $1,446 million. In addition to statutory unearned premium reserves, each of our insurers maintains reserves for known claims and surplus funds for policyholder protection and business operations.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2019, $1,868 million of our net assets are restricted from dividend payments without prior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1" w:name="page82"/>
    <w:bookmarkEnd w:id="8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approval from the Departments of Insurance. During 2020, our title insurers can pay or make distributions to us of approximately $518 million, without prior approval.</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$1,581 million and $1,383 million as of December 31, 2019 and 2018, respectively. The combined statutory net earnings of our title insurance subsidiaries were $583 million, $625 million, and $434 million for the years ended December 31, 2019, 2018, and 2017, respectively.</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8"/>
          <w:szCs w:val="18"/>
          <w:i w:val="1"/>
          <w:iCs w:val="1"/>
          <w:color w:val="auto"/>
        </w:rPr>
        <w:t>) Accounting Practices and Procedures</w:t>
      </w:r>
      <w:r>
        <w:rPr>
          <w:rFonts w:ascii="Arial" w:cs="Arial" w:eastAsia="Arial" w:hAnsi="Arial"/>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2019 and 2018, respectively, was lower by approximately $33 million and $28 million than if we had reported such amounts in accordance with NAIC SAP.</w:t>
      </w:r>
    </w:p>
    <w:p>
      <w:pPr>
        <w:spacing w:after="0" w:line="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2019.</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underwritten title companies, primarily those domiciled in California, are also subject to certain regulation by insurance regulatory or banking</w:t>
      </w:r>
    </w:p>
    <w:p>
      <w:pPr>
        <w:spacing w:after="0" w:line="75"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2019.</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w:t>
      </w:r>
    </w:p>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17, 2018, our Board of Directors approved a new three-year stock repurchase program effective August 1, 2018 (the "2018 Repurchase Program") under which we can purchase up to 25 million shares of our FNF common stock through July 31, 2021. We may make repurchases from time to time in the open market, in block purchases or in privately negotiated transactions, depending on market conditions and other factors. During the year ended December 31, 2019, we repurchased a total of 2,120,000 FNF common shares for an aggregate of $85 million or an average of $40.09 per share. Since the original commencement of the 2018 Repurchase Program, we repurchased a total of 2,780,000 FNF common shares for an aggregate of $106 million, or an average of $38.24 per share.</w:t>
      </w:r>
    </w:p>
    <w:p>
      <w:pPr>
        <w:spacing w:after="0" w:line="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three-year period ended December 31, 2019,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$28 million, $25 million, and $23 million to the ESPP in the years ended December 31, 2019, 2018, and 2017, respectively, in accordance with our matching contribution.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three-year period ended December 31, 2019, we have offered our employees the opportunity to participate in our 401(k) profit sharing plan (the “401(k) Plan”), a qualified voluntary contributory savings plan that is available to substantially all of our employees. Eligible employees may contribute up to 40% of their pre-tax annual compensation, up to the amount allowed pursuant to the Internal Revenue Code. We make an employer match on the 401(k) Plan of $0.375 on each $1.00 contributed up to the first 6% of eligible earnings contributed to the 401(k) Plan by employees. The employer match was $29 million, $30 million, and $26 million for the years ended December 31, 2019, 2018, and 2017, respectively, and was credited based on the participant's individual investment elections in the FNF 401(k) Plan.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2019, there were 1,517,176 shares of restricted stock and 5,530,125 stock options outstanding under the Omnibus Plan. Awards granted are approved by the Compensation Committee of the Board of Directors. Options vest over a 3 year period and have a contractual life of 7 years. The exercise price for options granted equals the market price of the underlying stock on the grant date. Stock option grants vest according to certain time based and operating performance criteria. Option exercises by participants are settled on the open market.</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stock option transactions under the Omnibus Plan for 2019, 2018, and 2017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Weighted 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7,481,683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5,821,592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Options issued as make-whole adjustment for BK Distribution</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2,375,111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(1,313,061)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Pr>
          <w:p>
            <w:pPr>
              <w:jc w:val="right"/>
              <w:spacing w:after="0"/>
              <w:rPr>
                <w:sz w:val="20"/>
                <w:szCs w:val="20"/>
                <w:color w:val="auto"/>
              </w:rPr>
            </w:pPr>
            <w:r>
              <w:rPr>
                <w:rFonts w:ascii="Arial" w:cs="Arial" w:eastAsia="Arial" w:hAnsi="Arial"/>
                <w:sz w:val="18"/>
                <w:szCs w:val="18"/>
                <w:color w:val="auto"/>
              </w:rPr>
              <w:t>(14,306)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8,529,427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7,648,837</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Exercised</w:t>
            </w:r>
          </w:p>
        </w:tc>
        <w:tc>
          <w:tcPr>
            <w:tcW w:w="1060" w:type="dxa"/>
            <w:vAlign w:val="bottom"/>
          </w:tcPr>
          <w:p>
            <w:pPr>
              <w:jc w:val="right"/>
              <w:spacing w:after="0"/>
              <w:rPr>
                <w:sz w:val="20"/>
                <w:szCs w:val="20"/>
                <w:color w:val="auto"/>
              </w:rPr>
            </w:pPr>
            <w:r>
              <w:rPr>
                <w:rFonts w:ascii="Arial" w:cs="Arial" w:eastAsia="Arial" w:hAnsi="Arial"/>
                <w:sz w:val="18"/>
                <w:szCs w:val="18"/>
                <w:color w:val="auto"/>
              </w:rPr>
              <w:t>(985,640)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7,543,787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7,530,137</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Exercised</w:t>
            </w:r>
          </w:p>
        </w:tc>
        <w:tc>
          <w:tcPr>
            <w:tcW w:w="1060" w:type="dxa"/>
            <w:vAlign w:val="bottom"/>
          </w:tcPr>
          <w:p>
            <w:pPr>
              <w:jc w:val="right"/>
              <w:spacing w:after="0"/>
              <w:rPr>
                <w:sz w:val="20"/>
                <w:szCs w:val="20"/>
                <w:color w:val="auto"/>
              </w:rPr>
            </w:pPr>
            <w:r>
              <w:rPr>
                <w:rFonts w:ascii="Arial" w:cs="Arial" w:eastAsia="Arial" w:hAnsi="Arial"/>
                <w:sz w:val="18"/>
                <w:szCs w:val="18"/>
                <w:color w:val="auto"/>
              </w:rPr>
              <w:t>(2,009,112)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2019</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5,530,125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5,530,125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20" w:type="dxa"/>
            <w:vAlign w:val="bottom"/>
            <w:gridSpan w:val="2"/>
          </w:tcPr>
          <w:p>
            <w:pPr>
              <w:ind w:left="340"/>
              <w:spacing w:after="0"/>
              <w:rPr>
                <w:sz w:val="20"/>
                <w:szCs w:val="20"/>
                <w:color w:val="auto"/>
              </w:rPr>
            </w:pPr>
            <w:r>
              <w:rPr>
                <w:rFonts w:ascii="Arial" w:cs="Arial" w:eastAsia="Arial" w:hAnsi="Arial"/>
                <w:sz w:val="18"/>
                <w:szCs w:val="18"/>
                <w:color w:val="auto"/>
                <w:w w:val="91"/>
              </w:rPr>
              <w:t>FNF restricted stock transactions under the Omnibus Plan in 2019, 2018, and 2017 are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1,471,673</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Restricted stock issued as make-whole adjustment for BK Distribution</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545,676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Vested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(995,873)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912,694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Vested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(915,316)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640,698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45.84</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Vested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(929,823)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2019</w:t>
            </w: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1,517,176</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78</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7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Range of</w:t>
            </w:r>
          </w:p>
        </w:tc>
        <w:tc>
          <w:tcPr>
            <w:tcW w:w="1280" w:type="dxa"/>
            <w:vAlign w:val="bottom"/>
          </w:tcPr>
          <w:p>
            <w:pPr>
              <w:jc w:val="right"/>
              <w:ind w:right="279"/>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60" w:type="dxa"/>
            <w:vAlign w:val="bottom"/>
          </w:tcPr>
          <w:p>
            <w:pPr>
              <w:spacing w:after="0"/>
              <w:rPr>
                <w:sz w:val="23"/>
                <w:szCs w:val="2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Intrinsic</w:t>
            </w:r>
          </w:p>
        </w:tc>
        <w:tc>
          <w:tcPr>
            <w:tcW w:w="1240" w:type="dxa"/>
            <w:vAlign w:val="bottom"/>
          </w:tcPr>
          <w:p>
            <w:pPr>
              <w:jc w:val="right"/>
              <w:ind w:right="259"/>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23"/>
                <w:szCs w:val="23"/>
                <w:color w:val="auto"/>
              </w:rPr>
            </w:pPr>
          </w:p>
        </w:tc>
        <w:tc>
          <w:tcPr>
            <w:tcW w:w="880" w:type="dxa"/>
            <w:vAlign w:val="bottom"/>
          </w:tcPr>
          <w:p>
            <w:pPr>
              <w:jc w:val="center"/>
              <w:ind w:right="62"/>
              <w:spacing w:after="0"/>
              <w:rPr>
                <w:sz w:val="20"/>
                <w:szCs w:val="20"/>
                <w:color w:val="auto"/>
              </w:rPr>
            </w:pPr>
            <w:r>
              <w:rPr>
                <w:rFonts w:ascii="Arial" w:cs="Arial" w:eastAsia="Arial" w:hAnsi="Arial"/>
                <w:sz w:val="13"/>
                <w:szCs w:val="13"/>
                <w:b w:val="1"/>
                <w:bCs w:val="1"/>
                <w:color w:val="auto"/>
                <w:w w:val="90"/>
              </w:rPr>
              <w:t>Intrinsic</w:t>
            </w:r>
          </w:p>
        </w:tc>
      </w:tr>
      <w:tr>
        <w:trPr>
          <w:trHeight w:val="246"/>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Exercise Prices</w:t>
            </w:r>
          </w:p>
        </w:tc>
        <w:tc>
          <w:tcPr>
            <w:tcW w:w="1280" w:type="dxa"/>
            <w:vAlign w:val="bottom"/>
          </w:tcPr>
          <w:p>
            <w:pPr>
              <w:jc w:val="right"/>
              <w:ind w:right="339"/>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240" w:type="dxa"/>
            <w:vAlign w:val="bottom"/>
          </w:tcPr>
          <w:p>
            <w:pPr>
              <w:jc w:val="right"/>
              <w:ind w:right="319"/>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880" w:type="dxa"/>
            <w:vAlign w:val="bottom"/>
          </w:tcPr>
          <w:p>
            <w:pPr>
              <w:jc w:val="center"/>
              <w:ind w:right="62"/>
              <w:spacing w:after="0"/>
              <w:rPr>
                <w:sz w:val="20"/>
                <w:szCs w:val="20"/>
                <w:color w:val="auto"/>
              </w:rPr>
            </w:pPr>
            <w:r>
              <w:rPr>
                <w:rFonts w:ascii="Arial" w:cs="Arial" w:eastAsia="Arial" w:hAnsi="Arial"/>
                <w:sz w:val="13"/>
                <w:szCs w:val="13"/>
                <w:b w:val="1"/>
                <w:bCs w:val="1"/>
                <w:color w:val="auto"/>
                <w:w w:val="86"/>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62"/>
              <w:spacing w:after="0"/>
              <w:rPr>
                <w:sz w:val="20"/>
                <w:szCs w:val="20"/>
                <w:color w:val="auto"/>
              </w:rPr>
            </w:pPr>
            <w:r>
              <w:rPr>
                <w:rFonts w:ascii="Arial" w:cs="Arial" w:eastAsia="Arial" w:hAnsi="Arial"/>
                <w:sz w:val="13"/>
                <w:szCs w:val="13"/>
                <w:b w:val="1"/>
                <w:bCs w:val="1"/>
                <w:color w:val="auto"/>
                <w:w w:val="90"/>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$0.00 - $17.76</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2,870,481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2,870,481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79</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$17.77 - $21.84</w:t>
            </w:r>
          </w:p>
        </w:tc>
        <w:tc>
          <w:tcPr>
            <w:tcW w:w="1280" w:type="dxa"/>
            <w:vAlign w:val="bottom"/>
          </w:tcPr>
          <w:p>
            <w:pPr>
              <w:jc w:val="right"/>
              <w:ind w:right="39"/>
              <w:spacing w:after="0"/>
              <w:rPr>
                <w:sz w:val="20"/>
                <w:szCs w:val="20"/>
                <w:color w:val="auto"/>
              </w:rPr>
            </w:pPr>
            <w:r>
              <w:rPr>
                <w:rFonts w:ascii="Arial" w:cs="Arial" w:eastAsia="Arial" w:hAnsi="Arial"/>
                <w:sz w:val="18"/>
                <w:szCs w:val="18"/>
                <w:color w:val="auto"/>
              </w:rPr>
              <w:t>918,236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5"/>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918,236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$21.85 - $25.53</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1,741,408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1,741,408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25.53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35</w:t>
            </w: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5,530,125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5,530,125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The total fair value of restricted stock awards granted in the years ended December 31, 2019, 2018 and 2017 was $29 million, $29 million, and $31 million, respectively. The total fair value of restricted stock awards which vested in the years ended December 31, 2019, 2018 and 2017 was $42 million, $29 million, and $38 million, respectively. Option awards are measured at fair value on the grant date using the Black Scholes Option Pricing Model. The intrinsic value of options exercised in the years ended December 31, 2019, 2018 and 2017 was $48 million, $19 million, and $25 million, respectively. Net earnings attributable to FNF Shareholders reflects stock-based compensation expense amounts of $38 million for the year ended December 31, 2019, $31 million for the year ended December 31, 2018, and $44 million for the year ended December 31, 2017, which are included in personnel costs in the reported financial results of each period.</w:t>
      </w:r>
    </w:p>
    <w:p>
      <w:pPr>
        <w:spacing w:after="0" w:line="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2019, the total unrecognized compensation cost related to non-vested stock option grants and restricted stock grants is $45 million, which is expected to be recognized in pre-tax income over a weighted average period of 1.66 years.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Plan</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discount rate used to determine the benefit obligation as of the years ended December 31, 2019 and 2018 was 2.79% and 3.90%, respectively. As of the years ended December 31, 2019 and 2018, the projected benefit obligation was $160 million and $150 million, respectively, and the fair value of plan assets was $150 million and $144 million, respectively. The net pension liability and net periodic expense included in our financial position and results of operations relating to the Pension Plan is not considered material for any period presented.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4" w:name="page85"/>
    <w:bookmarkEnd w:id="8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Supplementary Cash Flow Information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33"/>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year:</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treasury stock purchases payable in period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accrued dividends payable in period</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Remeasurement of lease liabilities</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assumed in connection with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Fair value of assets acquired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595</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Less: Total purchase price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Liabilities and noncontrolling interests assumed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w:t>
            </w:r>
          </w:p>
        </w:tc>
      </w:tr>
      <w:tr>
        <w:trPr>
          <w:trHeight w:val="27"/>
        </w:trPr>
        <w:tc>
          <w:tcPr>
            <w:tcW w:w="8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6"/>
          <w:szCs w:val="16"/>
          <w:b w:val="1"/>
          <w:bCs w:val="1"/>
          <w:color w:val="auto"/>
        </w:rPr>
        <w:t>Financial Instruments with Off-Balance Sheet Risk and Concentration of Risk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significant amount of title insurance premiums in Texas, California, Florida and New York. Title insurance premiums as a percentage of the total title insurance premiums written from those four states are detailed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4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5" w:name="page86"/>
    <w:bookmarkEnd w:id="8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There are certain intercompany corporate related arrangements between our various businesses. The effects of these arrangements including intercompany notes and related interest and any other non-operational intercompany revenues and expenses have been eliminated in the segment presentations below.</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80" w:type="dxa"/>
            <w:vAlign w:val="bottom"/>
          </w:tcPr>
          <w:p>
            <w:pPr>
              <w:spacing w:after="0"/>
              <w:rPr>
                <w:sz w:val="13"/>
                <w:szCs w:val="13"/>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w w:val="96"/>
              </w:rPr>
              <w:t>Total FNF</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5,342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2,389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2,584</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7,926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543</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8,259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8,469</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1,369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1,061</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1,186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1,076</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10,677</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2,727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80" w:type="dxa"/>
            <w:vAlign w:val="bottom"/>
          </w:tcPr>
          <w:p>
            <w:pPr>
              <w:spacing w:after="0"/>
              <w:rPr>
                <w:sz w:val="12"/>
                <w:szCs w:val="12"/>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w w:val="96"/>
              </w:rPr>
              <w:t>Total FNF</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4,911</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2,204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2,615</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7,526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68</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7,175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7,594</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182</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750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630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717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635</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8,391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9,301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6" w:name="page87"/>
    <w:bookmarkEnd w:id="8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80" w:type="dxa"/>
            <w:vAlign w:val="bottom"/>
          </w:tcPr>
          <w:p>
            <w:pPr>
              <w:spacing w:after="0"/>
              <w:rPr>
                <w:sz w:val="13"/>
                <w:szCs w:val="13"/>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w w:val="96"/>
              </w:rPr>
              <w:t>Total FNF</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4,893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2,181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2,637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7,530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7,663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864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629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691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639</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9,151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2,746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which provide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This segment consists of the operations of the parent holding company, our real estate technology subsidiaries, other smaller,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non-title businesses and certain unallocated corporate overhead expenses and eliminations of revenues and expenses between it and our Title segment. </w:t>
      </w:r>
      <w:r>
        <w:rPr>
          <w:rFonts w:ascii="Arial" w:cs="Arial" w:eastAsia="Arial" w:hAnsi="Arial"/>
          <w:sz w:val="17"/>
          <w:szCs w:val="17"/>
          <w:color w:val="212529"/>
        </w:rPr>
        <w:t>This segment also includes the results of operations of Pacific Union International, Inc. ("Pacific Union") through September 24, 2018, the</w:t>
      </w:r>
      <w:r>
        <w:rPr>
          <w:rFonts w:ascii="Arial" w:cs="Arial" w:eastAsia="Arial" w:hAnsi="Arial"/>
          <w:sz w:val="17"/>
          <w:szCs w:val="17"/>
          <w:color w:val="auto"/>
        </w:rPr>
        <w:t xml:space="preserve"> </w:t>
      </w:r>
      <w:r>
        <w:rPr>
          <w:rFonts w:ascii="Arial" w:cs="Arial" w:eastAsia="Arial" w:hAnsi="Arial"/>
          <w:sz w:val="17"/>
          <w:szCs w:val="17"/>
          <w:color w:val="212529"/>
        </w:rPr>
        <w:t>date we closed on the sale of all of our equity interest in, and notes outstanding from, Pacific Union.</w:t>
      </w:r>
    </w:p>
    <w:p>
      <w:pPr>
        <w:spacing w:after="0" w:line="1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5"/>
          <w:szCs w:val="15"/>
          <w:b w:val="1"/>
          <w:bCs w:val="1"/>
          <w:color w:val="auto"/>
        </w:rPr>
        <w:t>Recent Accounting Pronouncements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aforementioned updates and to add practical expedients for contracts at various stages of completion.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was issued by the FASB in December 2016 which includes thirteen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corrections and improvements affecting narrow aspects of the guidance issued in ASU 2014-09.</w:t>
      </w:r>
    </w:p>
    <w:p>
      <w:pPr>
        <w:spacing w:after="0" w:line="2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We adopted these revenue standards on January 1, 2018 using the modified retrospective approach. As there was no material impact to our historical revenue recognition, we did not record a cumulative-effect adjustment to the opening balance of retained earnings in the current year. See Note T.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for further discussion of our revenue.</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7" w:name="page88"/>
    <w:bookmarkEnd w:id="8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allows for a modified retrospective approach to transitioning which allows for the use of practical expedients to effectively account for leases commenced prior to the effective date in accordance with previous GAAP. In July 2018, the FASB issued ASU 2018-11 </w:t>
      </w:r>
      <w:r>
        <w:rPr>
          <w:rFonts w:ascii="Arial" w:cs="Arial" w:eastAsia="Arial" w:hAnsi="Arial"/>
          <w:sz w:val="17"/>
          <w:szCs w:val="17"/>
          <w:i w:val="1"/>
          <w:iCs w:val="1"/>
          <w:color w:val="auto"/>
        </w:rPr>
        <w:t>Leases (Topic 842):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w:t>
      </w:r>
      <w:r>
        <w:rPr>
          <w:rFonts w:ascii="Arial" w:cs="Arial" w:eastAsia="Arial" w:hAnsi="Arial"/>
          <w:sz w:val="17"/>
          <w:szCs w:val="17"/>
          <w:color w:val="auto"/>
        </w:rPr>
        <w:t>which allows entities the option to adopt this standard prospectively with a cumulative-effect adjustment to opening equity and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disclosures for prior periods.</w:t>
      </w:r>
    </w:p>
    <w:p>
      <w:pPr>
        <w:spacing w:after="0" w:line="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adopted Topic 842 on January 1, 2019 using a modified retrospective approach and recorded lease right-of-use assets ("Lease assets") of $421 million and liabilities for future discounted lease payment obligations ("Lease Liabilities") of $437 million at the date of adoption. The adoption also resulted in a decrease of $9 million and $25 million to our Prepaid expenses and other assets and Accounts payable and accrued liabilities, respectively. There was no impact to opening equity as a result of the adoption.We elected to apply the following package of practical expedients on a consistent basis permitting entities not to reassess: (i) whether any expired or existing contracts are or contain a lease; (ii) lease classification for any expired or existing leases and (iii) whether initial direct costs for any expired or existing leases qualify for capitalization under the amended guidance.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adopted this new guidance on January 1, 2018, which resulted in the reclassification of our unrealized gains and losses on our equity and preferred securities available for sale previously included in accumulated other comprehensive income to beginning retained earnings. Changes in the fair value of our investments in equity and preferred securities subsequent to January 1, 2018 are now included in Realized gains and losses, net in our Consolidated Statements of Earnings. See Note D.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further details. We reclassified a total of $109 million from Accumulated other comprehensive income to beginning Retained earnings as of January 1, 2018. The total cumulative effect on opening equity, including an increase in Retained earnings of $19 million attributable to an increase in value of certain Other long term investments resulting from recording at fair value, was an increase in Retained earnings of $128 million and decrease in Accumulated other comprehensive income of $109 million.</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The amendments in this ASU require that a statement of cash flows explain the change during the period in the total of cash, cash equivalents, and amounts generally described as restricted cash or restricted cash equivalents. GAAP previously did not include specific guidance on the cash flow classification and presentation of changes in restricted cash. The Company previously excluded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The ASU requires retrospective application to all prior periods presented upon adoption.</w:t>
      </w:r>
    </w:p>
    <w:p>
      <w:pPr>
        <w:spacing w:after="0" w:line="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adopted this ASU on January 1, 2018 and have retrospectively restated our Consolidated Statements of Cash Flows included herein. The adoption of this ASU resulted in the following retrospective changes to our Consolidated Statements of Cash Flows for the year ended December 31, 2017: an increase in the net change in cash and cash equivalents of $144 million due to the inclusion of the change in our cash pledged against secured trust deposits; an increase in cash provided by investing activities of $174 million related to the movement of cash paid/received for investments pledged against secured trust deposits from operating to investing activities; and an increase in cash used in financing activities of $30 million related to the movement of the change in secured trust deposits from operating to financing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8" w:name="page89"/>
    <w:bookmarkEnd w:id="8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from Accumulated Other Comprehensive Income. </w:t>
      </w:r>
      <w:r>
        <w:rPr>
          <w:rFonts w:ascii="Arial" w:cs="Arial" w:eastAsia="Arial" w:hAnsi="Arial"/>
          <w:sz w:val="18"/>
          <w:szCs w:val="18"/>
          <w:color w:val="auto"/>
        </w:rPr>
        <w:t>The amendments in this ASU allow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Tax Reform. We adopted this ASU on April 1, 2018. Adoption of this ASU resulted in no net reclassification from Accumulated other comprehensive loss to Retained earnings.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 Not Yet Adopted</w:t>
      </w:r>
    </w:p>
    <w:p>
      <w:pPr>
        <w:spacing w:after="0" w:line="2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212529"/>
        </w:rPr>
        <w:t xml:space="preserve">In June 2016, the FASB issued ASU No. 2016-13 </w:t>
      </w:r>
      <w:r>
        <w:rPr>
          <w:rFonts w:ascii="Arial" w:cs="Arial" w:eastAsia="Arial" w:hAnsi="Arial"/>
          <w:sz w:val="17"/>
          <w:szCs w:val="17"/>
          <w:i w:val="1"/>
          <w:iCs w:val="1"/>
          <w:color w:val="212529"/>
        </w:rPr>
        <w:t>Financial Instruments - Credit Losses: Measurement of Credit Losses on Financial Instruments</w:t>
      </w:r>
      <w:r>
        <w:rPr>
          <w:rFonts w:ascii="Arial" w:cs="Arial" w:eastAsia="Arial" w:hAnsi="Arial"/>
          <w:sz w:val="17"/>
          <w:szCs w:val="17"/>
          <w:color w:val="212529"/>
        </w:rPr>
        <w:t xml:space="preserve"> (Topic 326). The amendments in this and the related ASUs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We are finalizing the effect this new guidance will have on our Consolidated Financial Statements and related disclosures. Based on our implementation analysis performed, we have concluded that the overall effect of Topic 326 is not expected to be material to the Consolidated Financial Statements upon adoption. We did not early adopt this standard.</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We do not expect this guidance to have a material impact on our consolidated financial statements and related disclosures and did not early adopt this standard.</w:t>
      </w:r>
    </w:p>
    <w:p>
      <w:pPr>
        <w:spacing w:after="0" w:line="5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 Simplifying the Accounting for Income Taxes (Topic 740)</w:t>
      </w:r>
      <w:r>
        <w:rPr>
          <w:rFonts w:ascii="Arial" w:cs="Arial" w:eastAsia="Arial" w:hAnsi="Arial"/>
          <w:sz w:val="16"/>
          <w:szCs w:val="16"/>
          <w:color w:val="auto"/>
        </w:rPr>
        <w:t>,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Early adoption is permitted. We do not expect this guidance to have a material impact on our Consolidated Financial Statements and related disclosures upon adoption.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9" w:name="page90"/>
    <w:bookmarkEnd w:id="8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 Revenue Recognition</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 2018, we adopted ASC Topic 606 by applying the modified retrospective method. Results for reporting periods beginning after January 1, 2018 are presented under Topic 606, while prior period amounts are not adjusted and continue to be reported under the accounting standards in effect for the prior period.</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ectPr>
          <w:pgSz w:w="11900" w:h="16838" w:orient="portrait"/>
          <w:cols w:equalWidth="0" w:num="1">
            <w:col w:w="11420"/>
          </w:cols>
          <w:pgMar w:left="240" w:top="121" w:right="239" w:bottom="1440" w:gutter="0" w:footer="0" w:header="0"/>
        </w:sectPr>
      </w:pPr>
    </w:p>
    <w:p>
      <w:pPr>
        <w:spacing w:after="0" w:line="111" w:lineRule="exact"/>
        <w:rPr>
          <w:sz w:val="20"/>
          <w:szCs w:val="20"/>
          <w:color w:val="auto"/>
        </w:rPr>
      </w:pPr>
    </w:p>
    <w:p>
      <w:pPr>
        <w:jc w:val="right"/>
        <w:ind w:right="1800"/>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206"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Our revenue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insurance contracts: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Direct title insurance premiums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Agency title insurance premiums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Home warranty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 from insurance contracts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Escrow fees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title-related fees and income</w:t>
      </w:r>
    </w:p>
    <w:p>
      <w:pPr>
        <w:spacing w:after="0" w:line="73"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ServiceLink, excluding title premiums, escrow fees, and subservicing fees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 estate brokerage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 estate technology</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 from contracts with customers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Loan subservicing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and investment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Realized gains and losses, net</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 December 31,</w:t>
            </w:r>
          </w:p>
        </w:tc>
      </w:tr>
      <w:tr>
        <w:trPr>
          <w:trHeight w:val="80"/>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58"/>
        </w:trPr>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r>
      <w:tr>
        <w:trPr>
          <w:trHeight w:val="250"/>
        </w:trPr>
        <w:tc>
          <w:tcPr>
            <w:tcW w:w="3220" w:type="dxa"/>
            <w:vAlign w:val="bottom"/>
            <w:gridSpan w:val="2"/>
          </w:tcPr>
          <w:p>
            <w:pPr>
              <w:ind w:left="560"/>
              <w:spacing w:after="0"/>
              <w:rPr>
                <w:sz w:val="20"/>
                <w:szCs w:val="20"/>
                <w:color w:val="auto"/>
              </w:rPr>
            </w:pPr>
            <w:r>
              <w:rPr>
                <w:rFonts w:ascii="Arial" w:cs="Arial" w:eastAsia="Arial" w:hAnsi="Arial"/>
                <w:sz w:val="14"/>
                <w:szCs w:val="14"/>
                <w:b w:val="1"/>
                <w:bCs w:val="1"/>
                <w:color w:val="auto"/>
              </w:rPr>
              <w:t>Income Statement Classification</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21"/>
                <w:szCs w:val="21"/>
                <w:color w:val="auto"/>
              </w:rPr>
            </w:pPr>
          </w:p>
        </w:tc>
        <w:tc>
          <w:tcPr>
            <w:tcW w:w="17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Total Revenue</w:t>
            </w:r>
          </w:p>
        </w:tc>
      </w:tr>
      <w:tr>
        <w:trPr>
          <w:trHeight w:val="258"/>
        </w:trPr>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8"/>
              </w:rPr>
              <w:t>(in millions)</w:t>
            </w:r>
          </w:p>
        </w:tc>
      </w:tr>
      <w:tr>
        <w:trPr>
          <w:trHeight w:val="249"/>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Direct title insurance premiums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2,381</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2,221</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2,961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2,690</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182</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5,093</w:t>
            </w:r>
          </w:p>
        </w:tc>
      </w:tr>
      <w:tr>
        <w:trPr>
          <w:trHeight w:val="54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826</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600</w:t>
            </w:r>
          </w:p>
        </w:tc>
      </w:tr>
      <w:tr>
        <w:trPr>
          <w:trHeight w:val="459"/>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379</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316</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101</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Corporate and other</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2,216</w:t>
            </w:r>
          </w:p>
        </w:tc>
      </w:tr>
      <w:tr>
        <w:trPr>
          <w:trHeight w:val="54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6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217</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Interest and investment income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177</w:t>
            </w:r>
          </w:p>
        </w:tc>
      </w:tr>
      <w:tr>
        <w:trPr>
          <w:trHeight w:val="270"/>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Realized gains and losses, net</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6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8,469</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7,594</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-3060700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-2717800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-2374900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-2032000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-1568450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-1225550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-882650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-539750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-196850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660"/>
            <w:col w:w="6940"/>
          </w:cols>
          <w:pgMar w:left="240" w:top="121" w:right="239" w:bottom="1440" w:gutter="0" w:footer="0" w:header="0"/>
          <w:type w:val="continuous"/>
        </w:sectPr>
      </w:pPr>
    </w:p>
    <w:p>
      <w:pPr>
        <w:spacing w:after="0" w:line="2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Direct title insurance premiums are recognized as revenue at a point-in-time upon of closing of the underlying real estate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Premium revenues from agency title operations is primarily comprised of premiums recognized when the underlying title order and real estate transaction closing, if applicable, are complete and reported to us. Premium revenues from agency title operations also include an accrual for premiums which have not yet been reported to us, which is estimated based on historical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Revenues from our home warranty business are generated from insurance contracts with customers to provide warranty for major home appliances.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home warranty contracts are one year in length and revenue is recognized over the term of the contract.</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w:t>
      </w:r>
    </w:p>
    <w:p>
      <w:pPr>
        <w:sectPr>
          <w:pgSz w:w="11900" w:h="16838" w:orient="portrait"/>
          <w:cols w:equalWidth="0" w:num="1">
            <w:col w:w="11420"/>
          </w:cols>
          <w:pgMar w:left="240" w:top="121" w:right="239" w:bottom="1440" w:gutter="0" w:footer="0" w:header="0"/>
          <w:type w:val="continuous"/>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90" w:name="page91"/>
    <w:bookmarkEnd w:id="9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other real estate or title-related activities. Revenue is primarily recognized at a point-in-time upon closing of the underlying real estate transaction or completion and billing of services. Cash associated with such revenue is typically collected at closing.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at a point-in-time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December 31, 2019</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December 31, 2018</w:t>
            </w:r>
          </w:p>
        </w:tc>
      </w:tr>
      <w:tr>
        <w:trPr>
          <w:trHeight w:val="190"/>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40" w:type="dxa"/>
            <w:vAlign w:val="bottom"/>
            <w:gridSpan w:val="3"/>
          </w:tcPr>
          <w:p>
            <w:pPr>
              <w:jc w:val="right"/>
              <w:ind w:right="1296"/>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78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9"/>
              <w:spacing w:after="0"/>
              <w:rPr>
                <w:sz w:val="20"/>
                <w:szCs w:val="20"/>
                <w:color w:val="auto"/>
              </w:rPr>
            </w:pPr>
            <w:r>
              <w:rPr>
                <w:rFonts w:ascii="Arial" w:cs="Arial" w:eastAsia="Arial" w:hAnsi="Arial"/>
                <w:sz w:val="18"/>
                <w:szCs w:val="18"/>
                <w:color w:val="auto"/>
              </w:rPr>
              <w:t>321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284</w:t>
            </w:r>
          </w:p>
        </w:tc>
      </w:tr>
      <w:tr>
        <w:trPr>
          <w:trHeight w:val="27"/>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(contract liabilities)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105</w:t>
            </w:r>
          </w:p>
        </w:tc>
      </w:tr>
      <w:tr>
        <w:trPr>
          <w:trHeight w:val="27"/>
        </w:trPr>
        <w:tc>
          <w:tcPr>
            <w:tcW w:w="7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2019 and 2018, we recognized $103 million and $97 million, respectively, of revenue which was included in deferred revenue at the beginning of the period.</w:t>
      </w: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1"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2019 that have materially affected, or are reasonably likely to materially affect, our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 (COSO). Based on our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under this framework, our management concluded that our internal control over financial reporting was effective as of December 31, 2019. The effectiveness of our internal control over financial reporting as of December 31, 2019 has been audited by Ernst &amp; Young LLP, an independent registered public accounting firm, as stated in their report which is included herein.</w:t>
      </w:r>
    </w:p>
    <w:p>
      <w:pPr>
        <w:spacing w:after="0" w:line="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21" w:right="239" w:bottom="82"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82"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120 days after the close of our fiscal year, we intend to file with the Securities and Exchange Commission the matters required by these items.</w:t>
      </w:r>
    </w:p>
    <w:p>
      <w:pPr>
        <w:spacing w:after="0" w:line="3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240" w:top="125" w:right="5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94" w:lineRule="exact"/>
        <w:rPr>
          <w:sz w:val="20"/>
          <w:szCs w:val="20"/>
          <w:color w:val="auto"/>
        </w:rPr>
      </w:pPr>
    </w:p>
    <w:p>
      <w:pPr>
        <w:ind w:firstLine="332"/>
        <w:spacing w:after="0" w:line="277" w:lineRule="auto"/>
        <w:tabs>
          <w:tab w:leader="none" w:pos="5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140" w:type="dxa"/>
            <w:vAlign w:val="bottom"/>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 on Effectiveness of Internal Control over Financial Reporting</w:t>
              </w:r>
            </w:hyperlink>
          </w:p>
        </w:tc>
        <w:tc>
          <w:tcPr>
            <w:tcW w:w="180" w:type="dxa"/>
            <w:vAlign w:val="bottom"/>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44</w:t>
              </w:r>
            </w:hyperlink>
          </w:p>
        </w:tc>
      </w:tr>
      <w:tr>
        <w:trPr>
          <w:trHeight w:val="250"/>
        </w:trPr>
        <w:tc>
          <w:tcPr>
            <w:tcW w:w="8680" w:type="dxa"/>
            <w:vAlign w:val="bottom"/>
            <w:tcBorders>
              <w:top w:val="single" w:sz="8" w:color="0000EE"/>
            </w:tcBorders>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 on Financial Statements</w:t>
              </w:r>
            </w:hyperlink>
          </w:p>
        </w:tc>
        <w:tc>
          <w:tcPr>
            <w:tcW w:w="246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45</w:t>
              </w:r>
            </w:hyperlink>
          </w:p>
        </w:tc>
      </w:tr>
      <w:tr>
        <w:trPr>
          <w:trHeight w:val="250"/>
        </w:trPr>
        <w:tc>
          <w:tcPr>
            <w:tcW w:w="5980" w:type="dxa"/>
            <w:vAlign w:val="bottom"/>
            <w:tcBorders>
              <w:top w:val="single" w:sz="8" w:color="0000EE"/>
            </w:tcBorders>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 as of December 31, 2019 and 2018</w:t>
              </w:r>
            </w:hyperlink>
          </w:p>
        </w:tc>
        <w:tc>
          <w:tcPr>
            <w:tcW w:w="5160" w:type="dxa"/>
            <w:vAlign w:val="bottom"/>
            <w:gridSpan w:val="6"/>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7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Consolidated Statements of Earnings for the years ended December 31, 2019, 2018 and 2017</w:t>
              </w:r>
            </w:hyperlink>
          </w:p>
        </w:tc>
        <w:tc>
          <w:tcPr>
            <w:tcW w:w="44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50"/>
        </w:trPr>
        <w:tc>
          <w:tcPr>
            <w:tcW w:w="7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Statements of Comprehensive Earnings for the years ended December 31, 2019, 2018 and 2017</w:t>
              </w:r>
            </w:hyperlink>
          </w:p>
        </w:tc>
        <w:tc>
          <w:tcPr>
            <w:tcW w:w="326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r>
      <w:tr>
        <w:trPr>
          <w:trHeight w:val="250"/>
        </w:trPr>
        <w:tc>
          <w:tcPr>
            <w:tcW w:w="65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Equity for the years ended December 31, 2019, 2018 and 2017</w:t>
              </w:r>
            </w:hyperlink>
          </w:p>
        </w:tc>
        <w:tc>
          <w:tcPr>
            <w:tcW w:w="460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r>
        <w:trPr>
          <w:trHeight w:val="250"/>
        </w:trPr>
        <w:tc>
          <w:tcPr>
            <w:tcW w:w="1114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Cash Flows for the years ended December 31, 2019, 2018 and 2017</w:t>
              </w:r>
            </w:hyperlink>
          </w:p>
        </w:tc>
        <w:tc>
          <w:tcPr>
            <w:tcW w:w="180" w:type="dxa"/>
            <w:vAlign w:val="bottom"/>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r>
      <w:tr>
        <w:trPr>
          <w:trHeight w:val="250"/>
        </w:trPr>
        <w:tc>
          <w:tcPr>
            <w:tcW w:w="690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4240" w:type="dxa"/>
            <w:vAlign w:val="bottom"/>
            <w:gridSpan w:val="3"/>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8000" w:type="dxa"/>
            <w:vAlign w:val="bottom"/>
            <w:gridSpan w:val="8"/>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1140" w:type="dxa"/>
            <w:vAlign w:val="bottom"/>
            <w:gridSpan w:val="9"/>
          </w:tcPr>
          <w:p>
            <w:pPr>
              <w:ind w:left="300"/>
              <w:spacing w:after="0"/>
              <w:rPr>
                <w:sz w:val="20"/>
                <w:szCs w:val="20"/>
                <w:color w:val="auto"/>
              </w:rPr>
            </w:pPr>
            <w:r>
              <w:rPr>
                <w:rFonts w:ascii="Arial" w:cs="Arial" w:eastAsia="Arial" w:hAnsi="Arial"/>
                <w:sz w:val="18"/>
                <w:szCs w:val="18"/>
                <w:color w:val="auto"/>
                <w:w w:val="96"/>
              </w:rPr>
              <w:t xml:space="preserve">(a) (2) </w:t>
            </w:r>
            <w:r>
              <w:rPr>
                <w:rFonts w:ascii="Arial" w:cs="Arial" w:eastAsia="Arial" w:hAnsi="Arial"/>
                <w:sz w:val="18"/>
                <w:szCs w:val="18"/>
                <w:i w:val="1"/>
                <w:iCs w:val="1"/>
                <w:color w:val="auto"/>
                <w:w w:val="96"/>
              </w:rPr>
              <w:t>Financial Statement Schedules.</w:t>
            </w:r>
            <w:r>
              <w:rPr>
                <w:rFonts w:ascii="Arial" w:cs="Arial" w:eastAsia="Arial" w:hAnsi="Arial"/>
                <w:sz w:val="18"/>
                <w:szCs w:val="18"/>
                <w:color w:val="auto"/>
                <w:w w:val="96"/>
              </w:rPr>
              <w:t xml:space="preserve">  The following is a list of financial statement schedules filed as part of this annual report on Form 10-K:</w:t>
            </w:r>
          </w:p>
        </w:tc>
        <w:tc>
          <w:tcPr>
            <w:tcW w:w="180" w:type="dxa"/>
            <w:vAlign w:val="bottom"/>
          </w:tcPr>
          <w:p>
            <w:pPr>
              <w:spacing w:after="0"/>
              <w:rPr>
                <w:sz w:val="24"/>
                <w:szCs w:val="24"/>
                <w:color w:val="auto"/>
              </w:rPr>
            </w:pPr>
          </w:p>
        </w:tc>
      </w:tr>
      <w:tr>
        <w:trPr>
          <w:trHeight w:val="419"/>
        </w:trPr>
        <w:tc>
          <w:tcPr>
            <w:tcW w:w="1114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9">
              <w:r>
                <w:rPr>
                  <w:rFonts w:ascii="Arial" w:cs="Arial" w:eastAsia="Arial" w:hAnsi="Arial"/>
                  <w:sz w:val="18"/>
                  <w:szCs w:val="18"/>
                  <w:color w:val="0000EE"/>
                  <w:w w:val="79"/>
                </w:rPr>
                <w:t>94</w:t>
              </w:r>
            </w:hyperlink>
          </w:p>
        </w:tc>
      </w:tr>
    </w:tbl>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40" w:type="dxa"/>
            <w:vAlign w:val="bottom"/>
            <w:gridSpan w:val="2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Number</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64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80" w:type="dxa"/>
            <w:vAlign w:val="bottom"/>
          </w:tcPr>
          <w:p>
            <w:pPr>
              <w:spacing w:after="0"/>
              <w:rPr>
                <w:sz w:val="19"/>
                <w:szCs w:val="19"/>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Reorganization Agreement, dated as of June 8, 2017, by and among Fidelity National Financial, Inc., Black Knight Holdings, Inc., and New BKH</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26"/>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Corp. (incorporated by reference to Exhibit 2.1 to the Registrant’s Current Report on Form 8-K filed on June 9,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8"/>
              </w:rPr>
            </w:pPr>
            <w:hyperlink r:id="rId31">
              <w:r>
                <w:rPr>
                  <w:rFonts w:ascii="Arial" w:cs="Arial" w:eastAsia="Arial" w:hAnsi="Arial"/>
                  <w:sz w:val="18"/>
                  <w:szCs w:val="18"/>
                  <w:color w:val="0000FF"/>
                  <w:w w:val="98"/>
                </w:rPr>
                <w:t>Agreement and Plan of Merger, dated as of June 8, 2017, by and among Fidelity National Financial, Inc., New BKH Corp., Black Knight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26"/>
          </w:tcPr>
          <w:p>
            <w:pPr>
              <w:spacing w:after="0" w:line="196" w:lineRule="exact"/>
              <w:rPr>
                <w:rFonts w:ascii="Arial" w:cs="Arial" w:eastAsia="Arial" w:hAnsi="Arial"/>
                <w:sz w:val="18"/>
                <w:szCs w:val="18"/>
                <w:color w:val="0000FF"/>
                <w:w w:val="96"/>
              </w:rPr>
            </w:pPr>
            <w:hyperlink r:id="rId31">
              <w:r>
                <w:rPr>
                  <w:rFonts w:ascii="Arial" w:cs="Arial" w:eastAsia="Arial" w:hAnsi="Arial"/>
                  <w:sz w:val="18"/>
                  <w:szCs w:val="18"/>
                  <w:color w:val="0000FF"/>
                  <w:w w:val="96"/>
                </w:rPr>
                <w:t>Financial Services, Inc., Black Knight Holdco Corp., New BKH Merger Sub, Inc., and BKFS Merger Sub, Inc.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Exhibit 2.2 to the Registrant’s Current Report on Form 8-K filed on June 9, 2017)</w:t>
              </w:r>
            </w:hyperlink>
          </w:p>
        </w:tc>
        <w:tc>
          <w:tcPr>
            <w:tcW w:w="46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80" w:type="dxa"/>
            <w:vAlign w:val="bottom"/>
          </w:tcPr>
          <w:p>
            <w:pPr>
              <w:spacing w:after="0"/>
              <w:rPr>
                <w:sz w:val="24"/>
                <w:szCs w:val="24"/>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7"/>
              </w:rPr>
            </w:pPr>
            <w:hyperlink r:id="rId32">
              <w:r>
                <w:rPr>
                  <w:rFonts w:ascii="Arial" w:cs="Arial" w:eastAsia="Arial" w:hAnsi="Arial"/>
                  <w:sz w:val="18"/>
                  <w:szCs w:val="18"/>
                  <w:color w:val="0000FF"/>
                  <w:w w:val="97"/>
                </w:rPr>
                <w:t>Reorganization Agreement, dated as of November 17, 2017, by and between Fidelity National Financial, Inc. and Cannae Holdings,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(incorporated by reference to Exhibit 2.1 to the Registrant’s Current Report on Form 8-K filed on November 20, 2017)</w:t>
              </w:r>
            </w:hyperlink>
          </w:p>
        </w:tc>
        <w:tc>
          <w:tcPr>
            <w:tcW w:w="20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80" w:type="dxa"/>
            <w:vAlign w:val="bottom"/>
          </w:tcPr>
          <w:p>
            <w:pPr>
              <w:spacing w:after="0"/>
              <w:rPr>
                <w:sz w:val="24"/>
                <w:szCs w:val="24"/>
                <w:color w:val="auto"/>
              </w:rPr>
            </w:pPr>
          </w:p>
        </w:tc>
        <w:tc>
          <w:tcPr>
            <w:tcW w:w="10560" w:type="dxa"/>
            <w:vAlign w:val="bottom"/>
            <w:gridSpan w:val="26"/>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Agreement and Plan of Merger, dated February 7, 2020, by and between FGL Holdings, Fidelity National Financial, Inc., F Corp I and F Corp II.</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(incorporated by reference to Exhibit 2.1 to the Registrant's Current Report on Form 8-K filed on February 7, 2020)</w:t>
              </w:r>
            </w:hyperlink>
          </w:p>
        </w:tc>
        <w:tc>
          <w:tcPr>
            <w:tcW w:w="2120" w:type="dxa"/>
            <w:vAlign w:val="bottom"/>
            <w:tcBorders>
              <w:top w:val="single" w:sz="8" w:color="0000FF"/>
            </w:tcBorders>
            <w:gridSpan w:val="6"/>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10560" w:type="dxa"/>
            <w:vAlign w:val="bottom"/>
            <w:gridSpan w:val="26"/>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Fifth Amended and Restated Certificate of Incorporation (incorporated by reference to Exhibit 3.1 to the Company's Current Report on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filed on June 13, 2018)</w:t>
              </w:r>
            </w:hyperlink>
          </w:p>
        </w:tc>
        <w:tc>
          <w:tcPr>
            <w:tcW w:w="8800" w:type="dxa"/>
            <w:vAlign w:val="bottom"/>
            <w:tcBorders>
              <w:top w:val="single" w:sz="8" w:color="0000FF"/>
            </w:tcBorders>
            <w:gridSpan w:val="22"/>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10560" w:type="dxa"/>
            <w:vAlign w:val="bottom"/>
            <w:gridSpan w:val="26"/>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Fourth Amended and Restated Bylaws of Fidelity National Financial, Inc., February 1, 2017 (incorporated by reference to Exhibit 3.1 to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National Financial, Inc.’s Current Report on Form 8-K, dated February 2, 2017)</w:t>
              </w:r>
            </w:hyperlink>
          </w:p>
        </w:tc>
        <w:tc>
          <w:tcPr>
            <w:tcW w:w="4660" w:type="dxa"/>
            <w:vAlign w:val="bottom"/>
            <w:tcBorders>
              <w:top w:val="single" w:sz="8" w:color="0000FF"/>
            </w:tcBorders>
            <w:gridSpan w:val="14"/>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Indenture between the Registrant and The Bank of New York Trust Company, N.A., dated December 8, 2005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Exhibit 4.1 to the Registrant’s Annual Report on Form 10-K for the year ended December 31, 2005)</w:t>
              </w:r>
            </w:hyperlink>
          </w:p>
        </w:tc>
        <w:tc>
          <w:tcPr>
            <w:tcW w:w="33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First Supplemental Indenture between the Registrant and the Bank of New York Trust Company, N.A., dated as of January 6, 2006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by reference to Exhibit 4.1 to the Registrant’s Current Report on Form 8-K filed on January 24, 2006)</w:t>
              </w:r>
            </w:hyperlink>
          </w:p>
        </w:tc>
        <w:tc>
          <w:tcPr>
            <w:tcW w:w="32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9"/>
              </w:rPr>
            </w:pPr>
            <w:hyperlink r:id="rId38">
              <w:r>
                <w:rPr>
                  <w:rFonts w:ascii="Arial" w:cs="Arial" w:eastAsia="Arial" w:hAnsi="Arial"/>
                  <w:sz w:val="18"/>
                  <w:szCs w:val="18"/>
                  <w:color w:val="0000FF"/>
                  <w:w w:val="99"/>
                </w:rPr>
                <w:t>Second Supplemental Indenture, dated May 5, 2010, between the Registrant and The Bank of New York Mellon Trust Company,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(incorporated by reference to Exhibit 4.1 to the Registrant's Current Report on Form 8-K filed on May 5, 2010)</w:t>
              </w:r>
            </w:hyperlink>
          </w:p>
        </w:tc>
        <w:tc>
          <w:tcPr>
            <w:tcW w:w="2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Officers’ Certificate, dated August 28, 2012, pursuant to the Indenture dated December 8, 2005, as supplemented by the First Supplemental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Indenture dated as of January 6, 2006 and as further supplemented by the Second Supplemental Indenture dated as of May 5, 2010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26"/>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by reference to Exhibit 4.1 to the Registrant's Current Report on Form 8-K filed on August 28, 2012)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8"/>
              </w:rPr>
            </w:pPr>
            <w:hyperlink r:id="rId40">
              <w:r>
                <w:rPr>
                  <w:rFonts w:ascii="Arial" w:cs="Arial" w:eastAsia="Arial" w:hAnsi="Arial"/>
                  <w:sz w:val="18"/>
                  <w:szCs w:val="18"/>
                  <w:color w:val="0000FF"/>
                  <w:w w:val="98"/>
                </w:rPr>
                <w:t>Form of Subordinated Indenture between the Registrant and the Bank of New York Trust Company, N.A.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Exhibit 4.2 (A) to the Registrant’s Registration Statement on Form S-3 filed on November 14, 2007)</w:t>
              </w:r>
            </w:hyperlink>
          </w:p>
        </w:tc>
        <w:tc>
          <w:tcPr>
            <w:tcW w:w="32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7"/>
              </w:rPr>
            </w:pPr>
            <w:hyperlink r:id="rId41">
              <w:r>
                <w:rPr>
                  <w:rFonts w:ascii="Arial" w:cs="Arial" w:eastAsia="Arial" w:hAnsi="Arial"/>
                  <w:sz w:val="18"/>
                  <w:szCs w:val="18"/>
                  <w:color w:val="0000FF"/>
                  <w:w w:val="97"/>
                </w:rPr>
                <w:t>Fourth Supplemental Indenture, dated August 13, 2018, between the Registrant and The Bank of New York Mellon Trust Company,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(incorporated by reference to Exhibit 4.4 to the Registrant's Current Report on Form 8-K filed on August 13, 2018)</w:t>
              </w:r>
            </w:hyperlink>
          </w:p>
        </w:tc>
        <w:tc>
          <w:tcPr>
            <w:tcW w:w="2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80" w:type="dxa"/>
            <w:vAlign w:val="bottom"/>
          </w:tcPr>
          <w:p>
            <w:pPr>
              <w:spacing w:after="0"/>
              <w:rPr>
                <w:sz w:val="24"/>
                <w:szCs w:val="24"/>
                <w:color w:val="auto"/>
              </w:rPr>
            </w:pPr>
          </w:p>
        </w:tc>
        <w:tc>
          <w:tcPr>
            <w:tcW w:w="10360" w:type="dxa"/>
            <w:vAlign w:val="bottom"/>
            <w:tcBorders>
              <w:bottom w:val="single" w:sz="8" w:color="0000FF"/>
            </w:tcBorders>
            <w:gridSpan w:val="21"/>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Form of 4.50% Senior Note of the Registrant due 2028 (incorporated by reference to Exhibit A to Exhibit 4.4 to the Registrant's Current Report</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on Form 8-K filed on August 13, 2018).</w:t>
              </w:r>
            </w:hyperlink>
          </w:p>
        </w:tc>
        <w:tc>
          <w:tcPr>
            <w:tcW w:w="76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80" w:type="dxa"/>
            <w:vAlign w:val="bottom"/>
          </w:tcPr>
          <w:p>
            <w:pPr>
              <w:spacing w:after="0"/>
              <w:rPr>
                <w:sz w:val="24"/>
                <w:szCs w:val="24"/>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 xml:space="preserve">Specimen certificate for shares of the Registrant’s FNF Group common stock, par value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0.0001 per Share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26"/>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Registration Statement on Form S-4/A filed on May 5, 2014)</w:t>
              </w:r>
            </w:hyperlink>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80" w:type="dxa"/>
            <w:vAlign w:val="bottom"/>
          </w:tcPr>
          <w:p>
            <w:pPr>
              <w:spacing w:after="0"/>
              <w:rPr>
                <w:sz w:val="21"/>
                <w:szCs w:val="21"/>
                <w:color w:val="auto"/>
              </w:rPr>
            </w:pPr>
          </w:p>
        </w:tc>
        <w:tc>
          <w:tcPr>
            <w:tcW w:w="6020" w:type="dxa"/>
            <w:vAlign w:val="bottom"/>
            <w:tcBorders>
              <w:top w:val="single" w:sz="8" w:color="0000FF"/>
            </w:tcBorders>
            <w:gridSpan w:val="10"/>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Description of FNF Common Stock</w:t>
              </w:r>
            </w:hyperlink>
          </w:p>
        </w:tc>
        <w:tc>
          <w:tcPr>
            <w:tcW w:w="454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7"/>
              </w:rPr>
            </w:pPr>
            <w:hyperlink r:id="rId43">
              <w:r>
                <w:rPr>
                  <w:rFonts w:ascii="Arial" w:cs="Arial" w:eastAsia="Arial" w:hAnsi="Arial"/>
                  <w:sz w:val="18"/>
                  <w:szCs w:val="18"/>
                  <w:color w:val="0000FF"/>
                  <w:w w:val="97"/>
                </w:rPr>
                <w:t>Fourth Amended and Restated Credit Agreement, dated as of April 27, 2017, by and among Fidelity National Financial, Inc., a Delaware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26"/>
          </w:tcPr>
          <w:p>
            <w:pPr>
              <w:spacing w:after="0" w:line="196" w:lineRule="exact"/>
              <w:rPr>
                <w:rFonts w:ascii="Arial" w:cs="Arial" w:eastAsia="Arial" w:hAnsi="Arial"/>
                <w:sz w:val="18"/>
                <w:szCs w:val="18"/>
                <w:color w:val="0000FF"/>
                <w:w w:val="93"/>
              </w:rPr>
            </w:pPr>
            <w:hyperlink r:id="rId43">
              <w:r>
                <w:rPr>
                  <w:rFonts w:ascii="Arial" w:cs="Arial" w:eastAsia="Arial" w:hAnsi="Arial"/>
                  <w:sz w:val="18"/>
                  <w:szCs w:val="18"/>
                  <w:color w:val="0000FF"/>
                  <w:w w:val="93"/>
                </w:rPr>
                <w:t>corporation, as the borrower, Bank of America, N.A., as administrative agent, the other agents party thereto and the financial institutions party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thereto as lenders (incorporated by reference to Exhibit 10.2 to the Registrant's Current Report on Form 8-K filed on May 2, 2017)</w:t>
              </w:r>
            </w:hyperlink>
          </w:p>
        </w:tc>
        <w:tc>
          <w:tcPr>
            <w:tcW w:w="1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Amended and Restated Fidelity National Financial, Inc. 2005 Omnibus Incentive Plan (incorporated by reference to Annex A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Schedule 14A filed on April 29, 2016) (1)</w:t>
              </w:r>
            </w:hyperlink>
          </w:p>
        </w:tc>
        <w:tc>
          <w:tcPr>
            <w:tcW w:w="75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1"/>
                <w:szCs w:val="21"/>
                <w:color w:val="auto"/>
              </w:rPr>
            </w:pPr>
          </w:p>
        </w:tc>
        <w:tc>
          <w:tcPr>
            <w:tcW w:w="10540" w:type="dxa"/>
            <w:vAlign w:val="bottom"/>
            <w:tcBorders>
              <w:bottom w:val="single" w:sz="8" w:color="0000FF"/>
            </w:tcBorders>
            <w:gridSpan w:val="25"/>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Amended and Restated Fidelity National Financial, Inc. 2013 Employee Stock Purchase Plan (incorporated by reference to Exhibit 10.3 to the</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Registrant's Annual Report on Form 10-K for the year ended December 31, 2018) (1)</w:t>
              </w:r>
            </w:hyperlink>
          </w:p>
        </w:tc>
        <w:tc>
          <w:tcPr>
            <w:tcW w:w="44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80" w:type="dxa"/>
            <w:vAlign w:val="bottom"/>
          </w:tcPr>
          <w:p>
            <w:pPr>
              <w:spacing w:after="0"/>
              <w:rPr>
                <w:sz w:val="21"/>
                <w:szCs w:val="21"/>
                <w:color w:val="auto"/>
              </w:rPr>
            </w:pPr>
          </w:p>
        </w:tc>
        <w:tc>
          <w:tcPr>
            <w:tcW w:w="10560" w:type="dxa"/>
            <w:vAlign w:val="bottom"/>
            <w:tcBorders>
              <w:bottom w:val="single" w:sz="8" w:color="0000FF"/>
            </w:tcBorders>
            <w:gridSpan w:val="26"/>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Fidelity National Financial, Inc. Annual Incentive Plan (incorporated by reference to Annex B to the Registrant's Schedule 14A filed on April 29,</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2016) (1)</w:t>
              </w:r>
            </w:hyperlink>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960" w:type="dxa"/>
            <w:vAlign w:val="bottom"/>
            <w:gridSpan w:val="6"/>
          </w:tcPr>
          <w:p>
            <w:pPr>
              <w:jc w:val="right"/>
              <w:ind w:right="608"/>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40" w:type="dxa"/>
            <w:vAlign w:val="bottom"/>
            <w:gridSpan w:val="13"/>
            <w:vMerge w:val="restart"/>
          </w:tcPr>
          <w:p>
            <w:pPr>
              <w:jc w:val="center"/>
              <w:ind w:right="4920"/>
              <w:spacing w:after="0"/>
              <w:rPr>
                <w:sz w:val="20"/>
                <w:szCs w:val="20"/>
                <w:color w:val="auto"/>
              </w:rPr>
            </w:pPr>
            <w:r>
              <w:rPr>
                <w:rFonts w:ascii="Arial" w:cs="Arial" w:eastAsia="Arial" w:hAnsi="Arial"/>
                <w:sz w:val="14"/>
                <w:szCs w:val="14"/>
                <w:b w:val="1"/>
                <w:bCs w:val="1"/>
                <w:color w:val="auto"/>
                <w:w w:val="93"/>
              </w:rPr>
              <w:t>Description</w:t>
            </w:r>
          </w:p>
        </w:tc>
        <w:tc>
          <w:tcPr>
            <w:tcW w:w="0" w:type="dxa"/>
            <w:vAlign w:val="bottom"/>
          </w:tcPr>
          <w:p>
            <w:pPr>
              <w:spacing w:after="0"/>
              <w:rPr>
                <w:sz w:val="1"/>
                <w:szCs w:val="1"/>
                <w:color w:val="auto"/>
              </w:rPr>
            </w:pPr>
          </w:p>
        </w:tc>
      </w:tr>
      <w:tr>
        <w:trPr>
          <w:trHeight w:val="158"/>
        </w:trPr>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Number</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64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80" w:type="dxa"/>
            <w:vAlign w:val="bottom"/>
          </w:tcPr>
          <w:p>
            <w:pPr>
              <w:spacing w:after="0"/>
              <w:rPr>
                <w:sz w:val="19"/>
                <w:szCs w:val="19"/>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Fidelity National Financial, Inc. Deferred Compensation Plan, as amended and restated, effective January 1, 2009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Exhibit 10.18 to the Registrant’s Annual Report on Form 10-K for the year ended December 31, 2008)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6"/>
              </w:rPr>
            </w:pPr>
            <w:hyperlink r:id="rId48">
              <w:r>
                <w:rPr>
                  <w:rFonts w:ascii="Arial" w:cs="Arial" w:eastAsia="Arial" w:hAnsi="Arial"/>
                  <w:sz w:val="18"/>
                  <w:szCs w:val="18"/>
                  <w:color w:val="0000FF"/>
                  <w:w w:val="96"/>
                </w:rPr>
                <w:t>Form of Notice of FNF Group Stock Option Award and FNF Group Stock Option Award Agreement under Amended and Restated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Arial" w:cs="Arial" w:eastAsia="Arial" w:hAnsi="Arial"/>
                <w:sz w:val="18"/>
                <w:szCs w:val="18"/>
                <w:color w:val="0000FF"/>
                <w:w w:val="96"/>
              </w:rPr>
            </w:pPr>
            <w:hyperlink r:id="rId48">
              <w:r>
                <w:rPr>
                  <w:rFonts w:ascii="Arial" w:cs="Arial" w:eastAsia="Arial" w:hAnsi="Arial"/>
                  <w:sz w:val="18"/>
                  <w:szCs w:val="18"/>
                  <w:color w:val="0000FF"/>
                  <w:w w:val="96"/>
                </w:rPr>
                <w:t>National Financial, Inc. 2005 Omnibus Incentive Plan for October 2015 Awards (incorporated by reference to Exhibit 10.12 to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Annual Report on Form 10-K for the year ended December 31, 2015)(1)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8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Form of Notice of Stock Option Award and Stock Option Award Agreement under Amended and Restated Fidelity National Financial, Inc. 2005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Omnibus Incentive Plan for November 2013 Awards (incorporated by reference to Exhibit 10.12 to the Registrant’s Annual Report on Form 10-K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for the year ended December 31, 2013)(1)</w:t>
              </w:r>
            </w:hyperlink>
          </w:p>
        </w:tc>
        <w:tc>
          <w:tcPr>
            <w:tcW w:w="750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Form of Notice of Stock Option Grant and Stock Option Award Agreement under Amended and Restated Fidelity National Financial, Inc. 2005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Omnibus Incentive Plan (incorporated by reference to Exhibit 10.10 to the Registrant's Annual Report on Form 10-K for the year 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December 31, 2012) (1)</w:t>
              </w:r>
            </w:hyperlink>
          </w:p>
        </w:tc>
        <w:tc>
          <w:tcPr>
            <w:tcW w:w="8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Amended and Restated Employment Agreement between the Registrant and Anthony J. Park, effective as of October 10, 2008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reference to Exhibit 10.11 to Registrant’s Annual Report on Form 10-K for the year ended December 31, 2008) (1)</w:t>
              </w:r>
            </w:hyperlink>
          </w:p>
        </w:tc>
        <w:tc>
          <w:tcPr>
            <w:tcW w:w="2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Amendment effective February 4, 2010 to Amended and Restated Employment Agreement between the Registrant and Anthony J. Park, effective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as of October 10, 2008 (incorporated by reference to Exhibit 10.13 to the Registrant's Annual Report on Form 10-K for the year ended December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31, 2009) (1)</w:t>
              </w:r>
            </w:hyperlink>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8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FF"/>
                <w:w w:val="97"/>
              </w:rPr>
            </w:pPr>
            <w:hyperlink r:id="rId53">
              <w:r>
                <w:rPr>
                  <w:rFonts w:ascii="Arial" w:cs="Arial" w:eastAsia="Arial" w:hAnsi="Arial"/>
                  <w:sz w:val="18"/>
                  <w:szCs w:val="18"/>
                  <w:color w:val="0000FF"/>
                  <w:w w:val="97"/>
                </w:rPr>
                <w:t>Amendment effective as of July 1, 2012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40" w:type="dxa"/>
            <w:vAlign w:val="bottom"/>
            <w:tcBorders>
              <w:top w:val="single" w:sz="8" w:color="0000FF"/>
            </w:tcBorders>
            <w:gridSpan w:val="18"/>
          </w:tcPr>
          <w:p>
            <w:pPr>
              <w:spacing w:after="0" w:line="196" w:lineRule="exact"/>
              <w:rPr>
                <w:rFonts w:ascii="Arial" w:cs="Arial" w:eastAsia="Arial" w:hAnsi="Arial"/>
                <w:sz w:val="18"/>
                <w:szCs w:val="18"/>
                <w:color w:val="0000FF"/>
                <w:w w:val="99"/>
              </w:rPr>
            </w:pPr>
            <w:hyperlink r:id="rId53">
              <w:r>
                <w:rPr>
                  <w:rFonts w:ascii="Arial" w:cs="Arial" w:eastAsia="Arial" w:hAnsi="Arial"/>
                  <w:sz w:val="18"/>
                  <w:szCs w:val="18"/>
                  <w:color w:val="0000FF"/>
                  <w:w w:val="99"/>
                </w:rPr>
                <w:t>(incorporated by reference to Exhibit 10.1 to the Registrant’s Quarterly Report on Form 10-Q for the quarter ended June 30, 2012)(1)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4"/>
              </w:rPr>
            </w:pPr>
            <w:hyperlink r:id="rId54">
              <w:r>
                <w:rPr>
                  <w:rFonts w:ascii="Arial" w:cs="Arial" w:eastAsia="Arial" w:hAnsi="Arial"/>
                  <w:sz w:val="18"/>
                  <w:szCs w:val="18"/>
                  <w:color w:val="0000FF"/>
                  <w:w w:val="94"/>
                </w:rPr>
                <w:t>Amendment effective as of January 1, 2012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(incorporated by reference to Exhibit 10.16 to the Registrant’s Annual Report on Form 10-K for the year ended December 31, 2011)(1)</w:t>
              </w:r>
            </w:hyperlink>
          </w:p>
        </w:tc>
        <w:tc>
          <w:tcPr>
            <w:tcW w:w="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8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Amendment effective February 4, 2010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40" w:type="dxa"/>
            <w:vAlign w:val="bottom"/>
            <w:tcBorders>
              <w:top w:val="single" w:sz="8" w:color="0000FF"/>
            </w:tcBorders>
            <w:gridSpan w:val="18"/>
          </w:tcPr>
          <w:p>
            <w:pPr>
              <w:spacing w:after="0" w:line="196" w:lineRule="exact"/>
              <w:rPr>
                <w:rFonts w:ascii="Arial" w:cs="Arial" w:eastAsia="Arial" w:hAnsi="Arial"/>
                <w:sz w:val="18"/>
                <w:szCs w:val="18"/>
                <w:color w:val="0000FF"/>
                <w:w w:val="98"/>
              </w:rPr>
            </w:pPr>
            <w:hyperlink r:id="rId55">
              <w:r>
                <w:rPr>
                  <w:rFonts w:ascii="Arial" w:cs="Arial" w:eastAsia="Arial" w:hAnsi="Arial"/>
                  <w:sz w:val="18"/>
                  <w:szCs w:val="18"/>
                  <w:color w:val="0000FF"/>
                  <w:w w:val="98"/>
                </w:rPr>
                <w:t>(incorporated by reference to Exhibit 10.15 to the Registrant’s Annual Report on Form 10-K for the year ended December 31, 2009)(1)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jc w:val="center"/>
              <w:spacing w:after="0"/>
              <w:rPr>
                <w:rFonts w:ascii="Arial" w:cs="Arial" w:eastAsia="Arial" w:hAnsi="Arial"/>
                <w:sz w:val="18"/>
                <w:szCs w:val="18"/>
                <w:color w:val="0000FF"/>
                <w:w w:val="90"/>
              </w:rPr>
            </w:pPr>
            <w:hyperlink r:id="rId56">
              <w:r>
                <w:rPr>
                  <w:rFonts w:ascii="Arial" w:cs="Arial" w:eastAsia="Arial" w:hAnsi="Arial"/>
                  <w:sz w:val="18"/>
                  <w:szCs w:val="18"/>
                  <w:color w:val="0000FF"/>
                  <w:w w:val="90"/>
                </w:rPr>
                <w:t>Amended and Restated Employment Agreement between the Registrant and Brent B. Bickett, effective July 2, 2008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Exhibit 10.17 to the Registrants Annual Report on Form 10-K for the year ended December 31, 2017) (1)</w:t>
              </w:r>
            </w:hyperlink>
          </w:p>
        </w:tc>
        <w:tc>
          <w:tcPr>
            <w:tcW w:w="2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8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Director Services Agreement between Fidelity National Financial, Inc. and William P. Foley, II (incorporated by reference to Exhibit 10.27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Registrant's Annual Report on Form 10-K for the year ended December 31, 2015) (1)</w:t>
              </w:r>
            </w:hyperlink>
          </w:p>
        </w:tc>
        <w:tc>
          <w:tcPr>
            <w:tcW w:w="438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Amended and Restated Employment Agreement between the Registrant and Raymond R. Quirk, effective as of October 10, 2008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by reference to Exhibit 10.16 to Registrant’s Annual Report on Form 10-K for the year ended December 31, 2008)(1)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Amendment effective February 4, 2010 to Amended and Restated Employment Agreement between the Registrant and Raymond R. Quirk,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effective as of October 10, 2008 (incorporated by reference to Exhibit 10.21 to the Registrant's Annual Report on Form 10-K for the year 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December 31, 2009) (1)</w:t>
              </w:r>
            </w:hyperlink>
          </w:p>
        </w:tc>
        <w:tc>
          <w:tcPr>
            <w:tcW w:w="88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8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Amended and Restated Employment Agreement between the Registrant and Michael L. Gravelle, effective as of January 30, 2013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by reference to Exhibit 10.22 to the Registrant's Annual Report on Form 10-K for the year ended December 31, 2012) (1)</w:t>
              </w:r>
            </w:hyperlink>
          </w:p>
        </w:tc>
        <w:tc>
          <w:tcPr>
            <w:tcW w:w="178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Amendment No. 2 to Amended and Restated Employment Agreement between the Registrant and Michael L. Gravelle, effective as of March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2015 (incorporated by reference to Exhibit 10.2 to the Registrant’s Quarterly Report on Form 10-Q for the quarter ended March 31, 2015) (1)</w:t>
              </w:r>
            </w:hyperlink>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Amended and Restated Employment Agreement between the Registrant and Peter T. Sadowski, effective as of February 4, 2010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reference to Exhibit 10.26 to the Registrant's Annual Report on Form 10-K for the year ended December 31, 2012) (1)</w:t>
              </w:r>
            </w:hyperlink>
          </w:p>
        </w:tc>
        <w:tc>
          <w:tcPr>
            <w:tcW w:w="20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9"/>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ServiceLink Holdings, LLC 2013 Management Incentive Plan (incorporated by reference to Exhibit 10.2 to the Registrant’s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9"/>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Form 8-K filed on January 15, 2014)(1)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80" w:type="dxa"/>
            <w:vAlign w:val="bottom"/>
          </w:tcPr>
          <w:p>
            <w:pPr>
              <w:spacing w:after="0"/>
              <w:rPr>
                <w:sz w:val="21"/>
                <w:szCs w:val="21"/>
                <w:color w:val="auto"/>
              </w:rPr>
            </w:pPr>
          </w:p>
        </w:tc>
        <w:tc>
          <w:tcPr>
            <w:tcW w:w="10560" w:type="dxa"/>
            <w:vAlign w:val="bottom"/>
            <w:gridSpan w:val="19"/>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Form of ServiceLink Holdings, LLC Unit Grant Agreement (incorporated by reference to Exhibit 10.4 to the Registrant's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8-K filed on January 15, 2014)(1)</w:t>
              </w:r>
            </w:hyperlink>
          </w:p>
        </w:tc>
        <w:tc>
          <w:tcPr>
            <w:tcW w:w="810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7"/>
          </w:tcPr>
          <w:p>
            <w:pPr>
              <w:ind w:left="4780"/>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6"/>
              </w:rPr>
              <w:t>Description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8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4"/>
              </w:rPr>
              <w:t>Number</w:t>
            </w:r>
          </w:p>
        </w:tc>
        <w:tc>
          <w:tcPr>
            <w:tcW w:w="1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80" w:type="dxa"/>
            <w:vAlign w:val="bottom"/>
          </w:tcPr>
          <w:p>
            <w:pPr>
              <w:spacing w:after="0"/>
              <w:rPr>
                <w:sz w:val="18"/>
                <w:szCs w:val="18"/>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ServiceLink Holdings, LLC Incentive Plan (incorporated by reference to Exhibit 10.6 to the to the Registrant’s Current Report on Form 8-K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on January 15, 2014) (1)</w:t>
              </w:r>
            </w:hyperlink>
          </w:p>
        </w:tc>
        <w:tc>
          <w:tcPr>
            <w:tcW w:w="8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2"/>
              </w:rPr>
            </w:pPr>
            <w:hyperlink r:id="rId66">
              <w:r>
                <w:rPr>
                  <w:rFonts w:ascii="Arial" w:cs="Arial" w:eastAsia="Arial" w:hAnsi="Arial"/>
                  <w:sz w:val="18"/>
                  <w:szCs w:val="18"/>
                  <w:color w:val="0000FF"/>
                  <w:w w:val="92"/>
                </w:rPr>
                <w:t>Amendment effective May 3, 2016 to Director Services Agreement between the Registrant and William P. Foley II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Exhibit 10.1 to Registrant's Quarterly Report on Form 10-Q for the quarter ended June 30,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Amendment effective May 3, 2016 to Amended and Restated Employment Agreement between the Registrant and Raymond R. Quirk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(incorporated by reference to Exhibit 10.2 to the Registrant's Quarterly Report on Form 10-Q for the quarter ended June 30, 2016) (1)</w:t>
              </w:r>
            </w:hyperlink>
          </w:p>
        </w:tc>
        <w:tc>
          <w:tcPr>
            <w:tcW w:w="9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Amendment effective May 3, 2016 to Amended and Restated Employment Agreement between the Registrant and Anthony J. Park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by reference to Exhibit 10.4 to the Registrant's Quarterly Report on Form 10-Q for the quarter ended June 30, 2016) (1)</w:t>
              </w:r>
            </w:hyperlink>
          </w:p>
        </w:tc>
        <w:tc>
          <w:tcPr>
            <w:tcW w:w="1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Amendment effective May 3, 2016 to Amended and Restated Employment Agreement between the Registrant and Michael L. Gravelle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(incorporated by reference to Exhibit 10.5 to the Registrant's Quarterly Report on Form 10-Q for the quarter ended June 30, 2016) (1)</w:t>
              </w:r>
            </w:hyperlink>
          </w:p>
        </w:tc>
        <w:tc>
          <w:tcPr>
            <w:tcW w:w="9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Amendment effective May 3, 2016 to Amended and Restated Employment Agreement between the Registrant and Peter T. Sadowski</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(incorporated by reference to Exhibit 10.6 to the Registrant's Quarterly Report on Form 10-Q for the quarter ended June 30, 2016) (1)</w:t>
              </w:r>
            </w:hyperlink>
          </w:p>
        </w:tc>
        <w:tc>
          <w:tcPr>
            <w:tcW w:w="9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4"/>
              </w:rPr>
            </w:pPr>
            <w:hyperlink r:id="rId71">
              <w:r>
                <w:rPr>
                  <w:rFonts w:ascii="Arial" w:cs="Arial" w:eastAsia="Arial" w:hAnsi="Arial"/>
                  <w:sz w:val="18"/>
                  <w:szCs w:val="18"/>
                  <w:color w:val="0000FF"/>
                  <w:w w:val="94"/>
                </w:rPr>
                <w:t>Employment Agreement between the Registrant and Michael Nolan effective March 2, 2016 (incorporated by reference to Exhibit 10.7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Registrant's Quarterly Report on Form 10-Q for the quarter ended June 30,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Amendment effective May 3, 2016 to Employment Agreement between the Registrant and Michael Nolan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8</w:t>
              </w:r>
              <w:r>
                <w:rPr>
                  <w:rFonts w:ascii="Arial" w:cs="Arial" w:eastAsia="Arial" w:hAnsi="Arial"/>
                  <w:sz w:val="18"/>
                  <w:szCs w:val="18"/>
                  <w:color w:val="0000FF"/>
                  <w:w w:val="90"/>
                </w:rPr>
                <w:t xml:space="preserve"> to the Registrant's Quarterly Report on Form 10-Q for the quarter ended June 30, 2016) (1)</w:t>
              </w:r>
            </w:hyperlink>
          </w:p>
        </w:tc>
        <w:tc>
          <w:tcPr>
            <w:tcW w:w="3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4"/>
              </w:rPr>
            </w:pPr>
            <w:hyperlink r:id="rId73">
              <w:r>
                <w:rPr>
                  <w:rFonts w:ascii="Arial" w:cs="Arial" w:eastAsia="Arial" w:hAnsi="Arial"/>
                  <w:sz w:val="18"/>
                  <w:szCs w:val="18"/>
                  <w:color w:val="0000FF"/>
                  <w:w w:val="94"/>
                </w:rPr>
                <w:t>Employment Agreement between the Registrant and Roger Jewkes effective March 3, 2016 (incorporated by reference to Exhibit 10.9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Registrant's Quarterly Report on Form 10-Q for the quarter ended June 30,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3"/>
              </w:rPr>
            </w:pPr>
            <w:hyperlink r:id="rId74">
              <w:r>
                <w:rPr>
                  <w:rFonts w:ascii="Arial" w:cs="Arial" w:eastAsia="Arial" w:hAnsi="Arial"/>
                  <w:sz w:val="18"/>
                  <w:szCs w:val="18"/>
                  <w:color w:val="0000FF"/>
                  <w:w w:val="93"/>
                </w:rPr>
                <w:t>Amendment effective May 3, 2016 to Employment Agreement between the Registrant and Roger Jewkes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Registrant's Quarterly Report on Form 10-Q for the quarter ended June 30,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2"/>
              </w:rPr>
            </w:pPr>
            <w:hyperlink w:anchor="page105">
              <w:r>
                <w:rPr>
                  <w:rFonts w:ascii="Arial" w:cs="Arial" w:eastAsia="Arial" w:hAnsi="Arial"/>
                  <w:sz w:val="18"/>
                  <w:szCs w:val="18"/>
                  <w:color w:val="0000FF"/>
                  <w:w w:val="92"/>
                </w:rPr>
                <w:t>Form of Notice of Restricted Stock Grant and FNF Restricted Stock Award Agreement under Amended and Restated Fidelity National Financial,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105">
              <w:r>
                <w:rPr>
                  <w:rFonts w:ascii="Arial" w:cs="Arial" w:eastAsia="Arial" w:hAnsi="Arial"/>
                  <w:sz w:val="18"/>
                  <w:szCs w:val="18"/>
                  <w:color w:val="0000FF"/>
                  <w:w w:val="91"/>
                </w:rPr>
                <w:t>Inc. 2005 Omnibus Incentive Plan for October 2019 Awards (1)</w:t>
              </w:r>
            </w:hyperlink>
          </w:p>
        </w:tc>
        <w:tc>
          <w:tcPr>
            <w:tcW w:w="59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80" w:type="dxa"/>
            <w:vAlign w:val="bottom"/>
          </w:tcPr>
          <w:p>
            <w:pPr>
              <w:spacing w:after="0"/>
              <w:rPr>
                <w:sz w:val="24"/>
                <w:szCs w:val="24"/>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5"/>
              </w:rPr>
            </w:pPr>
            <w:hyperlink r:id="rId75">
              <w:r>
                <w:rPr>
                  <w:rFonts w:ascii="Arial" w:cs="Arial" w:eastAsia="Arial" w:hAnsi="Arial"/>
                  <w:sz w:val="18"/>
                  <w:szCs w:val="18"/>
                  <w:color w:val="0000FF"/>
                  <w:w w:val="95"/>
                </w:rPr>
                <w:t>Form of Notice of FNF Restricted Stock Grant and FNF Restricted Stock Award Agreement under Amended and Restated Fidelity National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8"/>
          </w:tcPr>
          <w:p>
            <w:pPr>
              <w:spacing w:after="0" w:line="196"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Financial, Inc. 2005 Omnibus Incentive Plan for October 2018 Awards (incorporated by reference to Exhibit 10.38 to the Registrant's Annual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Report on Form 10-K for the year ended December 31, 2018) (1)</w:t>
              </w:r>
            </w:hyperlink>
          </w:p>
        </w:tc>
        <w:tc>
          <w:tcPr>
            <w:tcW w:w="58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80" w:type="dxa"/>
            <w:vAlign w:val="bottom"/>
          </w:tcPr>
          <w:p>
            <w:pPr>
              <w:spacing w:after="0"/>
              <w:rPr>
                <w:sz w:val="24"/>
                <w:szCs w:val="24"/>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Form of Notice of FNF Group Restricted Stock Grant and FNF Group Restricted Stock Award Agreement under Amended and Restated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tcBorders>
              <w:bottom w:val="single" w:sz="8" w:color="0000FF"/>
            </w:tcBorders>
            <w:gridSpan w:val="18"/>
          </w:tcPr>
          <w:p>
            <w:pPr>
              <w:spacing w:after="0" w:line="196"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National Financial, Inc. 2005 Omnibus Incentive Plan for October 2017 Awards (incorporated by reference to Exhibit 10.39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Annual Report on Form 10-K for the year ended December 31, 2017)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80" w:type="dxa"/>
            <w:vAlign w:val="bottom"/>
          </w:tcPr>
          <w:p>
            <w:pPr>
              <w:spacing w:after="0"/>
              <w:rPr>
                <w:sz w:val="21"/>
                <w:szCs w:val="21"/>
                <w:color w:val="auto"/>
              </w:rPr>
            </w:pPr>
          </w:p>
        </w:tc>
        <w:tc>
          <w:tcPr>
            <w:tcW w:w="10560" w:type="dxa"/>
            <w:vAlign w:val="bottom"/>
            <w:tcBorders>
              <w:bottom w:val="single" w:sz="8" w:color="0000FF"/>
            </w:tcBorders>
            <w:gridSpan w:val="18"/>
          </w:tcPr>
          <w:p>
            <w:pPr>
              <w:spacing w:after="0"/>
              <w:rPr>
                <w:rFonts w:ascii="Arial" w:cs="Arial" w:eastAsia="Arial" w:hAnsi="Arial"/>
                <w:sz w:val="18"/>
                <w:szCs w:val="18"/>
                <w:color w:val="0000FF"/>
              </w:rPr>
            </w:pPr>
            <w:hyperlink r:id="rId77">
              <w:r>
                <w:rPr>
                  <w:rFonts w:ascii="Arial" w:cs="Arial" w:eastAsia="Arial" w:hAnsi="Arial"/>
                  <w:sz w:val="18"/>
                  <w:szCs w:val="18"/>
                  <w:color w:val="0000FF"/>
                </w:rPr>
                <w:t>Tax Matters Agreement, dated as of November 17, 2017, by and between Fidelity National Financial, Inc. and Cannae Holdings,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(incorporated by reference to Exhibit 10.1 to the Registrant's Current Report on Form 8-K filed on November 20,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860" w:type="dxa"/>
            <w:vAlign w:val="bottom"/>
            <w:gridSpan w:val="11"/>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80" w:type="dxa"/>
            <w:vAlign w:val="bottom"/>
          </w:tcPr>
          <w:p>
            <w:pPr>
              <w:spacing w:after="0"/>
              <w:rPr>
                <w:sz w:val="21"/>
                <w:szCs w:val="21"/>
                <w:color w:val="auto"/>
              </w:rPr>
            </w:pPr>
          </w:p>
        </w:tc>
        <w:tc>
          <w:tcPr>
            <w:tcW w:w="10540" w:type="dxa"/>
            <w:vAlign w:val="bottom"/>
            <w:tcBorders>
              <w:bottom w:val="single" w:sz="8" w:color="0000FF"/>
            </w:tcBorders>
            <w:gridSpan w:val="17"/>
          </w:tcPr>
          <w:p>
            <w:pPr>
              <w:spacing w:after="0"/>
              <w:rPr>
                <w:rFonts w:ascii="Arial" w:cs="Arial" w:eastAsia="Arial" w:hAnsi="Arial"/>
                <w:sz w:val="18"/>
                <w:szCs w:val="18"/>
                <w:color w:val="0000FF"/>
                <w:w w:val="92"/>
              </w:rPr>
            </w:pPr>
            <w:hyperlink r:id="rId78">
              <w:r>
                <w:rPr>
                  <w:rFonts w:ascii="Arial" w:cs="Arial" w:eastAsia="Arial" w:hAnsi="Arial"/>
                  <w:sz w:val="18"/>
                  <w:szCs w:val="18"/>
                  <w:color w:val="0000FF"/>
                  <w:w w:val="92"/>
                </w:rPr>
                <w:t>Termination Agreement, dated September 9, 2019, among Stewart Information Services Corporation, Fidelity National Financial, Inc., A Holdco</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Corp. and S Holdco LLC (incorporated by reference to Exhibit 10.1 to the Registrant’s Current Report on Form 8-K filed on September 11, 2019)</w:t>
              </w:r>
            </w:hyperlink>
          </w:p>
        </w:tc>
        <w:tc>
          <w:tcPr>
            <w:tcW w:w="0" w:type="dxa"/>
            <w:vAlign w:val="bottom"/>
          </w:tcPr>
          <w:p>
            <w:pPr>
              <w:spacing w:after="0"/>
              <w:rPr>
                <w:sz w:val="1"/>
                <w:szCs w:val="1"/>
                <w:color w:val="auto"/>
              </w:rPr>
            </w:pPr>
          </w:p>
        </w:tc>
      </w:tr>
      <w:tr>
        <w:trPr>
          <w:trHeight w:val="46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80" w:type="dxa"/>
            <w:vAlign w:val="bottom"/>
          </w:tcPr>
          <w:p>
            <w:pPr>
              <w:spacing w:after="0"/>
              <w:rPr>
                <w:sz w:val="24"/>
                <w:szCs w:val="24"/>
                <w:color w:val="auto"/>
              </w:rPr>
            </w:pPr>
          </w:p>
        </w:tc>
        <w:tc>
          <w:tcPr>
            <w:tcW w:w="1018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79">
              <w:r>
                <w:rPr>
                  <w:rFonts w:ascii="Arial" w:cs="Arial" w:eastAsia="Arial" w:hAnsi="Arial"/>
                  <w:sz w:val="18"/>
                  <w:szCs w:val="18"/>
                  <w:color w:val="0000FF"/>
                  <w:w w:val="90"/>
                </w:rPr>
                <w:t>Amendment effective November 1, 2019 to Amended and Restated Employment Agreement between the Registrant and Michael L. Gravelle</w:t>
              </w:r>
            </w:hyperlink>
          </w:p>
        </w:tc>
        <w:tc>
          <w:tcPr>
            <w:tcW w:w="320" w:type="dxa"/>
            <w:vAlign w:val="bottom"/>
            <w:tcBorders>
              <w:top w:val="single" w:sz="8" w:color="0000FF"/>
            </w:tcBorders>
          </w:tcPr>
          <w:p>
            <w:pPr>
              <w:spacing w:after="0"/>
              <w:rPr>
                <w:sz w:val="24"/>
                <w:szCs w:val="24"/>
                <w:color w:val="auto"/>
              </w:rPr>
            </w:pP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effective May 3, 2016 (incorporated by reference to Exhibit 10.2 to the Registrant's Quarterly Report on Form 10-Q for the quarter ended</w:t>
              </w:r>
            </w:hyperlink>
          </w:p>
        </w:tc>
        <w:tc>
          <w:tcPr>
            <w:tcW w:w="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560" w:type="dxa"/>
            <w:vAlign w:val="bottom"/>
            <w:gridSpan w:val="18"/>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September 30, 2019) (1)</w:t>
              </w:r>
            </w:hyperlink>
          </w:p>
        </w:tc>
        <w:tc>
          <w:tcPr>
            <w:tcW w:w="0" w:type="dxa"/>
            <w:vAlign w:val="bottom"/>
          </w:tcPr>
          <w:p>
            <w:pPr>
              <w:spacing w:after="0"/>
              <w:rPr>
                <w:sz w:val="1"/>
                <w:szCs w:val="1"/>
                <w:color w:val="auto"/>
              </w:rPr>
            </w:pPr>
          </w:p>
        </w:tc>
      </w:tr>
      <w:tr>
        <w:trPr>
          <w:trHeight w:val="480"/>
        </w:trPr>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3500" w:type="dxa"/>
            <w:vAlign w:val="bottom"/>
            <w:gridSpan w:val="5"/>
          </w:tcPr>
          <w:p>
            <w:pPr>
              <w:jc w:val="right"/>
              <w:ind w:right="21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80" w:type="dxa"/>
            <w:vAlign w:val="bottom"/>
            <w:gridSpan w:val="3"/>
          </w:tcPr>
          <w:p>
            <w:pPr>
              <w:jc w:val="center"/>
              <w:ind w:right="220"/>
              <w:spacing w:after="0" w:line="125" w:lineRule="exact"/>
              <w:rPr>
                <w:sz w:val="20"/>
                <w:szCs w:val="20"/>
                <w:color w:val="auto"/>
              </w:rPr>
            </w:pPr>
            <w:r>
              <w:rPr>
                <w:rFonts w:ascii="Arial" w:cs="Arial" w:eastAsia="Arial" w:hAnsi="Arial"/>
                <w:sz w:val="14"/>
                <w:szCs w:val="14"/>
                <w:b w:val="1"/>
                <w:bCs w:val="1"/>
                <w:color w:val="auto"/>
                <w:w w:val="94"/>
              </w:rPr>
              <w:t>Number</w:t>
            </w: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21.1</w:t>
            </w:r>
          </w:p>
        </w:tc>
        <w:tc>
          <w:tcPr>
            <w:tcW w:w="300" w:type="dxa"/>
            <w:vAlign w:val="bottom"/>
          </w:tcPr>
          <w:p>
            <w:pPr>
              <w:spacing w:after="0"/>
              <w:rPr>
                <w:sz w:val="18"/>
                <w:szCs w:val="18"/>
                <w:color w:val="auto"/>
              </w:rPr>
            </w:pPr>
          </w:p>
        </w:tc>
        <w:tc>
          <w:tcPr>
            <w:tcW w:w="21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10">
              <w:r>
                <w:rPr>
                  <w:rFonts w:ascii="Arial" w:cs="Arial" w:eastAsia="Arial" w:hAnsi="Arial"/>
                  <w:sz w:val="18"/>
                  <w:szCs w:val="18"/>
                  <w:color w:val="0000FF"/>
                  <w:w w:val="89"/>
                </w:rPr>
                <w:t>Subsidiaries of the Registrant</w:t>
              </w:r>
            </w:hyperlink>
          </w:p>
        </w:tc>
        <w:tc>
          <w:tcPr>
            <w:tcW w:w="81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300" w:type="dxa"/>
            <w:vAlign w:val="bottom"/>
          </w:tcPr>
          <w:p>
            <w:pPr>
              <w:spacing w:after="0"/>
              <w:rPr>
                <w:sz w:val="21"/>
                <w:szCs w:val="21"/>
                <w:color w:val="auto"/>
              </w:rPr>
            </w:pPr>
          </w:p>
        </w:tc>
        <w:tc>
          <w:tcPr>
            <w:tcW w:w="58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11">
              <w:r>
                <w:rPr>
                  <w:rFonts w:ascii="Arial" w:cs="Arial" w:eastAsia="Arial" w:hAnsi="Arial"/>
                  <w:sz w:val="18"/>
                  <w:szCs w:val="18"/>
                  <w:color w:val="0000FF"/>
                  <w:w w:val="91"/>
                </w:rPr>
                <w:t>Consent of Ernst &amp; Young LLP, Independent Registered Public Accounting Firm</w:t>
              </w:r>
            </w:hyperlink>
          </w:p>
        </w:tc>
        <w:tc>
          <w:tcPr>
            <w:tcW w:w="44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300" w:type="dxa"/>
            <w:vAlign w:val="bottom"/>
          </w:tcPr>
          <w:p>
            <w:pPr>
              <w:spacing w:after="0"/>
              <w:rPr>
                <w:sz w:val="21"/>
                <w:szCs w:val="21"/>
                <w:color w:val="auto"/>
              </w:rPr>
            </w:pPr>
          </w:p>
        </w:tc>
        <w:tc>
          <w:tcPr>
            <w:tcW w:w="71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Certification of Chief Executive Officer pursuant to Section 302 of the Sarbanes-Oxley Act of 2002</w:t>
              </w:r>
            </w:hyperlink>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300" w:type="dxa"/>
            <w:vAlign w:val="bottom"/>
          </w:tcPr>
          <w:p>
            <w:pPr>
              <w:spacing w:after="0"/>
              <w:rPr>
                <w:sz w:val="21"/>
                <w:szCs w:val="21"/>
                <w:color w:val="auto"/>
              </w:rPr>
            </w:pPr>
          </w:p>
        </w:tc>
        <w:tc>
          <w:tcPr>
            <w:tcW w:w="10300" w:type="dxa"/>
            <w:vAlign w:val="bottom"/>
            <w:gridSpan w:val="8"/>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180" w:type="dxa"/>
            <w:vAlign w:val="bottom"/>
            <w:gridSpan w:val="5"/>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300" w:type="dxa"/>
            <w:vAlign w:val="bottom"/>
          </w:tcPr>
          <w:p>
            <w:pPr>
              <w:spacing w:after="0"/>
              <w:rPr>
                <w:sz w:val="21"/>
                <w:szCs w:val="21"/>
                <w:color w:val="auto"/>
              </w:rPr>
            </w:pPr>
          </w:p>
        </w:tc>
        <w:tc>
          <w:tcPr>
            <w:tcW w:w="1030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Certification by Chief Executive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114">
              <w:r>
                <w:rPr>
                  <w:rFonts w:ascii="Arial" w:cs="Arial" w:eastAsia="Arial" w:hAnsi="Arial"/>
                  <w:sz w:val="18"/>
                  <w:szCs w:val="18"/>
                  <w:color w:val="0000FF"/>
                  <w:w w:val="87"/>
                </w:rPr>
                <w:t>Section 1350</w:t>
              </w:r>
            </w:hyperlink>
          </w:p>
        </w:tc>
        <w:tc>
          <w:tcPr>
            <w:tcW w:w="9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300" w:type="dxa"/>
            <w:vAlign w:val="bottom"/>
          </w:tcPr>
          <w:p>
            <w:pPr>
              <w:spacing w:after="0"/>
              <w:rPr>
                <w:sz w:val="21"/>
                <w:szCs w:val="21"/>
                <w:color w:val="auto"/>
              </w:rPr>
            </w:pPr>
          </w:p>
        </w:tc>
        <w:tc>
          <w:tcPr>
            <w:tcW w:w="1030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115">
              <w:r>
                <w:rPr>
                  <w:rFonts w:ascii="Arial" w:cs="Arial" w:eastAsia="Arial" w:hAnsi="Arial"/>
                  <w:sz w:val="18"/>
                  <w:szCs w:val="18"/>
                  <w:color w:val="0000FF"/>
                  <w:w w:val="93"/>
                </w:rPr>
                <w:t>Certification by Chief Financial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115">
              <w:r>
                <w:rPr>
                  <w:rFonts w:ascii="Arial" w:cs="Arial" w:eastAsia="Arial" w:hAnsi="Arial"/>
                  <w:sz w:val="18"/>
                  <w:szCs w:val="18"/>
                  <w:color w:val="0000FF"/>
                  <w:w w:val="87"/>
                </w:rPr>
                <w:t>Section 1350</w:t>
              </w:r>
            </w:hyperlink>
          </w:p>
        </w:tc>
        <w:tc>
          <w:tcPr>
            <w:tcW w:w="9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101.INS</w:t>
            </w: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Instance Document (2)</w:t>
            </w:r>
          </w:p>
        </w:tc>
        <w:tc>
          <w:tcPr>
            <w:tcW w:w="0" w:type="dxa"/>
            <w:vAlign w:val="bottom"/>
          </w:tcPr>
          <w:p>
            <w:pPr>
              <w:spacing w:after="0"/>
              <w:rPr>
                <w:sz w:val="1"/>
                <w:szCs w:val="1"/>
                <w:color w:val="auto"/>
              </w:rPr>
            </w:pPr>
          </w:p>
        </w:tc>
      </w:tr>
      <w:tr>
        <w:trPr>
          <w:trHeight w:val="486"/>
        </w:trPr>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101.SCH</w:t>
            </w: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101.CAL</w:t>
            </w: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101.DEF</w:t>
            </w: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0"/>
        </w:trPr>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101.PRE</w:t>
            </w: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88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101.LAB</w:t>
            </w:r>
          </w:p>
        </w:tc>
        <w:tc>
          <w:tcPr>
            <w:tcW w:w="103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687"/>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36"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management or compensatory plan or arrangement required to be filed as an exhibit to this report pursuant to Item 15(c) of Form 10-K</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125"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3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3755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 and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66" w:lineRule="exact"/>
        <w:rPr>
          <w:sz w:val="20"/>
          <w:szCs w:val="20"/>
          <w:color w:val="auto"/>
        </w:rPr>
      </w:pPr>
    </w:p>
    <w:p>
      <w:pPr>
        <w:ind w:left="40" w:right="68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60" w:type="dxa"/>
            <w:vAlign w:val="bottom"/>
          </w:tcPr>
          <w:p>
            <w:pPr>
              <w:spacing w:after="0"/>
              <w:rPr>
                <w:sz w:val="14"/>
                <w:szCs w:val="14"/>
                <w:color w:val="auto"/>
              </w:rPr>
            </w:pPr>
          </w:p>
        </w:tc>
        <w:tc>
          <w:tcPr>
            <w:tcW w:w="5140" w:type="dxa"/>
            <w:vAlign w:val="bottom"/>
            <w:gridSpan w:val="3"/>
          </w:tcPr>
          <w:p>
            <w:pPr>
              <w:jc w:val="center"/>
              <w:ind w:left="291"/>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gridSpan w:val="3"/>
          </w:tcPr>
          <w:p>
            <w:pPr>
              <w:jc w:val="center"/>
              <w:ind w:left="67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Raymond R. Quirk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Raymond R. Quirk</w:t>
            </w:r>
          </w:p>
        </w:tc>
        <w:tc>
          <w:tcPr>
            <w:tcW w:w="5140" w:type="dxa"/>
            <w:vAlign w:val="bottom"/>
            <w:gridSpan w:val="3"/>
          </w:tcPr>
          <w:p>
            <w:pPr>
              <w:jc w:val="center"/>
              <w:ind w:left="271"/>
              <w:spacing w:after="0"/>
              <w:rPr>
                <w:sz w:val="20"/>
                <w:szCs w:val="20"/>
                <w:color w:val="auto"/>
              </w:rPr>
            </w:pPr>
            <w:r>
              <w:rPr>
                <w:rFonts w:ascii="Arial" w:cs="Arial" w:eastAsia="Arial" w:hAnsi="Arial"/>
                <w:sz w:val="18"/>
                <w:szCs w:val="18"/>
                <w:color w:val="auto"/>
                <w:w w:val="94"/>
              </w:rPr>
              <w:t>(Principal Executive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(Principal Financial and Accounting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1"/>
              </w:rPr>
              <w:t>Director and Chairman of the Board</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Richard N. Massey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Heather H. Murren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Heather H. Murren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John D. Rood</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John D. Rood</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14, 2020</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621"/>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jc w:val="right"/>
              <w:ind w:right="271"/>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8660" w:type="dxa"/>
            <w:vAlign w:val="bottom"/>
          </w:tcPr>
          <w:p>
            <w:pPr>
              <w:jc w:val="center"/>
              <w:ind w:left="2706"/>
              <w:spacing w:after="0"/>
              <w:rPr>
                <w:sz w:val="20"/>
                <w:szCs w:val="20"/>
                <w:color w:val="auto"/>
              </w:rPr>
            </w:pPr>
            <w:r>
              <w:rPr>
                <w:rFonts w:ascii="Arial" w:cs="Arial" w:eastAsia="Arial" w:hAnsi="Arial"/>
                <w:sz w:val="18"/>
                <w:szCs w:val="18"/>
                <w:b w:val="1"/>
                <w:bCs w:val="1"/>
                <w:color w:val="auto"/>
              </w:rPr>
              <w:t>FIDELITY NATIONAL FINANCIAL, INC.</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1"/>
              </w:rPr>
              <w:t>(Parent Company)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8"/>
              </w:rPr>
              <w:t>BALANCE SHEETS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2"/>
        </w:trPr>
        <w:tc>
          <w:tcPr>
            <w:tcW w:w="8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86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22"/>
                <w:szCs w:val="22"/>
                <w:color w:val="auto"/>
              </w:rPr>
            </w:pPr>
          </w:p>
        </w:tc>
      </w:tr>
      <w:tr>
        <w:trPr>
          <w:trHeight w:val="190"/>
        </w:trPr>
        <w:tc>
          <w:tcPr>
            <w:tcW w:w="8660" w:type="dxa"/>
            <w:vAlign w:val="bottom"/>
          </w:tcPr>
          <w:p>
            <w:pPr>
              <w:spacing w:after="0"/>
              <w:rPr>
                <w:sz w:val="16"/>
                <w:szCs w:val="16"/>
                <w:color w:val="auto"/>
              </w:rPr>
            </w:pPr>
          </w:p>
        </w:tc>
        <w:tc>
          <w:tcPr>
            <w:tcW w:w="2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(In millions, except share data)</w:t>
            </w:r>
          </w:p>
        </w:tc>
      </w:tr>
      <w:tr>
        <w:trPr>
          <w:trHeight w:val="209"/>
        </w:trPr>
        <w:tc>
          <w:tcPr>
            <w:tcW w:w="8660" w:type="dxa"/>
            <w:vAlign w:val="bottom"/>
          </w:tcPr>
          <w:p>
            <w:pPr>
              <w:ind w:left="5340"/>
              <w:spacing w:after="0"/>
              <w:rPr>
                <w:sz w:val="20"/>
                <w:szCs w:val="20"/>
                <w:color w:val="auto"/>
              </w:rPr>
            </w:pPr>
            <w:r>
              <w:rPr>
                <w:rFonts w:ascii="Arial" w:cs="Arial" w:eastAsia="Arial" w:hAnsi="Arial"/>
                <w:sz w:val="14"/>
                <w:szCs w:val="14"/>
                <w:b w:val="1"/>
                <w:bCs w:val="1"/>
                <w:color w:val="auto"/>
              </w:rPr>
              <w:t>ASSETS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349</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Short term investments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202</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securities, at fair value</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Investment in unconsolidated affiliates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543</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Investments in and amounts due from subsidiaries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4,916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4,629</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2"/>
                <w:szCs w:val="22"/>
                <w:color w:val="auto"/>
              </w:rPr>
            </w:pP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receivable</w:t>
            </w:r>
          </w:p>
        </w:tc>
        <w:tc>
          <w:tcPr>
            <w:tcW w:w="7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3"/>
                <w:szCs w:val="23"/>
                <w:color w:val="auto"/>
              </w:rPr>
            </w:pPr>
          </w:p>
        </w:tc>
      </w:tr>
      <w:tr>
        <w:trPr>
          <w:trHeight w:val="283"/>
        </w:trPr>
        <w:tc>
          <w:tcPr>
            <w:tcW w:w="8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6,789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5,756</w:t>
            </w:r>
          </w:p>
        </w:tc>
        <w:tc>
          <w:tcPr>
            <w:tcW w:w="200" w:type="dxa"/>
            <w:vAlign w:val="bottom"/>
          </w:tcPr>
          <w:p>
            <w:pPr>
              <w:spacing w:after="0"/>
              <w:rPr>
                <w:sz w:val="24"/>
                <w:szCs w:val="24"/>
                <w:color w:val="auto"/>
              </w:rPr>
            </w:pPr>
          </w:p>
        </w:tc>
      </w:tr>
      <w:tr>
        <w:trPr>
          <w:trHeight w:val="156"/>
        </w:trPr>
        <w:tc>
          <w:tcPr>
            <w:tcW w:w="8660" w:type="dxa"/>
            <w:vAlign w:val="bottom"/>
            <w:shd w:val="clear" w:color="auto" w:fill="CCEEFF"/>
          </w:tcPr>
          <w:p>
            <w:pPr>
              <w:ind w:left="4700"/>
              <w:spacing w:after="0" w:line="147" w:lineRule="exact"/>
              <w:rPr>
                <w:sz w:val="20"/>
                <w:szCs w:val="20"/>
                <w:color w:val="auto"/>
              </w:rPr>
            </w:pPr>
            <w:r>
              <w:rPr>
                <w:rFonts w:ascii="Arial" w:cs="Arial" w:eastAsia="Arial" w:hAnsi="Arial"/>
                <w:sz w:val="14"/>
                <w:szCs w:val="14"/>
                <w:b w:val="1"/>
                <w:bCs w:val="1"/>
                <w:color w:val="auto"/>
              </w:rPr>
              <w:t>LIABILITIES AND EQUITY</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other accrued liabilities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Income taxes payable</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227</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Notes payable</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836</w:t>
            </w:r>
          </w:p>
        </w:tc>
        <w:tc>
          <w:tcPr>
            <w:tcW w:w="200" w:type="dxa"/>
            <w:vAlign w:val="bottom"/>
          </w:tcPr>
          <w:p>
            <w:pPr>
              <w:spacing w:after="0"/>
              <w:rPr>
                <w:sz w:val="22"/>
                <w:szCs w:val="22"/>
                <w:color w:val="auto"/>
              </w:rPr>
            </w:pPr>
          </w:p>
        </w:tc>
      </w:tr>
      <w:tr>
        <w:trPr>
          <w:trHeight w:val="25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1,407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1,126</w:t>
            </w:r>
          </w:p>
        </w:tc>
        <w:tc>
          <w:tcPr>
            <w:tcW w:w="200" w:type="dxa"/>
            <w:vAlign w:val="bottom"/>
          </w:tcPr>
          <w:p>
            <w:pPr>
              <w:spacing w:after="0"/>
              <w:rPr>
                <w:sz w:val="22"/>
                <w:szCs w:val="22"/>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Equity:</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63"/>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FNF common stock, $0.0001 par value; authorized 600,000,000 shares as of December 31, 2019 and 2018; outstanding of 275,563,436 and</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6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275,373,834 as of December 31, 2019 and 2018, respectively; and issued of 292,236,476 and 289,601,523 as of December 31, 2019 and 2018,</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194"/>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7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4,581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4,500</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1,356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641</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earnings (loss)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Treasury stock, 16,673,040 shares and 14,227,689 shares as of December 31, 2019 and 2018, respectively, at cost</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200" w:type="dxa"/>
            <w:vAlign w:val="bottom"/>
          </w:tcPr>
          <w:p>
            <w:pPr>
              <w:spacing w:after="0"/>
              <w:rPr>
                <w:sz w:val="22"/>
                <w:szCs w:val="22"/>
                <w:color w:val="auto"/>
              </w:rPr>
            </w:pPr>
          </w:p>
        </w:tc>
      </w:tr>
      <w:tr>
        <w:trPr>
          <w:trHeight w:val="250"/>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5,382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4,630</w:t>
            </w:r>
          </w:p>
        </w:tc>
        <w:tc>
          <w:tcPr>
            <w:tcW w:w="200" w:type="dxa"/>
            <w:vAlign w:val="bottom"/>
          </w:tcPr>
          <w:p>
            <w:pPr>
              <w:spacing w:after="0"/>
              <w:rPr>
                <w:sz w:val="21"/>
                <w:szCs w:val="21"/>
                <w:color w:val="auto"/>
              </w:rPr>
            </w:pPr>
          </w:p>
        </w:tc>
      </w:tr>
      <w:tr>
        <w:trPr>
          <w:trHeight w:val="243"/>
        </w:trPr>
        <w:tc>
          <w:tcPr>
            <w:tcW w:w="866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6,789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5,756</w:t>
            </w:r>
          </w:p>
        </w:tc>
        <w:tc>
          <w:tcPr>
            <w:tcW w:w="200" w:type="dxa"/>
            <w:vAlign w:val="bottom"/>
          </w:tcPr>
          <w:p>
            <w:pPr>
              <w:spacing w:after="0"/>
              <w:rPr>
                <w:sz w:val="21"/>
                <w:szCs w:val="2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440" w:type="dxa"/>
            <w:vAlign w:val="bottom"/>
          </w:tcPr>
          <w:p>
            <w:pPr>
              <w:jc w:val="center"/>
              <w:ind w:left="3911"/>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440" w:type="dxa"/>
            <w:vAlign w:val="bottom"/>
          </w:tcPr>
          <w:p>
            <w:pPr>
              <w:jc w:val="center"/>
              <w:ind w:left="3891"/>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1"/>
              <w:spacing w:after="0"/>
              <w:rPr>
                <w:sz w:val="20"/>
                <w:szCs w:val="20"/>
                <w:color w:val="auto"/>
              </w:rPr>
            </w:pPr>
            <w:r>
              <w:rPr>
                <w:rFonts w:ascii="Arial" w:cs="Arial" w:eastAsia="Arial" w:hAnsi="Arial"/>
                <w:sz w:val="18"/>
                <w:szCs w:val="18"/>
                <w:b w:val="1"/>
                <w:bCs w:val="1"/>
                <w:color w:val="auto"/>
                <w:w w:val="99"/>
              </w:rPr>
              <w:t>STATEMENTS OF EARNINGS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1"/>
              <w:spacing w:after="0"/>
              <w:rPr>
                <w:sz w:val="20"/>
                <w:szCs w:val="20"/>
                <w:color w:val="auto"/>
              </w:rPr>
            </w:pPr>
            <w:r>
              <w:rPr>
                <w:rFonts w:ascii="Arial" w:cs="Arial" w:eastAsia="Arial" w:hAnsi="Arial"/>
                <w:sz w:val="14"/>
                <w:szCs w:val="14"/>
                <w:b w:val="1"/>
                <w:bCs w:val="1"/>
                <w:color w:val="auto"/>
                <w:w w:val="92"/>
              </w:rPr>
              <w:t>(In millions, except per share data)</w:t>
            </w:r>
          </w:p>
        </w:tc>
        <w:tc>
          <w:tcPr>
            <w:tcW w:w="84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fees and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gains and losses, net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Personnel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before income tax benefit and equity in earnings of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before equity in earnings of subsidiaries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 earnings of discontinued operations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of Black Knight to FNF common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7"/>
              </w:rPr>
              <w:t>Redemption of FNFV tracking stock and distribution of Cannae Holdings, Inc. common stock to</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holders of FNFV tracking stock</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effect of adoption of accounting standards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equity activity</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4"/>
        </w:trPr>
        <w:tc>
          <w:tcPr>
            <w:tcW w:w="8120" w:type="dxa"/>
            <w:vAlign w:val="bottom"/>
          </w:tcPr>
          <w:p>
            <w:pPr>
              <w:jc w:val="center"/>
              <w:ind w:left="3231"/>
              <w:spacing w:after="0"/>
              <w:rPr>
                <w:sz w:val="20"/>
                <w:szCs w:val="20"/>
                <w:color w:val="auto"/>
              </w:rPr>
            </w:pPr>
            <w:r>
              <w:rPr>
                <w:rFonts w:ascii="Arial" w:cs="Arial" w:eastAsia="Arial" w:hAnsi="Arial"/>
                <w:sz w:val="18"/>
                <w:szCs w:val="18"/>
                <w:b w:val="1"/>
                <w:bCs w:val="1"/>
                <w:color w:val="auto"/>
              </w:rPr>
              <w:t>FIDELITY NATIONAL FINANCIAL, INC.</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jc w:val="center"/>
              <w:ind w:left="3211"/>
              <w:spacing w:after="0"/>
              <w:rPr>
                <w:sz w:val="20"/>
                <w:szCs w:val="20"/>
                <w:color w:val="auto"/>
              </w:rPr>
            </w:pPr>
            <w:r>
              <w:rPr>
                <w:rFonts w:ascii="Arial" w:cs="Arial" w:eastAsia="Arial" w:hAnsi="Arial"/>
                <w:sz w:val="18"/>
                <w:szCs w:val="18"/>
                <w:b w:val="1"/>
                <w:bCs w:val="1"/>
                <w:color w:val="auto"/>
                <w:w w:val="91"/>
              </w:rPr>
              <w:t>(Parent Company)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4360"/>
              <w:spacing w:after="0"/>
              <w:rPr>
                <w:sz w:val="20"/>
                <w:szCs w:val="20"/>
                <w:color w:val="auto"/>
              </w:rPr>
            </w:pPr>
            <w:r>
              <w:rPr>
                <w:rFonts w:ascii="Arial" w:cs="Arial" w:eastAsia="Arial" w:hAnsi="Arial"/>
                <w:sz w:val="18"/>
                <w:szCs w:val="18"/>
                <w:b w:val="1"/>
                <w:bCs w:val="1"/>
                <w:color w:val="auto"/>
              </w:rPr>
              <w:t>STATEMENTS OF CASH FLOWS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431"/>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Pacific Union Sale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Impairment of assets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earnings of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change in income taxes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increase in accounts payable and other accrued liabilities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 available for sale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purchases of short-term investment activities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from the Pacific Union Sale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to notes receivable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 of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investments in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service payments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portion of debt conversions paid in cash</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Purchases of treasury stock</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Payment for shares withheld for taxes and in treasury</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transferred in the Black Knight spin-off</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transferred in the FNFV split-off</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dividends from subsidiaries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at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171"/>
              <w:spacing w:after="0"/>
              <w:rPr>
                <w:sz w:val="20"/>
                <w:szCs w:val="20"/>
                <w:color w:val="auto"/>
              </w:rPr>
            </w:pPr>
            <w:r>
              <w:rPr>
                <w:rFonts w:ascii="Arial" w:cs="Arial" w:eastAsia="Arial" w:hAnsi="Arial"/>
                <w:sz w:val="18"/>
                <w:szCs w:val="18"/>
                <w:color w:val="auto"/>
                <w:w w:val="88"/>
              </w:rPr>
              <w:t>See Notes to Financial Statements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w:t>
      </w:r>
    </w:p>
    <w:p>
      <w:pPr>
        <w:spacing w:after="0" w:line="3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Notes, net of discount</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6"/>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5.5% Notes, net of discount</w:t>
            </w:r>
          </w:p>
        </w:tc>
        <w:tc>
          <w:tcPr>
            <w:tcW w:w="740" w:type="dxa"/>
            <w:vAlign w:val="bottom"/>
          </w:tcPr>
          <w:p>
            <w:pPr>
              <w:spacing w:after="0"/>
              <w:rPr>
                <w:sz w:val="21"/>
                <w:szCs w:val="21"/>
                <w:color w:val="auto"/>
              </w:rPr>
            </w:pPr>
          </w:p>
        </w:tc>
        <w:tc>
          <w:tcPr>
            <w:tcW w:w="400" w:type="dxa"/>
            <w:vAlign w:val="bottom"/>
          </w:tcPr>
          <w:p>
            <w:pPr>
              <w:jc w:val="right"/>
              <w:ind w:right="36"/>
              <w:spacing w:after="0"/>
              <w:rPr>
                <w:sz w:val="20"/>
                <w:szCs w:val="20"/>
                <w:color w:val="auto"/>
              </w:rPr>
            </w:pPr>
            <w:r>
              <w:rPr>
                <w:rFonts w:ascii="Arial" w:cs="Arial" w:eastAsia="Arial" w:hAnsi="Arial"/>
                <w:sz w:val="18"/>
                <w:szCs w:val="18"/>
                <w:color w:val="auto"/>
                <w:w w:val="86"/>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398</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904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86"/>
              </w:rPr>
              <w:t>838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836</w:t>
            </w:r>
          </w:p>
        </w:tc>
      </w:tr>
      <w:tr>
        <w:trPr>
          <w:trHeight w:val="27"/>
        </w:trPr>
        <w:tc>
          <w:tcPr>
            <w:tcW w:w="90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190"/>
        </w:trPr>
        <w:tc>
          <w:tcPr>
            <w:tcW w:w="7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Cash paid during the year: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payments</w:t>
            </w:r>
          </w:p>
        </w:tc>
        <w:tc>
          <w:tcPr>
            <w:tcW w:w="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w w:val="93"/>
              </w:rPr>
              <w:t>251</w:t>
            </w:r>
          </w:p>
        </w:tc>
        <w:tc>
          <w:tcPr>
            <w:tcW w:w="2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204</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528</w:t>
            </w:r>
          </w:p>
        </w:tc>
      </w:tr>
    </w:tbl>
    <w:p>
      <w:pPr>
        <w:spacing w:after="0" w:line="9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94"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We have received cash dividends from subsidiaries and affiliates of $0.5 billion, $0.4 billion, and $0.8 billion during the years ended December 31, 2019,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u w:val="single" w:color="auto"/>
          <w:color w:val="auto"/>
        </w:rPr>
        <w:t>EXHIBIT 4.9</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FNF COMMON STOCK</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The following describes the general terms and provisions of the common stock and certain provisions of the Fifth Amended and Restated Certificate of Incorporation (the “Certificate of Incorporation”), and Fourth Amended and Restated Bylaws (the “Bylaws”) of Fidelity National Financial, Inc. (the “Company”), and certain related rights. This description is only a summary, does not purport to be complete, and is subject to and qualified in its entirety by reference to the Certificate of Incorporation and the Bylaws, each of which have been filed with the Securities and Exchange Commission.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w:t>
      </w:r>
    </w:p>
    <w:p>
      <w:pPr>
        <w:spacing w:after="0" w:line="179" w:lineRule="exact"/>
        <w:rPr>
          <w:sz w:val="20"/>
          <w:szCs w:val="20"/>
          <w:color w:val="auto"/>
        </w:rPr>
      </w:pPr>
    </w:p>
    <w:p>
      <w:pPr>
        <w:jc w:val="both"/>
        <w:ind w:right="380"/>
        <w:spacing w:after="0" w:line="253" w:lineRule="auto"/>
        <w:rPr>
          <w:sz w:val="20"/>
          <w:szCs w:val="20"/>
          <w:color w:val="auto"/>
        </w:rPr>
      </w:pPr>
      <w:r>
        <w:rPr>
          <w:rFonts w:ascii="Arial" w:cs="Arial" w:eastAsia="Arial" w:hAnsi="Arial"/>
          <w:sz w:val="22"/>
          <w:szCs w:val="22"/>
          <w:color w:val="auto"/>
        </w:rPr>
        <w:t>The authorized capital stock of the Company consists of 600,000,000 shares of common stock, par value $0.0001 per share (the “common stock”), and 50,000,000 shares of preferred stock (the “preferred stock”), par value $0.0001 per share. The common stock is listed on the New York Stock Exchange under the symbol “FNF.”</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Voting Rights</w:t>
      </w:r>
    </w:p>
    <w:p>
      <w:pPr>
        <w:spacing w:after="0" w:line="179" w:lineRule="exact"/>
        <w:rPr>
          <w:sz w:val="20"/>
          <w:szCs w:val="20"/>
          <w:color w:val="auto"/>
        </w:rPr>
      </w:pPr>
    </w:p>
    <w:p>
      <w:pPr>
        <w:ind w:right="80"/>
        <w:spacing w:after="0" w:line="253" w:lineRule="auto"/>
        <w:rPr>
          <w:sz w:val="20"/>
          <w:szCs w:val="20"/>
          <w:color w:val="auto"/>
        </w:rPr>
      </w:pPr>
      <w:r>
        <w:rPr>
          <w:rFonts w:ascii="Arial" w:cs="Arial" w:eastAsia="Arial" w:hAnsi="Arial"/>
          <w:sz w:val="22"/>
          <w:szCs w:val="22"/>
          <w:color w:val="auto"/>
        </w:rPr>
        <w:t>Each outstanding share of common stock entitles the holder thereof to one vote for each share held of record on the applicable record date on all matters submitted to a vote of stockholders. The Company’s stockholders are not entitled to cumulative voting of their shares in elections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 Rights</w:t>
      </w:r>
    </w:p>
    <w:p>
      <w:pPr>
        <w:spacing w:after="0" w:line="179"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Subject to applicable law and the Bylaws, dividends upon the shares of common stock may be declared by the Company’s board of directors (the “Board of Directors”) out of funds legally available to pay dividends.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 Preemptive, Conversion, Redemption or Similar Rights</w:t>
      </w:r>
    </w:p>
    <w:p>
      <w:pPr>
        <w:spacing w:after="0" w:line="179"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Holders of common stock have no preemptive rights to subscribe for, purchase or otherwise acquire any securities of the Company, and there are no conversion rights or redemption, purchase, retirement or sinking fund provisions with respect to the common stock. All outstanding shares of common stock are fully paid and non-assessable.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Liquidation Rights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There are no express liquidation rights under the Certificate of Incorporation.</w:t>
      </w:r>
    </w:p>
    <w:p>
      <w:pPr>
        <w:sectPr>
          <w:pgSz w:w="11900" w:h="16838" w:orient="portrait"/>
          <w:cols w:equalWidth="0" w:num="1">
            <w:col w:w="11420"/>
          </w:cols>
          <w:pgMar w:left="240" w:top="936"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u w:val="single" w:color="auto"/>
          <w:color w:val="auto"/>
        </w:rPr>
        <w:t>Certain Certificate of Incorporation and Bylaw Provisions</w:t>
      </w:r>
    </w:p>
    <w:p>
      <w:pPr>
        <w:spacing w:after="0" w:line="179"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i w:val="1"/>
          <w:iCs w:val="1"/>
          <w:color w:val="auto"/>
        </w:rPr>
        <w:t xml:space="preserve">Number of Directors. </w:t>
      </w:r>
      <w:r>
        <w:rPr>
          <w:rFonts w:ascii="Arial" w:cs="Arial" w:eastAsia="Arial" w:hAnsi="Arial"/>
          <w:sz w:val="22"/>
          <w:szCs w:val="22"/>
          <w:color w:val="auto"/>
        </w:rPr>
        <w:t>The Certificate of Incorporation and the Bylaws provide that the Board of Directors shall consist of not less</w:t>
      </w:r>
      <w:r>
        <w:rPr>
          <w:rFonts w:ascii="Arial" w:cs="Arial" w:eastAsia="Arial" w:hAnsi="Arial"/>
          <w:sz w:val="22"/>
          <w:szCs w:val="22"/>
          <w:i w:val="1"/>
          <w:iCs w:val="1"/>
          <w:color w:val="auto"/>
        </w:rPr>
        <w:t xml:space="preserve"> </w:t>
      </w:r>
      <w:r>
        <w:rPr>
          <w:rFonts w:ascii="Arial" w:cs="Arial" w:eastAsia="Arial" w:hAnsi="Arial"/>
          <w:sz w:val="22"/>
          <w:szCs w:val="22"/>
          <w:color w:val="auto"/>
        </w:rPr>
        <w:t>than one and not more than 14 members. The Board of Directors is divided into three classes, designated Class I, Class II and Class III.</w:t>
      </w:r>
    </w:p>
    <w:p>
      <w:pPr>
        <w:spacing w:after="0" w:line="199" w:lineRule="exact"/>
        <w:rPr>
          <w:sz w:val="20"/>
          <w:szCs w:val="20"/>
          <w:color w:val="auto"/>
        </w:rPr>
      </w:pPr>
    </w:p>
    <w:p>
      <w:pPr>
        <w:jc w:val="both"/>
        <w:ind w:right="20"/>
        <w:spacing w:after="0" w:line="395" w:lineRule="auto"/>
        <w:rPr>
          <w:sz w:val="20"/>
          <w:szCs w:val="20"/>
          <w:color w:val="auto"/>
        </w:rPr>
      </w:pPr>
      <w:r>
        <w:rPr>
          <w:rFonts w:ascii="Arial" w:cs="Arial" w:eastAsia="Arial" w:hAnsi="Arial"/>
          <w:sz w:val="21"/>
          <w:szCs w:val="21"/>
          <w:i w:val="1"/>
          <w:iCs w:val="1"/>
          <w:color w:val="auto"/>
        </w:rPr>
        <w:t xml:space="preserve">Special Meetings. </w:t>
      </w:r>
      <w:r>
        <w:rPr>
          <w:rFonts w:ascii="Arial" w:cs="Arial" w:eastAsia="Arial" w:hAnsi="Arial"/>
          <w:sz w:val="21"/>
          <w:szCs w:val="21"/>
          <w:color w:val="auto"/>
        </w:rPr>
        <w:t>Special meetings of stockholders may be called by a majority vote of the Board of Directors or by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Company’s Chairman of the Board or Chief Executive Officer, and may not be called by any other person or persons.</w:t>
      </w:r>
    </w:p>
    <w:p>
      <w:pPr>
        <w:spacing w:after="0" w:line="245" w:lineRule="exact"/>
        <w:rPr>
          <w:sz w:val="20"/>
          <w:szCs w:val="20"/>
          <w:color w:val="auto"/>
        </w:rPr>
      </w:pPr>
    </w:p>
    <w:p>
      <w:pPr>
        <w:jc w:val="both"/>
        <w:spacing w:after="0" w:line="368" w:lineRule="auto"/>
        <w:rPr>
          <w:sz w:val="20"/>
          <w:szCs w:val="20"/>
          <w:color w:val="auto"/>
        </w:rPr>
      </w:pPr>
      <w:r>
        <w:rPr>
          <w:rFonts w:ascii="Arial" w:cs="Arial" w:eastAsia="Arial" w:hAnsi="Arial"/>
          <w:sz w:val="21"/>
          <w:szCs w:val="21"/>
          <w:i w:val="1"/>
          <w:iCs w:val="1"/>
          <w:color w:val="auto"/>
        </w:rPr>
        <w:t xml:space="preserve">Blank Check Preferred. </w:t>
      </w:r>
      <w:r>
        <w:rPr>
          <w:rFonts w:ascii="Arial" w:cs="Arial" w:eastAsia="Arial" w:hAnsi="Arial"/>
          <w:sz w:val="21"/>
          <w:szCs w:val="21"/>
          <w:color w:val="auto"/>
        </w:rPr>
        <w:t>The Certificate of Incorporation provides for 50,000,000 shares of preferred stock. The existence of</w:t>
      </w:r>
      <w:r>
        <w:rPr>
          <w:rFonts w:ascii="Arial" w:cs="Arial" w:eastAsia="Arial" w:hAnsi="Arial"/>
          <w:sz w:val="21"/>
          <w:szCs w:val="21"/>
          <w:i w:val="1"/>
          <w:iCs w:val="1"/>
          <w:color w:val="auto"/>
        </w:rPr>
        <w:t xml:space="preserve"> </w:t>
      </w:r>
      <w:r>
        <w:rPr>
          <w:rFonts w:ascii="Arial" w:cs="Arial" w:eastAsia="Arial" w:hAnsi="Arial"/>
          <w:sz w:val="21"/>
          <w:szCs w:val="21"/>
          <w:color w:val="auto"/>
        </w:rPr>
        <w:t>authorized but unissued shares of preferred stock may enable the Board of Directors to render more difficult or to discourage an attempt to obtain control of the Company by means of a merger, tender offer or otherwise. To the extent the Board of Directors causes shares of preferred stock to be issued, the voting or other rights of a potential acquirer might be diluted. The Board of Directors has the authority to issue shares of preferred stock without any action by stockholders. Any such issuance may have the effect of delaying, deterring or preventing a change of control of the Company.</w:t>
      </w:r>
    </w:p>
    <w:p>
      <w:pPr>
        <w:spacing w:after="0" w:line="277" w:lineRule="exact"/>
        <w:rPr>
          <w:sz w:val="20"/>
          <w:szCs w:val="20"/>
          <w:color w:val="auto"/>
        </w:rPr>
      </w:pPr>
    </w:p>
    <w:p>
      <w:pPr>
        <w:jc w:val="both"/>
        <w:spacing w:after="0" w:line="407" w:lineRule="auto"/>
        <w:rPr>
          <w:sz w:val="20"/>
          <w:szCs w:val="20"/>
          <w:color w:val="auto"/>
        </w:rPr>
      </w:pPr>
      <w:r>
        <w:rPr>
          <w:rFonts w:ascii="Arial" w:cs="Arial" w:eastAsia="Arial" w:hAnsi="Arial"/>
          <w:sz w:val="19"/>
          <w:szCs w:val="19"/>
          <w:i w:val="1"/>
          <w:iCs w:val="1"/>
          <w:color w:val="auto"/>
        </w:rPr>
        <w:t xml:space="preserve">Section 203 of the General Corporation Law of the State of Delaware (the “DGCL”). </w:t>
      </w:r>
      <w:r>
        <w:rPr>
          <w:rFonts w:ascii="Arial" w:cs="Arial" w:eastAsia="Arial" w:hAnsi="Arial"/>
          <w:sz w:val="19"/>
          <w:szCs w:val="19"/>
          <w:color w:val="auto"/>
        </w:rPr>
        <w:t>The Company has expressly elected to be</w:t>
      </w:r>
      <w:r>
        <w:rPr>
          <w:rFonts w:ascii="Arial" w:cs="Arial" w:eastAsia="Arial" w:hAnsi="Arial"/>
          <w:sz w:val="19"/>
          <w:szCs w:val="19"/>
          <w:i w:val="1"/>
          <w:iCs w:val="1"/>
          <w:color w:val="auto"/>
        </w:rPr>
        <w:t xml:space="preserve"> </w:t>
      </w:r>
      <w:r>
        <w:rPr>
          <w:rFonts w:ascii="Arial" w:cs="Arial" w:eastAsia="Arial" w:hAnsi="Arial"/>
          <w:sz w:val="19"/>
          <w:szCs w:val="19"/>
          <w:color w:val="auto"/>
        </w:rPr>
        <w:t>governed by Section 203 of the DGCL. 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at or after the person or entity becomes an interested stockholder, the business combination is approved by the board of directors and authorized at a meeting of stockholders by the affirmative vote of at least 66 2/3% of the outstanding voting stock not owned by the interested stockholder.</w:t>
      </w:r>
    </w:p>
    <w:p>
      <w:pPr>
        <w:sectPr>
          <w:pgSz w:w="11900" w:h="16838" w:orient="portrait"/>
          <w:cols w:equalWidth="0" w:num="1">
            <w:col w:w="11420"/>
          </w:cols>
          <w:pgMar w:left="240" w:top="56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Fidelity National Financial,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2005 Omnibus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Restricted Stock Grant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311"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October 31, 2019</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Award Agreement, with respect to one third of the shares on each anniversary of</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Effective Date of Grant and satisfaction of the Performance Restriction as set</w:t>
            </w: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forth on Exhibit A of the Restricted Stock Award Agreement, attached 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Electronic Signature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Accepted Date</w:t>
      </w:r>
    </w:p>
    <w:p>
      <w:pPr>
        <w:sectPr>
          <w:pgSz w:w="11900" w:h="16838" w:orient="portrait"/>
          <w:cols w:equalWidth="0" w:num="1">
            <w:col w:w="11420"/>
          </w:cols>
          <w:pgMar w:left="240" w:top="774"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b w:val="1"/>
          <w:bCs w:val="1"/>
          <w:color w:val="auto"/>
        </w:rPr>
        <w:t>Fidelity National Financial,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2005 Omnibus Incentive Plan</w:t>
      </w:r>
    </w:p>
    <w:p>
      <w:pPr>
        <w:spacing w:after="0" w:line="194"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Restricted Stock Award Agreement</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9"/>
          <w:szCs w:val="19"/>
          <w:b w:val="1"/>
          <w:bCs w:val="1"/>
          <w:color w:val="auto"/>
        </w:rPr>
        <w:t>GRANT OF RESTRICTED STOCK</w:t>
      </w:r>
    </w:p>
    <w:p>
      <w:pPr>
        <w:spacing w:after="0" w:line="33" w:lineRule="exact"/>
        <w:rPr>
          <w:sz w:val="20"/>
          <w:szCs w:val="20"/>
          <w:color w:val="auto"/>
        </w:rPr>
      </w:pPr>
    </w:p>
    <w:p>
      <w:pPr>
        <w:jc w:val="both"/>
        <w:ind w:firstLine="8"/>
        <w:spacing w:after="0" w:line="230" w:lineRule="auto"/>
        <w:tabs>
          <w:tab w:leader="none" w:pos="906" w:val="left"/>
        </w:tabs>
        <w:numPr>
          <w:ilvl w:val="0"/>
          <w:numId w:val="34"/>
        </w:numPr>
        <w:rPr>
          <w:rFonts w:ascii="Arial" w:cs="Arial" w:eastAsia="Arial" w:hAnsi="Arial"/>
          <w:sz w:val="18"/>
          <w:szCs w:val="18"/>
          <w:color w:val="auto"/>
        </w:rPr>
      </w:pPr>
      <w:r>
        <w:rPr>
          <w:rFonts w:ascii="Arial" w:cs="Arial" w:eastAsia="Arial" w:hAnsi="Arial"/>
          <w:sz w:val="20"/>
          <w:szCs w:val="20"/>
          <w:b w:val="1"/>
          <w:bCs w:val="1"/>
          <w:color w:val="auto"/>
        </w:rPr>
        <w:t>Restricted Stock</w:t>
      </w:r>
      <w:r>
        <w:rPr>
          <w:rFonts w:ascii="Arial" w:cs="Arial" w:eastAsia="Arial" w:hAnsi="Arial"/>
          <w:sz w:val="20"/>
          <w:szCs w:val="20"/>
          <w:color w:val="auto"/>
        </w:rPr>
        <w:t>. On the terms and conditions set forth in the Notice of Restricted Stock Grant and this Restricted Stock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(the “Agreement”), the Company grants to the Grantee on the Effective Date of Grant the Shares of Restricted Stock (the “Restricted Stock”) set forth in the Notice of Restricted Stock Grant.</w:t>
      </w:r>
    </w:p>
    <w:p>
      <w:pPr>
        <w:jc w:val="both"/>
        <w:ind w:firstLine="8"/>
        <w:spacing w:after="0" w:line="266" w:lineRule="auto"/>
        <w:tabs>
          <w:tab w:leader="none" w:pos="903" w:val="left"/>
        </w:tabs>
        <w:numPr>
          <w:ilvl w:val="0"/>
          <w:numId w:val="34"/>
        </w:numPr>
        <w:rPr>
          <w:rFonts w:ascii="Arial" w:cs="Arial" w:eastAsia="Arial" w:hAnsi="Arial"/>
          <w:sz w:val="16"/>
          <w:szCs w:val="16"/>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9"/>
          <w:szCs w:val="19"/>
          <w:b w:val="1"/>
          <w:bCs w:val="1"/>
          <w:color w:val="auto"/>
        </w:rPr>
        <w:t>FORFEITURE AND TRANSFER RESTRICTIONS</w:t>
      </w:r>
    </w:p>
    <w:p>
      <w:pPr>
        <w:spacing w:after="0" w:line="33" w:lineRule="exact"/>
        <w:rPr>
          <w:sz w:val="20"/>
          <w:szCs w:val="20"/>
          <w:color w:val="auto"/>
        </w:rPr>
      </w:pPr>
    </w:p>
    <w:p>
      <w:pPr>
        <w:ind w:right="20" w:firstLine="8"/>
        <w:spacing w:after="0" w:line="232" w:lineRule="auto"/>
        <w:tabs>
          <w:tab w:leader="none" w:pos="906" w:val="left"/>
        </w:tabs>
        <w:numPr>
          <w:ilvl w:val="0"/>
          <w:numId w:val="35"/>
        </w:numPr>
        <w:rPr>
          <w:rFonts w:ascii="Arial" w:cs="Arial" w:eastAsia="Arial" w:hAnsi="Arial"/>
          <w:sz w:val="18"/>
          <w:szCs w:val="18"/>
          <w:color w:val="auto"/>
        </w:rPr>
      </w:pPr>
      <w:r>
        <w:rPr>
          <w:rFonts w:ascii="Arial" w:cs="Arial" w:eastAsia="Arial" w:hAnsi="Arial"/>
          <w:sz w:val="20"/>
          <w:szCs w:val="20"/>
          <w:b w:val="1"/>
          <w:bCs w:val="1"/>
          <w:color w:val="auto"/>
        </w:rPr>
        <w:t>Forfeiture</w:t>
      </w:r>
      <w:r>
        <w:rPr>
          <w:rFonts w:ascii="Arial" w:cs="Arial" w:eastAsia="Arial" w:hAnsi="Arial"/>
          <w:sz w:val="20"/>
          <w:szCs w:val="20"/>
          <w:color w:val="auto"/>
        </w:rPr>
        <w:t>. Except as otherwise provided in Grantee’s employment, director services or similar agreement in effect at the time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employment termination:</w:t>
      </w:r>
    </w:p>
    <w:p>
      <w:pPr>
        <w:spacing w:after="0" w:line="1" w:lineRule="exact"/>
        <w:rPr>
          <w:rFonts w:ascii="Arial" w:cs="Arial" w:eastAsia="Arial" w:hAnsi="Arial"/>
          <w:sz w:val="18"/>
          <w:szCs w:val="18"/>
          <w:color w:val="auto"/>
        </w:rPr>
      </w:pPr>
    </w:p>
    <w:p>
      <w:pPr>
        <w:ind w:left="1480" w:hanging="824"/>
        <w:spacing w:after="0"/>
        <w:tabs>
          <w:tab w:leader="none" w:pos="1480" w:val="left"/>
        </w:tabs>
        <w:numPr>
          <w:ilvl w:val="1"/>
          <w:numId w:val="35"/>
        </w:numPr>
        <w:rPr>
          <w:rFonts w:ascii="Arial" w:cs="Arial" w:eastAsia="Arial" w:hAnsi="Arial"/>
          <w:sz w:val="17"/>
          <w:szCs w:val="17"/>
          <w:color w:val="auto"/>
        </w:rPr>
      </w:pPr>
      <w:r>
        <w:rPr>
          <w:rFonts w:ascii="Arial" w:cs="Arial" w:eastAsia="Arial" w:hAnsi="Arial"/>
          <w:sz w:val="19"/>
          <w:szCs w:val="19"/>
          <w:color w:val="auto"/>
        </w:rPr>
        <w:t>If the Grantee’s employment or service as a Director or Consultant is terminated for any reason other than death, or</w:t>
      </w:r>
    </w:p>
    <w:p>
      <w:pPr>
        <w:spacing w:after="0" w:line="11"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Disability (as defined below), the Grantee shall, for no consideration, forfeit to the Company the Shares of Restricted Stock to the extent such Shares are subject to a Period of Restriction at the time of such termination.</w:t>
      </w:r>
    </w:p>
    <w:p>
      <w:pPr>
        <w:spacing w:after="0" w:line="1" w:lineRule="exact"/>
        <w:rPr>
          <w:sz w:val="20"/>
          <w:szCs w:val="20"/>
          <w:color w:val="auto"/>
        </w:rPr>
      </w:pPr>
    </w:p>
    <w:p>
      <w:pPr>
        <w:jc w:val="both"/>
        <w:ind w:firstLine="656"/>
        <w:spacing w:after="0" w:line="228" w:lineRule="auto"/>
        <w:tabs>
          <w:tab w:leader="none" w:pos="1516" w:val="left"/>
        </w:tabs>
        <w:numPr>
          <w:ilvl w:val="0"/>
          <w:numId w:val="36"/>
        </w:numPr>
        <w:rPr>
          <w:rFonts w:ascii="Arial" w:cs="Arial" w:eastAsia="Arial" w:hAnsi="Arial"/>
          <w:sz w:val="18"/>
          <w:szCs w:val="18"/>
          <w:color w:val="auto"/>
        </w:rPr>
      </w:pPr>
      <w:r>
        <w:rPr>
          <w:rFonts w:ascii="Arial" w:cs="Arial" w:eastAsia="Arial" w:hAnsi="Arial"/>
          <w:sz w:val="20"/>
          <w:szCs w:val="20"/>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x B) - C, where</w:t>
      </w:r>
    </w:p>
    <w:p>
      <w:pPr>
        <w:spacing w:after="0" w:line="9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 the total number of Shares granted under this Agreement,</w:t>
      </w:r>
    </w:p>
    <w:p>
      <w:pPr>
        <w:spacing w:after="0" w:line="108" w:lineRule="exact"/>
        <w:rPr>
          <w:sz w:val="20"/>
          <w:szCs w:val="20"/>
          <w:color w:val="auto"/>
        </w:rPr>
      </w:pPr>
    </w:p>
    <w:p>
      <w:pPr>
        <w:ind w:left="1960"/>
        <w:spacing w:after="0" w:line="260" w:lineRule="auto"/>
        <w:rPr>
          <w:sz w:val="20"/>
          <w:szCs w:val="20"/>
          <w:color w:val="auto"/>
        </w:rPr>
      </w:pPr>
      <w:r>
        <w:rPr>
          <w:rFonts w:ascii="Arial" w:cs="Arial" w:eastAsia="Arial" w:hAnsi="Arial"/>
          <w:sz w:val="20"/>
          <w:szCs w:val="20"/>
          <w:color w:val="auto"/>
        </w:rPr>
        <w:t>B = the number of completed months to the date of termination of employment since the Effective Date of Grant divided by 36, and</w:t>
      </w:r>
    </w:p>
    <w:p>
      <w:pPr>
        <w:spacing w:after="0" w:line="69" w:lineRule="exact"/>
        <w:rPr>
          <w:sz w:val="20"/>
          <w:szCs w:val="20"/>
          <w:color w:val="auto"/>
        </w:rPr>
      </w:pPr>
    </w:p>
    <w:p>
      <w:pPr>
        <w:ind w:left="1960" w:right="20"/>
        <w:spacing w:after="0" w:line="260" w:lineRule="auto"/>
        <w:rPr>
          <w:sz w:val="20"/>
          <w:szCs w:val="20"/>
          <w:color w:val="auto"/>
        </w:rPr>
      </w:pPr>
      <w:r>
        <w:rPr>
          <w:rFonts w:ascii="Arial" w:cs="Arial" w:eastAsia="Arial" w:hAnsi="Arial"/>
          <w:sz w:val="20"/>
          <w:szCs w:val="20"/>
          <w:color w:val="auto"/>
        </w:rPr>
        <w:t>C = the number of Shares granted under this Agreement which vested on or prior to the date of termination of employment.</w:t>
      </w:r>
    </w:p>
    <w:p>
      <w:pPr>
        <w:spacing w:after="0" w:line="6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45" w:lineRule="exact"/>
        <w:rPr>
          <w:sz w:val="20"/>
          <w:szCs w:val="20"/>
          <w:color w:val="auto"/>
        </w:rPr>
      </w:pPr>
    </w:p>
    <w:p>
      <w:pPr>
        <w:jc w:val="both"/>
        <w:ind w:firstLine="737"/>
        <w:spacing w:after="0" w:line="231" w:lineRule="auto"/>
        <w:tabs>
          <w:tab w:leader="none" w:pos="1566" w:val="left"/>
        </w:tabs>
        <w:numPr>
          <w:ilvl w:val="1"/>
          <w:numId w:val="37"/>
        </w:numPr>
        <w:rPr>
          <w:rFonts w:ascii="Arial" w:cs="Arial" w:eastAsia="Arial" w:hAnsi="Arial"/>
          <w:sz w:val="18"/>
          <w:szCs w:val="18"/>
          <w:color w:val="auto"/>
        </w:rPr>
      </w:pPr>
      <w:r>
        <w:rPr>
          <w:rFonts w:ascii="Arial" w:cs="Arial" w:eastAsia="Arial" w:hAnsi="Arial"/>
          <w:sz w:val="20"/>
          <w:szCs w:val="20"/>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3" w:lineRule="exact"/>
        <w:rPr>
          <w:rFonts w:ascii="Arial" w:cs="Arial" w:eastAsia="Arial" w:hAnsi="Arial"/>
          <w:sz w:val="18"/>
          <w:szCs w:val="18"/>
          <w:color w:val="auto"/>
        </w:rPr>
      </w:pPr>
    </w:p>
    <w:p>
      <w:pPr>
        <w:ind w:left="1560" w:hanging="904"/>
        <w:spacing w:after="0"/>
        <w:tabs>
          <w:tab w:leader="none" w:pos="1560" w:val="left"/>
        </w:tabs>
        <w:numPr>
          <w:ilvl w:val="0"/>
          <w:numId w:val="38"/>
        </w:numPr>
        <w:rPr>
          <w:rFonts w:ascii="Arial" w:cs="Arial" w:eastAsia="Arial" w:hAnsi="Arial"/>
          <w:sz w:val="17"/>
          <w:szCs w:val="17"/>
          <w:color w:val="auto"/>
        </w:rPr>
      </w:pPr>
      <w:r>
        <w:rPr>
          <w:rFonts w:ascii="Arial" w:cs="Arial" w:eastAsia="Arial" w:hAnsi="Arial"/>
          <w:sz w:val="19"/>
          <w:szCs w:val="19"/>
          <w:color w:val="auto"/>
        </w:rPr>
        <w:t>If the Performance Restriction is not satisfied during the Measurement Period, all of the Shares that do not satisfy the</w:t>
      </w:r>
    </w:p>
    <w:p>
      <w:pPr>
        <w:spacing w:after="0" w:line="237" w:lineRule="auto"/>
        <w:rPr>
          <w:sz w:val="20"/>
          <w:szCs w:val="20"/>
          <w:color w:val="auto"/>
        </w:rPr>
      </w:pPr>
      <w:r>
        <w:rPr>
          <w:rFonts w:ascii="Arial" w:cs="Arial" w:eastAsia="Arial" w:hAnsi="Arial"/>
          <w:sz w:val="20"/>
          <w:szCs w:val="20"/>
          <w:color w:val="auto"/>
        </w:rPr>
        <w:t>performance criteria for the applicable Performance Period, shall be forfeited to the Company, for no consideration.</w:t>
      </w:r>
    </w:p>
    <w:p>
      <w:pPr>
        <w:ind w:firstLine="8"/>
        <w:spacing w:after="0" w:line="258" w:lineRule="auto"/>
        <w:tabs>
          <w:tab w:leader="none" w:pos="930" w:val="left"/>
        </w:tabs>
        <w:numPr>
          <w:ilvl w:val="0"/>
          <w:numId w:val="39"/>
        </w:numPr>
        <w:rPr>
          <w:rFonts w:ascii="Arial" w:cs="Arial" w:eastAsia="Arial" w:hAnsi="Arial"/>
          <w:sz w:val="16"/>
          <w:szCs w:val="16"/>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or otherwise transferred, encumbered or disposed of, to the extent such Shares are subject to a Period of Restriction.</w:t>
      </w:r>
    </w:p>
    <w:p>
      <w:pPr>
        <w:ind w:right="20" w:firstLine="8"/>
        <w:spacing w:after="0" w:line="244" w:lineRule="auto"/>
        <w:tabs>
          <w:tab w:leader="none" w:pos="906" w:val="left"/>
        </w:tabs>
        <w:numPr>
          <w:ilvl w:val="0"/>
          <w:numId w:val="39"/>
        </w:numPr>
        <w:rPr>
          <w:rFonts w:ascii="Arial" w:cs="Arial" w:eastAsia="Arial" w:hAnsi="Arial"/>
          <w:sz w:val="18"/>
          <w:szCs w:val="18"/>
          <w:color w:val="auto"/>
        </w:rPr>
      </w:pPr>
      <w:r>
        <w:rPr>
          <w:rFonts w:ascii="Arial" w:cs="Arial" w:eastAsia="Arial" w:hAnsi="Arial"/>
          <w:sz w:val="20"/>
          <w:szCs w:val="20"/>
          <w:b w:val="1"/>
          <w:bCs w:val="1"/>
          <w:color w:val="auto"/>
        </w:rPr>
        <w:t>Holding Period</w:t>
      </w:r>
      <w:r>
        <w:rPr>
          <w:rFonts w:ascii="Arial" w:cs="Arial" w:eastAsia="Arial" w:hAnsi="Arial"/>
          <w:sz w:val="20"/>
          <w:szCs w:val="20"/>
          <w:color w:val="auto"/>
        </w:rPr>
        <w:t>. If and when (i) the Grantee is an Officer (as defined in Rule 16a-1(f) of the Exchange Act) or holds the title of</w:t>
      </w:r>
      <w:r>
        <w:rPr>
          <w:rFonts w:ascii="Arial" w:cs="Arial" w:eastAsia="Arial" w:hAnsi="Arial"/>
          <w:sz w:val="20"/>
          <w:szCs w:val="20"/>
          <w:b w:val="1"/>
          <w:bCs w:val="1"/>
          <w:color w:val="auto"/>
        </w:rPr>
        <w:t xml:space="preserve"> </w:t>
      </w:r>
      <w:r>
        <w:rPr>
          <w:rFonts w:ascii="Arial" w:cs="Arial" w:eastAsia="Arial" w:hAnsi="Arial"/>
          <w:sz w:val="20"/>
          <w:szCs w:val="20"/>
          <w:color w:val="auto"/>
        </w:rPr>
        <w:t>President - Agency Operations, and (ii) Grantee does not hold Shares with a value sufficient to</w:t>
      </w:r>
    </w:p>
    <w:p>
      <w:pPr>
        <w:sectPr>
          <w:pgSz w:w="11900" w:h="16838" w:orient="portrait"/>
          <w:cols w:equalWidth="0" w:num="1">
            <w:col w:w="11420"/>
          </w:cols>
          <w:pgMar w:left="240" w:top="765" w:right="239" w:bottom="1440" w:gutter="0" w:footer="0" w:header="0"/>
        </w:sectPr>
      </w:pPr>
    </w:p>
    <w:bookmarkStart w:id="106" w:name="page107"/>
    <w:bookmarkEnd w:id="106"/>
    <w:p>
      <w:pPr>
        <w:jc w:val="both"/>
        <w:spacing w:after="0" w:line="239" w:lineRule="auto"/>
        <w:rPr>
          <w:sz w:val="20"/>
          <w:szCs w:val="20"/>
          <w:color w:val="auto"/>
        </w:rPr>
      </w:pPr>
      <w:r>
        <w:rPr>
          <w:rFonts w:ascii="Arial" w:cs="Arial" w:eastAsia="Arial" w:hAnsi="Arial"/>
          <w:sz w:val="19"/>
          <w:szCs w:val="19"/>
          <w:color w:val="auto"/>
        </w:rPr>
        <w:t>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3" w:lineRule="exact"/>
        <w:rPr>
          <w:sz w:val="20"/>
          <w:szCs w:val="20"/>
          <w:color w:val="auto"/>
        </w:rPr>
      </w:pPr>
    </w:p>
    <w:p>
      <w:pPr>
        <w:jc w:val="both"/>
        <w:ind w:firstLine="8"/>
        <w:spacing w:after="0" w:line="260" w:lineRule="auto"/>
        <w:tabs>
          <w:tab w:leader="none" w:pos="903" w:val="left"/>
        </w:tabs>
        <w:numPr>
          <w:ilvl w:val="0"/>
          <w:numId w:val="40"/>
        </w:numPr>
        <w:rPr>
          <w:rFonts w:ascii="Arial" w:cs="Arial" w:eastAsia="Arial" w:hAnsi="Arial"/>
          <w:sz w:val="16"/>
          <w:szCs w:val="16"/>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Grant 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5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9"/>
          <w:szCs w:val="19"/>
          <w:b w:val="1"/>
          <w:bCs w:val="1"/>
          <w:color w:val="auto"/>
        </w:rPr>
        <w:t>STOCK CERTIFICATES</w:t>
      </w:r>
    </w:p>
    <w:p>
      <w:pPr>
        <w:spacing w:after="0" w:line="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20"/>
          <w:szCs w:val="20"/>
          <w:b w:val="1"/>
          <w:bCs w:val="1"/>
          <w:color w:val="auto"/>
        </w:rPr>
        <w:t>SHAREHOLDER RIGHTS</w:t>
      </w:r>
    </w:p>
    <w:p>
      <w:pPr>
        <w:spacing w:after="0" w:line="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20"/>
          <w:szCs w:val="20"/>
          <w:b w:val="1"/>
          <w:bCs w:val="1"/>
          <w:color w:val="auto"/>
        </w:rPr>
        <w:t>DIVIDENDS</w:t>
      </w:r>
    </w:p>
    <w:p>
      <w:pPr>
        <w:spacing w:after="0" w:line="22" w:lineRule="exact"/>
        <w:rPr>
          <w:sz w:val="20"/>
          <w:szCs w:val="20"/>
          <w:color w:val="auto"/>
        </w:rPr>
      </w:pPr>
    </w:p>
    <w:p>
      <w:pPr>
        <w:ind w:right="20" w:firstLine="8"/>
        <w:spacing w:after="0" w:line="232" w:lineRule="auto"/>
        <w:tabs>
          <w:tab w:leader="none" w:pos="893" w:val="left"/>
        </w:tabs>
        <w:numPr>
          <w:ilvl w:val="0"/>
          <w:numId w:val="41"/>
        </w:numPr>
        <w:rPr>
          <w:rFonts w:ascii="Arial" w:cs="Arial" w:eastAsia="Arial" w:hAnsi="Arial"/>
          <w:sz w:val="18"/>
          <w:szCs w:val="18"/>
          <w:color w:val="auto"/>
        </w:rPr>
      </w:pPr>
      <w:r>
        <w:rPr>
          <w:rFonts w:ascii="Arial" w:cs="Arial" w:eastAsia="Arial" w:hAnsi="Arial"/>
          <w:sz w:val="20"/>
          <w:szCs w:val="20"/>
          <w:color w:val="auto"/>
        </w:rPr>
        <w:t>Any dividends paid with respect to Shares which remain subject to a Period of Restriction shall not be paid to the Grantee but shall be held by the Company.</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20"/>
          <w:szCs w:val="20"/>
          <w:color w:val="auto"/>
        </w:rPr>
        <w:t>Such held dividends shall be subject to the same Period of Restriction as the Shares to which they relate.</w:t>
      </w:r>
    </w:p>
    <w:p>
      <w:pPr>
        <w:ind w:right="20" w:firstLine="8"/>
        <w:spacing w:after="0" w:line="232" w:lineRule="auto"/>
        <w:tabs>
          <w:tab w:leader="none" w:pos="893" w:val="left"/>
        </w:tabs>
        <w:numPr>
          <w:ilvl w:val="0"/>
          <w:numId w:val="41"/>
        </w:numPr>
        <w:rPr>
          <w:rFonts w:ascii="Arial" w:cs="Arial" w:eastAsia="Arial" w:hAnsi="Arial"/>
          <w:sz w:val="18"/>
          <w:szCs w:val="18"/>
          <w:color w:val="auto"/>
        </w:rPr>
      </w:pPr>
      <w:r>
        <w:rPr>
          <w:rFonts w:ascii="Arial" w:cs="Arial" w:eastAsia="Arial" w:hAnsi="Arial"/>
          <w:sz w:val="20"/>
          <w:szCs w:val="20"/>
          <w:color w:val="auto"/>
        </w:rPr>
        <w:t>Any dividends held pursuant to this Section 5 which are attributable to Shares which vest pursuant to this Agreement shall be paid to the Grantee within 30 days of the applicable vesting date.</w:t>
      </w:r>
    </w:p>
    <w:p>
      <w:pPr>
        <w:spacing w:after="0" w:line="1" w:lineRule="exact"/>
        <w:rPr>
          <w:rFonts w:ascii="Arial" w:cs="Arial" w:eastAsia="Arial" w:hAnsi="Arial"/>
          <w:sz w:val="18"/>
          <w:szCs w:val="18"/>
          <w:color w:val="auto"/>
        </w:rPr>
      </w:pPr>
    </w:p>
    <w:p>
      <w:pPr>
        <w:ind w:firstLine="8"/>
        <w:spacing w:after="0" w:line="244" w:lineRule="auto"/>
        <w:tabs>
          <w:tab w:leader="none" w:pos="916" w:val="left"/>
        </w:tabs>
        <w:numPr>
          <w:ilvl w:val="0"/>
          <w:numId w:val="41"/>
        </w:numPr>
        <w:rPr>
          <w:rFonts w:ascii="Arial" w:cs="Arial" w:eastAsia="Arial" w:hAnsi="Arial"/>
          <w:sz w:val="18"/>
          <w:szCs w:val="18"/>
          <w:color w:val="auto"/>
        </w:rPr>
      </w:pPr>
      <w:r>
        <w:rPr>
          <w:rFonts w:ascii="Arial" w:cs="Arial" w:eastAsia="Arial" w:hAnsi="Arial"/>
          <w:sz w:val="20"/>
          <w:szCs w:val="20"/>
          <w:color w:val="auto"/>
        </w:rPr>
        <w:t>Dividends attributable to Shares forfeited pursuant to Section 2 of this Agreement shall be forfeited to the Company on the date such Shares are forfeited.</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9"/>
          <w:szCs w:val="19"/>
          <w:b w:val="1"/>
          <w:bCs w:val="1"/>
          <w:color w:val="auto"/>
        </w:rPr>
        <w:t>MISCELLANEOUS PROVISIONS</w:t>
      </w:r>
    </w:p>
    <w:p>
      <w:pPr>
        <w:spacing w:after="0" w:line="33" w:lineRule="exact"/>
        <w:rPr>
          <w:sz w:val="20"/>
          <w:szCs w:val="20"/>
          <w:color w:val="auto"/>
        </w:rPr>
      </w:pPr>
    </w:p>
    <w:p>
      <w:pPr>
        <w:jc w:val="both"/>
        <w:ind w:firstLine="8"/>
        <w:spacing w:after="0" w:line="260" w:lineRule="auto"/>
        <w:tabs>
          <w:tab w:leader="none" w:pos="893" w:val="left"/>
        </w:tabs>
        <w:numPr>
          <w:ilvl w:val="0"/>
          <w:numId w:val="42"/>
        </w:numPr>
        <w:rPr>
          <w:rFonts w:ascii="Arial" w:cs="Arial" w:eastAsia="Arial" w:hAnsi="Arial"/>
          <w:sz w:val="16"/>
          <w:szCs w:val="16"/>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Pursuant to Article 20 of the Plan, the Committee shall have the power and right to deduct or withhold, or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w:t>
      </w:r>
    </w:p>
    <w:p>
      <w:pPr>
        <w:sectPr>
          <w:pgSz w:w="11900" w:h="16838" w:orient="portrait"/>
          <w:cols w:equalWidth="0" w:num="1">
            <w:col w:w="11420"/>
          </w:cols>
          <w:pgMar w:left="240" w:top="555" w:right="239" w:bottom="1440" w:gutter="0" w:footer="0" w:header="0"/>
        </w:sectPr>
      </w:pPr>
    </w:p>
    <w:bookmarkStart w:id="107" w:name="page108"/>
    <w:bookmarkEnd w:id="107"/>
    <w:p>
      <w:pPr>
        <w:jc w:val="both"/>
        <w:spacing w:after="0" w:line="243" w:lineRule="auto"/>
        <w:rPr>
          <w:sz w:val="20"/>
          <w:szCs w:val="20"/>
          <w:color w:val="auto"/>
        </w:rPr>
      </w:pPr>
      <w:r>
        <w:rPr>
          <w:rFonts w:ascii="Arial" w:cs="Arial" w:eastAsia="Arial" w:hAnsi="Arial"/>
          <w:sz w:val="19"/>
          <w:szCs w:val="19"/>
          <w:color w:val="auto"/>
        </w:rPr>
        <w:t>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 w:lineRule="exact"/>
        <w:rPr>
          <w:sz w:val="20"/>
          <w:szCs w:val="20"/>
          <w:color w:val="auto"/>
        </w:rPr>
      </w:pPr>
    </w:p>
    <w:p>
      <w:pPr>
        <w:jc w:val="both"/>
        <w:ind w:firstLine="8"/>
        <w:spacing w:after="0" w:line="230" w:lineRule="auto"/>
        <w:tabs>
          <w:tab w:leader="none" w:pos="903" w:val="left"/>
        </w:tabs>
        <w:numPr>
          <w:ilvl w:val="0"/>
          <w:numId w:val="43"/>
        </w:numPr>
        <w:rPr>
          <w:rFonts w:ascii="Arial" w:cs="Arial" w:eastAsia="Arial" w:hAnsi="Arial"/>
          <w:sz w:val="18"/>
          <w:szCs w:val="18"/>
          <w:color w:val="auto"/>
        </w:rPr>
      </w:pPr>
      <w:r>
        <w:rPr>
          <w:rFonts w:ascii="Arial" w:cs="Arial" w:eastAsia="Arial" w:hAnsi="Arial"/>
          <w:sz w:val="20"/>
          <w:szCs w:val="20"/>
          <w:b w:val="1"/>
          <w:bCs w:val="1"/>
          <w:color w:val="auto"/>
        </w:rPr>
        <w:t>Ratification of Actions</w:t>
      </w:r>
      <w:r>
        <w:rPr>
          <w:rFonts w:ascii="Arial" w:cs="Arial" w:eastAsia="Arial" w:hAnsi="Arial"/>
          <w:sz w:val="20"/>
          <w:szCs w:val="20"/>
          <w:color w:val="auto"/>
        </w:rPr>
        <w:t>. By accepting this Agreement, the Grantee and each person claiming under or through the Grantee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conclusively deemed to have indicated the Grantee’s acceptance and ratification of, and consent to, any action taken under the Plan or this Agreement and Notice of Restricted Stock Grant by the Company, the Board or the Committee.</w:t>
      </w:r>
    </w:p>
    <w:p>
      <w:pPr>
        <w:jc w:val="both"/>
        <w:ind w:firstLine="8"/>
        <w:spacing w:after="0" w:line="229" w:lineRule="auto"/>
        <w:tabs>
          <w:tab w:leader="none" w:pos="893" w:val="left"/>
        </w:tabs>
        <w:numPr>
          <w:ilvl w:val="0"/>
          <w:numId w:val="43"/>
        </w:numPr>
        <w:rPr>
          <w:rFonts w:ascii="Arial" w:cs="Arial" w:eastAsia="Arial" w:hAnsi="Arial"/>
          <w:sz w:val="18"/>
          <w:szCs w:val="18"/>
          <w:color w:val="auto"/>
        </w:rPr>
      </w:pPr>
      <w:r>
        <w:rPr>
          <w:rFonts w:ascii="Arial" w:cs="Arial" w:eastAsia="Arial" w:hAnsi="Arial"/>
          <w:sz w:val="20"/>
          <w:szCs w:val="20"/>
          <w:b w:val="1"/>
          <w:bCs w:val="1"/>
          <w:color w:val="auto"/>
        </w:rPr>
        <w:t>Notice</w:t>
      </w:r>
      <w:r>
        <w:rPr>
          <w:rFonts w:ascii="Arial" w:cs="Arial" w:eastAsia="Arial" w:hAnsi="Arial"/>
          <w:sz w:val="20"/>
          <w:szCs w:val="20"/>
          <w:color w:val="auto"/>
        </w:rPr>
        <w:t>. Any notice required by the terms of this Agreement shall be given in writing and shall be deemed effective upon personal</w:t>
      </w:r>
      <w:r>
        <w:rPr>
          <w:rFonts w:ascii="Arial" w:cs="Arial" w:eastAsia="Arial" w:hAnsi="Arial"/>
          <w:sz w:val="20"/>
          <w:szCs w:val="20"/>
          <w:b w:val="1"/>
          <w:bCs w:val="1"/>
          <w:color w:val="auto"/>
        </w:rPr>
        <w:t xml:space="preserve"> </w:t>
      </w:r>
      <w:r>
        <w:rPr>
          <w:rFonts w:ascii="Arial" w:cs="Arial" w:eastAsia="Arial" w:hAnsi="Arial"/>
          <w:sz w:val="20"/>
          <w:szCs w:val="20"/>
          <w:color w:val="auto"/>
        </w:rPr>
        <w:t>delivery or 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jc w:val="both"/>
        <w:ind w:firstLine="8"/>
        <w:spacing w:after="0" w:line="255" w:lineRule="auto"/>
        <w:tabs>
          <w:tab w:leader="none" w:pos="903" w:val="left"/>
        </w:tabs>
        <w:numPr>
          <w:ilvl w:val="0"/>
          <w:numId w:val="43"/>
        </w:numPr>
        <w:rPr>
          <w:rFonts w:ascii="Arial" w:cs="Arial" w:eastAsia="Arial" w:hAnsi="Arial"/>
          <w:sz w:val="16"/>
          <w:szCs w:val="16"/>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 w:lineRule="exact"/>
        <w:rPr>
          <w:rFonts w:ascii="Arial" w:cs="Arial" w:eastAsia="Arial" w:hAnsi="Arial"/>
          <w:sz w:val="16"/>
          <w:szCs w:val="16"/>
          <w:color w:val="auto"/>
        </w:rPr>
      </w:pPr>
    </w:p>
    <w:p>
      <w:pPr>
        <w:jc w:val="both"/>
        <w:ind w:firstLine="8"/>
        <w:spacing w:after="0" w:line="22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20"/>
          <w:szCs w:val="20"/>
          <w:b w:val="1"/>
          <w:bCs w:val="1"/>
          <w:color w:val="auto"/>
        </w:rPr>
        <w:t>Arbitration</w:t>
      </w:r>
      <w:r>
        <w:rPr>
          <w:rFonts w:ascii="Arial" w:cs="Arial" w:eastAsia="Arial" w:hAnsi="Arial"/>
          <w:sz w:val="20"/>
          <w:szCs w:val="20"/>
          <w:color w:val="auto"/>
        </w:rPr>
        <w:t>. Subject to, and in accordance with the provisions of Article 3 of the Plan, any dispute or claim arising out of or</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to the Plan, 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4" w:lineRule="exact"/>
        <w:rPr>
          <w:rFonts w:ascii="Arial" w:cs="Arial" w:eastAsia="Arial" w:hAnsi="Arial"/>
          <w:sz w:val="18"/>
          <w:szCs w:val="18"/>
          <w:color w:val="auto"/>
        </w:rPr>
      </w:pPr>
    </w:p>
    <w:p>
      <w:pPr>
        <w:ind w:firstLine="8"/>
        <w:spacing w:after="0" w:line="258" w:lineRule="auto"/>
        <w:tabs>
          <w:tab w:leader="none" w:pos="887" w:val="left"/>
        </w:tabs>
        <w:numPr>
          <w:ilvl w:val="0"/>
          <w:numId w:val="43"/>
        </w:numPr>
        <w:rPr>
          <w:rFonts w:ascii="Arial" w:cs="Arial" w:eastAsia="Arial" w:hAnsi="Arial"/>
          <w:sz w:val="16"/>
          <w:szCs w:val="16"/>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provided, however, that the adjustments permitted pursuant to Section 4.3 of the Plan may be made without such written agreement.</w:t>
      </w:r>
    </w:p>
    <w:p>
      <w:pPr>
        <w:jc w:val="both"/>
        <w:ind w:firstLine="8"/>
        <w:spacing w:after="0" w:line="230" w:lineRule="auto"/>
        <w:tabs>
          <w:tab w:leader="none" w:pos="903" w:val="left"/>
        </w:tabs>
        <w:numPr>
          <w:ilvl w:val="0"/>
          <w:numId w:val="43"/>
        </w:numPr>
        <w:rPr>
          <w:rFonts w:ascii="Arial" w:cs="Arial" w:eastAsia="Arial" w:hAnsi="Arial"/>
          <w:sz w:val="18"/>
          <w:szCs w:val="18"/>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In the event any provision of this Agreement shall be held illegal or invalid for any reason, the illegality or invalidity</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affect the remaining provisions of this Agreement, and this Agreement shall be construed and enforced as if such illegal or invalid provision had not been included.</w:t>
      </w:r>
    </w:p>
    <w:p>
      <w:pPr>
        <w:ind w:left="920" w:hanging="912"/>
        <w:spacing w:after="0"/>
        <w:tabs>
          <w:tab w:leader="none" w:pos="920" w:val="left"/>
        </w:tabs>
        <w:numPr>
          <w:ilvl w:val="0"/>
          <w:numId w:val="43"/>
        </w:numPr>
        <w:rPr>
          <w:rFonts w:ascii="Arial" w:cs="Arial" w:eastAsia="Arial" w:hAnsi="Arial"/>
          <w:sz w:val="16"/>
          <w:szCs w:val="16"/>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2" w:lineRule="exact"/>
        <w:rPr>
          <w:rFonts w:ascii="Arial" w:cs="Arial" w:eastAsia="Arial" w:hAnsi="Arial"/>
          <w:sz w:val="16"/>
          <w:szCs w:val="16"/>
          <w:color w:val="auto"/>
        </w:rPr>
      </w:pPr>
    </w:p>
    <w:p>
      <w:pPr>
        <w:jc w:val="both"/>
        <w:ind w:firstLine="8"/>
        <w:spacing w:after="0" w:line="253" w:lineRule="auto"/>
        <w:tabs>
          <w:tab w:leader="none" w:pos="863" w:val="left"/>
        </w:tabs>
        <w:numPr>
          <w:ilvl w:val="0"/>
          <w:numId w:val="43"/>
        </w:numPr>
        <w:rPr>
          <w:rFonts w:ascii="Arial" w:cs="Arial" w:eastAsia="Arial" w:hAnsi="Arial"/>
          <w:sz w:val="17"/>
          <w:szCs w:val="17"/>
          <w:color w:val="auto"/>
        </w:rPr>
      </w:pPr>
      <w:r>
        <w:rPr>
          <w:rFonts w:ascii="Arial" w:cs="Arial" w:eastAsia="Arial" w:hAnsi="Arial"/>
          <w:sz w:val="19"/>
          <w:szCs w:val="19"/>
          <w:b w:val="1"/>
          <w:bCs w:val="1"/>
          <w:color w:val="auto"/>
        </w:rPr>
        <w:t>Section 409A Compliance</w:t>
      </w:r>
      <w:r>
        <w:rPr>
          <w:rFonts w:ascii="Arial" w:cs="Arial" w:eastAsia="Arial" w:hAnsi="Arial"/>
          <w:sz w:val="19"/>
          <w:szCs w:val="19"/>
          <w:color w:val="auto"/>
        </w:rPr>
        <w:t>. To the extent applicable, it is intended that the Plan and this Agreement comply with the requirements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of 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55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0"/>
          <w:szCs w:val="20"/>
          <w:b w:val="1"/>
          <w:bCs w:val="1"/>
          <w:color w:val="auto"/>
        </w:rPr>
        <w:t>EXHIBIT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and Restrictions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grant is subject to both a Performance Restriction and a Time-Based Restriction, as described below (collectively, the “Period of Restriction”).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Restriction</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order for the Restricted Stock to vest, the Compensation Committee of the Board of Directors of the Company (the “Committee”) must determine that the Company has achieved 9.0% or greater Title Operating Margin (as defined below) in at least two calendar quarters of any of the next five calendar quarters starting October 1, 2019 (the “Performance Restriction”). The five calendar quarters starting October 1, 2019 and ending December 31, 2020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75" w:lineRule="exact"/>
        <w:rPr>
          <w:sz w:val="20"/>
          <w:szCs w:val="20"/>
          <w:color w:val="auto"/>
        </w:rPr>
      </w:pPr>
    </w:p>
    <w:tbl>
      <w:tblPr>
        <w:tblLayout w:type="fixed"/>
        <w:tblInd w:w="230" w:type="dxa"/>
        <w:tblCellMar>
          <w:top w:w="0" w:type="dxa"/>
          <w:left w:w="0" w:type="dxa"/>
          <w:bottom w:w="0" w:type="dxa"/>
          <w:right w:w="0" w:type="dxa"/>
        </w:tblCellMar>
      </w:tblPr>
      <w:tr>
        <w:trPr>
          <w:trHeight w:val="256"/>
        </w:trPr>
        <w:tc>
          <w:tcPr>
            <w:tcW w:w="4440" w:type="dxa"/>
            <w:vAlign w:val="bottom"/>
          </w:tcPr>
          <w:p>
            <w:pPr>
              <w:spacing w:after="0"/>
              <w:rPr>
                <w:sz w:val="22"/>
                <w:szCs w:val="22"/>
                <w:color w:val="auto"/>
              </w:rPr>
            </w:pPr>
          </w:p>
        </w:tc>
        <w:tc>
          <w:tcPr>
            <w:tcW w:w="6600" w:type="dxa"/>
            <w:vAlign w:val="bottom"/>
            <w:gridSpan w:val="2"/>
          </w:tcPr>
          <w:p>
            <w:pPr>
              <w:jc w:val="right"/>
              <w:ind w:right="4421"/>
              <w:spacing w:after="0"/>
              <w:rPr>
                <w:sz w:val="20"/>
                <w:szCs w:val="20"/>
                <w:color w:val="auto"/>
              </w:rPr>
            </w:pPr>
            <w:r>
              <w:rPr>
                <w:rFonts w:ascii="Arial" w:cs="Arial" w:eastAsia="Arial" w:hAnsi="Arial"/>
                <w:sz w:val="20"/>
                <w:szCs w:val="20"/>
                <w:b w:val="1"/>
                <w:bCs w:val="1"/>
                <w:color w:val="auto"/>
                <w:w w:val="87"/>
              </w:rPr>
              <w:t>Time-Based Restrictions</w:t>
            </w:r>
          </w:p>
        </w:tc>
      </w:tr>
      <w:tr>
        <w:trPr>
          <w:trHeight w:val="347"/>
        </w:trPr>
        <w:tc>
          <w:tcPr>
            <w:tcW w:w="4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54"/>
        </w:trPr>
        <w:tc>
          <w:tcPr>
            <w:tcW w:w="4440" w:type="dxa"/>
            <w:vAlign w:val="bottom"/>
            <w:tcBorders>
              <w:left w:val="single" w:sz="8" w:color="auto"/>
            </w:tcBorders>
          </w:tcPr>
          <w:p>
            <w:pPr>
              <w:ind w:left="2160"/>
              <w:spacing w:after="0"/>
              <w:rPr>
                <w:sz w:val="20"/>
                <w:szCs w:val="20"/>
                <w:color w:val="auto"/>
              </w:rPr>
            </w:pPr>
            <w:r>
              <w:rPr>
                <w:rFonts w:ascii="Arial" w:cs="Arial" w:eastAsia="Arial" w:hAnsi="Arial"/>
                <w:sz w:val="20"/>
                <w:szCs w:val="20"/>
                <w:b w:val="1"/>
                <w:bCs w:val="1"/>
                <w:color w:val="auto"/>
              </w:rPr>
              <w:t>Anniversary Date</w:t>
            </w:r>
          </w:p>
        </w:tc>
        <w:tc>
          <w:tcPr>
            <w:tcW w:w="1420" w:type="dxa"/>
            <w:vAlign w:val="bottom"/>
            <w:tcBorders>
              <w:right w:val="single" w:sz="8" w:color="auto"/>
            </w:tcBorders>
          </w:tcPr>
          <w:p>
            <w:pPr>
              <w:spacing w:after="0"/>
              <w:rPr>
                <w:sz w:val="22"/>
                <w:szCs w:val="22"/>
                <w:color w:val="auto"/>
              </w:rPr>
            </w:pPr>
          </w:p>
        </w:tc>
        <w:tc>
          <w:tcPr>
            <w:tcW w:w="5180" w:type="dxa"/>
            <w:vAlign w:val="bottom"/>
            <w:tcBorders>
              <w:right w:val="single" w:sz="8" w:color="auto"/>
            </w:tcBorders>
          </w:tcPr>
          <w:p>
            <w:pPr>
              <w:jc w:val="right"/>
              <w:ind w:right="1581"/>
              <w:spacing w:after="0"/>
              <w:rPr>
                <w:sz w:val="20"/>
                <w:szCs w:val="20"/>
                <w:color w:val="auto"/>
              </w:rPr>
            </w:pPr>
            <w:r>
              <w:rPr>
                <w:rFonts w:ascii="Arial" w:cs="Arial" w:eastAsia="Arial" w:hAnsi="Arial"/>
                <w:sz w:val="20"/>
                <w:szCs w:val="20"/>
                <w:b w:val="1"/>
                <w:bCs w:val="1"/>
                <w:color w:val="auto"/>
              </w:rPr>
              <w:t>% of Restricted Stock</w:t>
            </w:r>
          </w:p>
        </w:tc>
      </w:tr>
      <w:tr>
        <w:trPr>
          <w:trHeight w:val="23"/>
        </w:trPr>
        <w:tc>
          <w:tcPr>
            <w:tcW w:w="444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77"/>
        </w:trPr>
        <w:tc>
          <w:tcPr>
            <w:tcW w:w="4440" w:type="dxa"/>
            <w:vAlign w:val="bottom"/>
            <w:tcBorders>
              <w:left w:val="single" w:sz="8" w:color="auto"/>
              <w:bottom w:val="single" w:sz="8" w:color="auto"/>
            </w:tcBorders>
          </w:tcPr>
          <w:p>
            <w:pPr>
              <w:ind w:left="20"/>
              <w:spacing w:after="0" w:line="277" w:lineRule="exact"/>
              <w:rPr>
                <w:sz w:val="20"/>
                <w:szCs w:val="20"/>
                <w:color w:val="auto"/>
              </w:rPr>
            </w:pPr>
            <w:r>
              <w:rPr>
                <w:rFonts w:ascii="Arial" w:cs="Arial" w:eastAsia="Arial" w:hAnsi="Arial"/>
                <w:sz w:val="20"/>
                <w:szCs w:val="20"/>
                <w:color w:val="auto"/>
                <w:w w:val="96"/>
              </w:rPr>
              <w:t>First (1</w:t>
            </w:r>
            <w:r>
              <w:rPr>
                <w:rFonts w:ascii="Arial" w:cs="Arial" w:eastAsia="Arial" w:hAnsi="Arial"/>
                <w:sz w:val="25"/>
                <w:szCs w:val="25"/>
                <w:color w:val="auto"/>
                <w:w w:val="96"/>
                <w:vertAlign w:val="superscript"/>
              </w:rPr>
              <w:t>st</w:t>
            </w:r>
            <w:r>
              <w:rPr>
                <w:rFonts w:ascii="Arial" w:cs="Arial" w:eastAsia="Arial" w:hAnsi="Arial"/>
                <w:sz w:val="20"/>
                <w:szCs w:val="20"/>
                <w:color w:val="auto"/>
                <w:w w:val="96"/>
              </w:rPr>
              <w:t>) anniversary of the Effective Date of Grant</w:t>
            </w:r>
          </w:p>
        </w:tc>
        <w:tc>
          <w:tcPr>
            <w:tcW w:w="142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jc w:val="right"/>
              <w:ind w:right="4461"/>
              <w:spacing w:after="0"/>
              <w:rPr>
                <w:sz w:val="20"/>
                <w:szCs w:val="20"/>
                <w:color w:val="auto"/>
              </w:rPr>
            </w:pPr>
            <w:r>
              <w:rPr>
                <w:rFonts w:ascii="Arial" w:cs="Arial" w:eastAsia="Arial" w:hAnsi="Arial"/>
                <w:sz w:val="20"/>
                <w:szCs w:val="20"/>
                <w:color w:val="auto"/>
                <w:w w:val="88"/>
              </w:rPr>
              <w:t>33.33%</w:t>
            </w:r>
          </w:p>
        </w:tc>
      </w:tr>
      <w:tr>
        <w:trPr>
          <w:trHeight w:val="277"/>
        </w:trPr>
        <w:tc>
          <w:tcPr>
            <w:tcW w:w="4440" w:type="dxa"/>
            <w:vAlign w:val="bottom"/>
            <w:tcBorders>
              <w:left w:val="single" w:sz="8" w:color="auto"/>
              <w:bottom w:val="single" w:sz="8" w:color="auto"/>
            </w:tcBorders>
          </w:tcPr>
          <w:p>
            <w:pPr>
              <w:ind w:left="20"/>
              <w:spacing w:after="0" w:line="277" w:lineRule="exact"/>
              <w:rPr>
                <w:sz w:val="20"/>
                <w:szCs w:val="20"/>
                <w:color w:val="auto"/>
              </w:rPr>
            </w:pPr>
            <w:r>
              <w:rPr>
                <w:rFonts w:ascii="Arial" w:cs="Arial" w:eastAsia="Arial" w:hAnsi="Arial"/>
                <w:sz w:val="20"/>
                <w:szCs w:val="20"/>
                <w:color w:val="auto"/>
                <w:w w:val="90"/>
              </w:rPr>
              <w:t>Second (2</w:t>
            </w:r>
            <w:r>
              <w:rPr>
                <w:rFonts w:ascii="Arial" w:cs="Arial" w:eastAsia="Arial" w:hAnsi="Arial"/>
                <w:sz w:val="25"/>
                <w:szCs w:val="25"/>
                <w:color w:val="auto"/>
                <w:w w:val="90"/>
                <w:vertAlign w:val="superscript"/>
              </w:rPr>
              <w:t>nd</w:t>
            </w:r>
            <w:r>
              <w:rPr>
                <w:rFonts w:ascii="Arial" w:cs="Arial" w:eastAsia="Arial" w:hAnsi="Arial"/>
                <w:sz w:val="20"/>
                <w:szCs w:val="20"/>
                <w:color w:val="auto"/>
                <w:w w:val="90"/>
              </w:rPr>
              <w:t>) anniversary of the Effective Date of Grant</w:t>
            </w:r>
          </w:p>
        </w:tc>
        <w:tc>
          <w:tcPr>
            <w:tcW w:w="142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jc w:val="right"/>
              <w:ind w:right="4461"/>
              <w:spacing w:after="0"/>
              <w:rPr>
                <w:sz w:val="20"/>
                <w:szCs w:val="20"/>
                <w:color w:val="auto"/>
              </w:rPr>
            </w:pPr>
            <w:r>
              <w:rPr>
                <w:rFonts w:ascii="Arial" w:cs="Arial" w:eastAsia="Arial" w:hAnsi="Arial"/>
                <w:sz w:val="20"/>
                <w:szCs w:val="20"/>
                <w:color w:val="auto"/>
                <w:w w:val="88"/>
              </w:rPr>
              <w:t>33.33%</w:t>
            </w:r>
          </w:p>
        </w:tc>
      </w:tr>
      <w:tr>
        <w:trPr>
          <w:trHeight w:val="277"/>
        </w:trPr>
        <w:tc>
          <w:tcPr>
            <w:tcW w:w="4440" w:type="dxa"/>
            <w:vAlign w:val="bottom"/>
            <w:tcBorders>
              <w:left w:val="single" w:sz="8" w:color="auto"/>
              <w:bottom w:val="single" w:sz="8" w:color="auto"/>
            </w:tcBorders>
          </w:tcPr>
          <w:p>
            <w:pPr>
              <w:ind w:left="20"/>
              <w:spacing w:after="0" w:line="277" w:lineRule="exact"/>
              <w:rPr>
                <w:sz w:val="20"/>
                <w:szCs w:val="20"/>
                <w:color w:val="auto"/>
              </w:rPr>
            </w:pPr>
            <w:r>
              <w:rPr>
                <w:rFonts w:ascii="Arial" w:cs="Arial" w:eastAsia="Arial" w:hAnsi="Arial"/>
                <w:sz w:val="20"/>
                <w:szCs w:val="20"/>
                <w:color w:val="auto"/>
                <w:w w:val="95"/>
              </w:rPr>
              <w:t>Third (3</w:t>
            </w:r>
            <w:r>
              <w:rPr>
                <w:rFonts w:ascii="Arial" w:cs="Arial" w:eastAsia="Arial" w:hAnsi="Arial"/>
                <w:sz w:val="25"/>
                <w:szCs w:val="25"/>
                <w:color w:val="auto"/>
                <w:w w:val="95"/>
                <w:vertAlign w:val="superscript"/>
              </w:rPr>
              <w:t>rd</w:t>
            </w:r>
            <w:r>
              <w:rPr>
                <w:rFonts w:ascii="Arial" w:cs="Arial" w:eastAsia="Arial" w:hAnsi="Arial"/>
                <w:sz w:val="20"/>
                <w:szCs w:val="20"/>
                <w:color w:val="auto"/>
                <w:w w:val="95"/>
              </w:rPr>
              <w:t>) anniversary of the Effective Date of Grant</w:t>
            </w:r>
          </w:p>
        </w:tc>
        <w:tc>
          <w:tcPr>
            <w:tcW w:w="142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jc w:val="right"/>
              <w:ind w:right="4461"/>
              <w:spacing w:after="0"/>
              <w:rPr>
                <w:sz w:val="20"/>
                <w:szCs w:val="20"/>
                <w:color w:val="auto"/>
              </w:rPr>
            </w:pPr>
            <w:r>
              <w:rPr>
                <w:rFonts w:ascii="Arial" w:cs="Arial" w:eastAsia="Arial" w:hAnsi="Arial"/>
                <w:sz w:val="20"/>
                <w:szCs w:val="20"/>
                <w:color w:val="auto"/>
                <w:w w:val="88"/>
              </w:rPr>
              <w:t>33.34%</w:t>
            </w:r>
          </w:p>
        </w:tc>
      </w:tr>
      <w:tr>
        <w:trPr>
          <w:trHeight w:val="443"/>
        </w:trPr>
        <w:tc>
          <w:tcPr>
            <w:tcW w:w="4440" w:type="dxa"/>
            <w:vAlign w:val="bottom"/>
          </w:tcPr>
          <w:p>
            <w:pPr>
              <w:spacing w:after="0"/>
              <w:rPr>
                <w:sz w:val="24"/>
                <w:szCs w:val="24"/>
                <w:color w:val="auto"/>
              </w:rPr>
            </w:pPr>
          </w:p>
        </w:tc>
        <w:tc>
          <w:tcPr>
            <w:tcW w:w="6600" w:type="dxa"/>
            <w:vAlign w:val="bottom"/>
            <w:gridSpan w:val="2"/>
          </w:tcPr>
          <w:p>
            <w:pPr>
              <w:jc w:val="right"/>
              <w:ind w:right="5141"/>
              <w:spacing w:after="0"/>
              <w:rPr>
                <w:sz w:val="20"/>
                <w:szCs w:val="20"/>
                <w:color w:val="auto"/>
              </w:rPr>
            </w:pPr>
            <w:r>
              <w:rPr>
                <w:rFonts w:ascii="Arial" w:cs="Arial" w:eastAsia="Arial" w:hAnsi="Arial"/>
                <w:sz w:val="20"/>
                <w:szCs w:val="20"/>
                <w:b w:val="1"/>
                <w:bCs w:val="1"/>
                <w:color w:val="auto"/>
              </w:rPr>
              <w:t>Vesting</w:t>
            </w:r>
          </w:p>
        </w:tc>
      </w:tr>
    </w:tbl>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77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7640" w:type="dxa"/>
            <w:vAlign w:val="bottom"/>
            <w:gridSpan w:val="3"/>
          </w:tcPr>
          <w:p>
            <w:pPr>
              <w:jc w:val="center"/>
              <w:ind w:right="363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720" w:type="dxa"/>
            <w:vAlign w:val="bottom"/>
          </w:tcPr>
          <w:p>
            <w:pPr>
              <w:spacing w:after="0"/>
              <w:rPr>
                <w:sz w:val="18"/>
                <w:szCs w:val="18"/>
                <w:color w:val="auto"/>
              </w:rPr>
            </w:pPr>
          </w:p>
        </w:tc>
        <w:tc>
          <w:tcPr>
            <w:tcW w:w="76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9"/>
              </w:rPr>
              <w:t>List of Subsidiaries December 31, 2019</w:t>
            </w:r>
          </w:p>
        </w:tc>
      </w:tr>
      <w:tr>
        <w:trPr>
          <w:trHeight w:val="234"/>
        </w:trPr>
        <w:tc>
          <w:tcPr>
            <w:tcW w:w="3720" w:type="dxa"/>
            <w:vAlign w:val="bottom"/>
          </w:tcPr>
          <w:p>
            <w:pPr>
              <w:spacing w:after="0"/>
              <w:rPr>
                <w:sz w:val="20"/>
                <w:szCs w:val="20"/>
                <w:color w:val="auto"/>
              </w:rPr>
            </w:pPr>
          </w:p>
        </w:tc>
        <w:tc>
          <w:tcPr>
            <w:tcW w:w="76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9"/>
              </w:rPr>
              <w:t>Significant Subsidiaries</w:t>
            </w:r>
          </w:p>
        </w:tc>
      </w:tr>
      <w:tr>
        <w:trPr>
          <w:trHeight w:val="648"/>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7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FNTG Holdings, LLC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ServiceLink Holdings, Inc.</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w w:val="98"/>
              </w:rPr>
              <w:t>Commonwealth Land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380"/>
          </w:cols>
          <w:pgMar w:left="280" w:top="553"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9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Statements (Form S-3 Nos. 333-157123, 333-147391, 333-174650) of Fidelity National Financial,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Statements (Form S-4 Nos. 333-231213, 333-194938 and 333-190902) of Fidelity National Financial, Inc.</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Statements (Form S-8 Nos. 333-197249, 333-190527, 333-157643, 333-132843, 333-138254, 333-129886, 333-129016, 333-176395, 333-213427) of Fidelity National Financial, Inc.</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14, 2020,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2019.</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ectPr>
          <w:pgSz w:w="11900" w:h="16838" w:orient="portrait"/>
          <w:cols w:equalWidth="0" w:num="1">
            <w:col w:w="11420"/>
          </w:cols>
          <w:pgMar w:left="240" w:top="55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22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33" w:lineRule="exact"/>
        <w:rPr>
          <w:sz w:val="20"/>
          <w:szCs w:val="20"/>
          <w:color w:val="auto"/>
        </w:rPr>
      </w:pPr>
    </w:p>
    <w:p>
      <w:pPr>
        <w:ind w:left="500" w:right="40" w:hanging="303"/>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3"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500" w:right="40" w:hanging="303"/>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2020</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lowerRoman"/>
      <w:start w:val="2"/>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2"/>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decimal"/>
      <w:start w:val="1"/>
    </w:lvl>
    <w:lvl w:ilvl="1">
      <w:lvlJc w:val="left"/>
      <w:lvlText w:val="%2"/>
      <w:numFmt w:val="decimal"/>
      <w:start w:val="104"/>
    </w:lvl>
  </w:abstractNum>
  <w:abstractNum w:abstractNumId="29">
    <w:nsid w:val="5E884ADC"/>
    <w:multiLevelType w:val="hybridMultilevel"/>
    <w:lvl w:ilvl="0">
      <w:lvlJc w:val="left"/>
      <w:lvlText w:val="(%1)"/>
      <w:numFmt w:val="decimal"/>
      <w:start w:val="1"/>
    </w:lvl>
    <w:lvl w:ilvl="1">
      <w:lvlJc w:val="left"/>
      <w:lvlText w:val="%2"/>
      <w:numFmt w:val="decimal"/>
      <w:start w:val="1"/>
    </w:lvl>
  </w:abstractNum>
  <w:abstractNum w:abstractNumId="30">
    <w:nsid w:val="51EAD36B"/>
    <w:multiLevelType w:val="hybridMultilevel"/>
    <w:lvl w:ilvl="0">
      <w:lvlJc w:val="left"/>
      <w:lvlText w:val="%1."/>
      <w:numFmt w:val="upperLetter"/>
      <w:start w:val="2"/>
    </w:lvl>
  </w:abstractNum>
  <w:abstractNum w:abstractNumId="31">
    <w:nsid w:val="2D517796"/>
    <w:multiLevelType w:val="hybridMultilevel"/>
    <w:lvl w:ilvl="0">
      <w:lvlJc w:val="left"/>
      <w:lvlText w:val="%1."/>
      <w:numFmt w:val="upperLetter"/>
      <w:start w:val="3"/>
    </w:lvl>
  </w:abstractNum>
  <w:abstractNum w:abstractNumId="32">
    <w:nsid w:val="580BD78F"/>
    <w:multiLevelType w:val="hybridMultilevel"/>
    <w:lvl w:ilvl="0">
      <w:lvlJc w:val="left"/>
      <w:lvlText w:val="%1."/>
      <w:numFmt w:val="upperLetter"/>
      <w:start w:val="4"/>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lvl w:ilvl="1">
      <w:lvlJc w:val="left"/>
      <w:lvlText w:val="(%2)"/>
      <w:numFmt w:val="lowerLetter"/>
      <w:start w:val="9"/>
    </w:lvl>
  </w:abstractNum>
  <w:abstractNum w:abstractNumId="35">
    <w:nsid w:val="70A64E2A"/>
    <w:multiLevelType w:val="hybridMultilevel"/>
    <w:lvl w:ilvl="0">
      <w:lvlJc w:val="left"/>
      <w:lvlText w:val="(%1)"/>
      <w:numFmt w:val="lowerRoman"/>
      <w:start w:val="2"/>
    </w:lvl>
  </w:abstractNum>
  <w:abstractNum w:abstractNumId="36">
    <w:nsid w:val="6A2342EC"/>
    <w:multiLevelType w:val="hybridMultilevel"/>
    <w:lvl w:ilvl="0">
      <w:lvlJc w:val="left"/>
      <w:lvlText w:val="%1"/>
      <w:numFmt w:val="lowerRoman"/>
      <w:start w:val="1"/>
    </w:lvl>
    <w:lvl w:ilvl="1">
      <w:lvlJc w:val="left"/>
      <w:lvlText w:val="(%2)"/>
      <w:numFmt w:val="lowerRoman"/>
      <w:start w:val="3"/>
    </w:lvl>
  </w:abstractNum>
  <w:abstractNum w:abstractNumId="37">
    <w:nsid w:val="2A487CB0"/>
    <w:multiLevelType w:val="hybridMultilevel"/>
    <w:lvl w:ilvl="0">
      <w:lvlJc w:val="left"/>
      <w:lvlText w:val="(%1)"/>
      <w:numFmt w:val="lowerRoman"/>
      <w:start w:val="4"/>
    </w:lvl>
    <w:lvl w:ilvl="1">
      <w:lvlJc w:val="left"/>
      <w:lvlText w:val="%2"/>
      <w:numFmt w:val="lowerRoman"/>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lowerLetter"/>
      <w:start w:val="4"/>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80" Type="http://schemas.openxmlformats.org/officeDocument/2006/relationships/image" Target="media/image23.png"/><Relationship Id="rId81" Type="http://schemas.openxmlformats.org/officeDocument/2006/relationships/image" Target="media/image24.png"/><Relationship Id="rId82" Type="http://schemas.openxmlformats.org/officeDocument/2006/relationships/image" Target="media/image25.png"/><Relationship Id="rId83" Type="http://schemas.openxmlformats.org/officeDocument/2006/relationships/image" Target="media/image26.png"/><Relationship Id="rId84" Type="http://schemas.openxmlformats.org/officeDocument/2006/relationships/image" Target="media/image27.png"/><Relationship Id="rId30" Type="http://schemas.openxmlformats.org/officeDocument/2006/relationships/hyperlink" Target="http://www.sec.gov/Archives/edgar/data/1331875/000104746917003921/a2232187zex-2_1.htm" TargetMode="External"/><Relationship Id="rId31" Type="http://schemas.openxmlformats.org/officeDocument/2006/relationships/hyperlink" Target="http://www.sec.gov/Archives/edgar/data/1331875/000104746917003921/a2232187zex-2_2.htm" TargetMode="External"/><Relationship Id="rId32" Type="http://schemas.openxmlformats.org/officeDocument/2006/relationships/hyperlink" Target="http://www.sec.gov/Archives/edgar/data/1331875/000110465917069547/a17-27153_1ex2d1.htm#Exhibit2_1_101925" TargetMode="External"/><Relationship Id="rId33" Type="http://schemas.openxmlformats.org/officeDocument/2006/relationships/hyperlink" Target="http://www.sec.gov/Archives/edgar/data/1331875/000110465920012350/tm207083d1_ex2-1.htm" TargetMode="External"/><Relationship Id="rId34" Type="http://schemas.openxmlformats.org/officeDocument/2006/relationships/hyperlink" Target="http://www.sec.gov/Archives/edgar/data/1331875/000133187518000035/fnffifthamendedandrestated.htm" TargetMode="External"/><Relationship Id="rId35" Type="http://schemas.openxmlformats.org/officeDocument/2006/relationships/hyperlink" Target="http://www.sec.gov/Archives/edgar/data/1331875/000133187517000019/exhibit31fourthamendedandr.htm" TargetMode="External"/><Relationship Id="rId36" Type="http://schemas.openxmlformats.org/officeDocument/2006/relationships/hyperlink" Target="http://www.sec.gov/Archives/edgar/data/1331875/000095013406005246/a16815exv4w1.txt" TargetMode="External"/><Relationship Id="rId37" Type="http://schemas.openxmlformats.org/officeDocument/2006/relationships/hyperlink" Target="http://www.sec.gov/Archives/edgar/data/1331875/000089256906000049/a16429exv4w1.htm" TargetMode="External"/><Relationship Id="rId38" Type="http://schemas.openxmlformats.org/officeDocument/2006/relationships/hyperlink" Target="http://www.sec.gov/Archives/edgar/data/1331875/000095012310044230/g23229exv4w1.htm" TargetMode="External"/><Relationship Id="rId39" Type="http://schemas.openxmlformats.org/officeDocument/2006/relationships/hyperlink" Target="http://www.sec.gov/Archives/edgar/data/1331875/000119312512371962/d403278dex41.htm" TargetMode="External"/><Relationship Id="rId40" Type="http://schemas.openxmlformats.org/officeDocument/2006/relationships/hyperlink" Target="http://www.sec.gov/Archives/edgar/data/1331875/000089256907001411/a35688exv4w2xay.htm" TargetMode="External"/><Relationship Id="rId41" Type="http://schemas.openxmlformats.org/officeDocument/2006/relationships/hyperlink" Target="http://www.sec.gov/Archives/edgar/data/1331875/000133187518000051/exhibit44-fourthsupplement.htm" TargetMode="External"/><Relationship Id="rId42" Type="http://schemas.openxmlformats.org/officeDocument/2006/relationships/hyperlink" Target="http://www.sec.gov/Archives/edgar/data/1331875/000119312514182698/d702315dex41.htm" TargetMode="External"/><Relationship Id="rId43" Type="http://schemas.openxmlformats.org/officeDocument/2006/relationships/hyperlink" Target="http://www.sec.gov/Archives/edgar/data/1331875/000133187517000046/ex102fourthamendedandresta.htm" TargetMode="External"/><Relationship Id="rId44" Type="http://schemas.openxmlformats.org/officeDocument/2006/relationships/hyperlink" Target="http://www.sec.gov/Archives/edgar/data/1331875/000119312516569331/d157551ddef14a.htm#toc157551_18" TargetMode="External"/><Relationship Id="rId45" Type="http://schemas.openxmlformats.org/officeDocument/2006/relationships/hyperlink" Target="http://www.sec.gov/Archives/edgar/data/1331875/000133187519000010/exhibit103amendedandrestat.htm" TargetMode="External"/><Relationship Id="rId46" Type="http://schemas.openxmlformats.org/officeDocument/2006/relationships/hyperlink" Target="http://www.sec.gov/Archives/edgar/data/1331875/000119312516569331/d157551ddef14a.htm#toc157551_19" TargetMode="External"/><Relationship Id="rId47" Type="http://schemas.openxmlformats.org/officeDocument/2006/relationships/hyperlink" Target="http://www.sec.gov/Archives/edgar/data/1331875/000095014409001785/g17782exv10w18.htm" TargetMode="External"/><Relationship Id="rId48" Type="http://schemas.openxmlformats.org/officeDocument/2006/relationships/hyperlink" Target="http://www.sec.gov/Archives/edgar/data/1331875/000133187516000111/exhibit10122015.htm" TargetMode="External"/><Relationship Id="rId49" Type="http://schemas.openxmlformats.org/officeDocument/2006/relationships/hyperlink" Target="http://www.sec.gov/Archives/edgar/data/1331875/000133187514000005/exhibit1012.htm" TargetMode="External"/><Relationship Id="rId50" Type="http://schemas.openxmlformats.org/officeDocument/2006/relationships/hyperlink" Target="http://www.sec.gov/Archives/edgar/data/1331875/000133187513000012/exhibit1010.htm" TargetMode="External"/><Relationship Id="rId51" Type="http://schemas.openxmlformats.org/officeDocument/2006/relationships/hyperlink" Target="http://www.sec.gov/Archives/edgar/data/1331875/000095014409001785/g17782exv10w11.htm" TargetMode="External"/><Relationship Id="rId52" Type="http://schemas.openxmlformats.org/officeDocument/2006/relationships/hyperlink" Target="http://www.sec.gov/Archives/edgar/data/1331875/000095012310019326/g21797exv10w13.htm" TargetMode="External"/><Relationship Id="rId53" Type="http://schemas.openxmlformats.org/officeDocument/2006/relationships/hyperlink" Target="http://www.sec.gov/Archives/edgar/data/1331875/000133187512000047/exhibit101.htm" TargetMode="External"/><Relationship Id="rId54" Type="http://schemas.openxmlformats.org/officeDocument/2006/relationships/hyperlink" Target="http://www.sec.gov/Archives/edgar/data/1331875/000133187512000018/exhibit1016.htm" TargetMode="External"/><Relationship Id="rId55" Type="http://schemas.openxmlformats.org/officeDocument/2006/relationships/hyperlink" Target="http://www.sec.gov/Archives/edgar/data/1331875/000095012310019326/g21797exv10w15.htm" TargetMode="External"/><Relationship Id="rId56" Type="http://schemas.openxmlformats.org/officeDocument/2006/relationships/hyperlink" Target="http://www.sec.gov/Archives/edgar/data/1331875/000133187518000015/exhibit1017bickettfnfempag.htm" TargetMode="External"/><Relationship Id="rId57" Type="http://schemas.openxmlformats.org/officeDocument/2006/relationships/hyperlink" Target="http://www.sec.gov/Archives/edgar/data/1331875/000133187516000111/exhibit10272015.htm" TargetMode="External"/><Relationship Id="rId58" Type="http://schemas.openxmlformats.org/officeDocument/2006/relationships/hyperlink" Target="http://www.sec.gov/Archives/edgar/data/1331875/000095014409001785/g17782exv10w16.htm" TargetMode="External"/><Relationship Id="rId59" Type="http://schemas.openxmlformats.org/officeDocument/2006/relationships/hyperlink" Target="http://www.sec.gov/Archives/edgar/data/1331875/000095012310019326/g21797exv10w21.htm" TargetMode="External"/><Relationship Id="rId60" Type="http://schemas.openxmlformats.org/officeDocument/2006/relationships/hyperlink" Target="http://www.sec.gov/Archives/edgar/data/1331875/000133187513000012/exhibit1022.htm" TargetMode="External"/><Relationship Id="rId61" Type="http://schemas.openxmlformats.org/officeDocument/2006/relationships/hyperlink" Target="http://www.sec.gov/Archives/edgar/data/1331875/000133187515000019/exhibit1021q2015b.htm" TargetMode="External"/><Relationship Id="rId62" Type="http://schemas.openxmlformats.org/officeDocument/2006/relationships/hyperlink" Target="http://www.sec.gov/Archives/edgar/data/1331875/000133187513000012/exhibit1026.htm" TargetMode="External"/><Relationship Id="rId63" Type="http://schemas.openxmlformats.org/officeDocument/2006/relationships/hyperlink" Target="http://www.sec.gov/Archives/edgar/data/1331875/000119312514012055/d657527dex102.htm" TargetMode="External"/><Relationship Id="rId64" Type="http://schemas.openxmlformats.org/officeDocument/2006/relationships/hyperlink" Target="http://www.sec.gov/Archives/edgar/data/1331875/000119312514012055/d657527dex104.htm" TargetMode="External"/><Relationship Id="rId65" Type="http://schemas.openxmlformats.org/officeDocument/2006/relationships/hyperlink" Target="http://www.sec.gov/Archives/edgar/data/1331875/000119312514012055/d657527dex106.htm" TargetMode="External"/><Relationship Id="rId66" Type="http://schemas.openxmlformats.org/officeDocument/2006/relationships/hyperlink" Target="http://www.sec.gov/Archives/edgar/data/1331875/000133187516000144/exhibit101q22016foleyagree.htm" TargetMode="External"/><Relationship Id="rId67" Type="http://schemas.openxmlformats.org/officeDocument/2006/relationships/hyperlink" Target="http://www.sec.gov/Archives/edgar/data/1331875/000133187516000144/exhibit102q22016quirkagree.htm" TargetMode="External"/><Relationship Id="rId68" Type="http://schemas.openxmlformats.org/officeDocument/2006/relationships/hyperlink" Target="http://www.sec.gov/Archives/edgar/data/1331875/000133187516000144/exhibit104q22016parkagreem.htm" TargetMode="External"/><Relationship Id="rId69" Type="http://schemas.openxmlformats.org/officeDocument/2006/relationships/hyperlink" Target="http://www.sec.gov/Archives/edgar/data/1331875/000133187516000144/exhibit105q22016gravelleag.htm" TargetMode="External"/><Relationship Id="rId70" Type="http://schemas.openxmlformats.org/officeDocument/2006/relationships/hyperlink" Target="http://www.sec.gov/Archives/edgar/data/1331875/000133187516000144/exhibit106q22016sadowskiag.htm" TargetMode="External"/><Relationship Id="rId71" Type="http://schemas.openxmlformats.org/officeDocument/2006/relationships/hyperlink" Target="http://www.sec.gov/Archives/edgar/data/1331875/000133187516000144/exhibit107q22016nolanagree.htm" TargetMode="External"/><Relationship Id="rId72" Type="http://schemas.openxmlformats.org/officeDocument/2006/relationships/hyperlink" Target="http://www.sec.gov/Archives/edgar/data/1331875/000133187516000144/exhibit108q22016nolanamend.htm" TargetMode="External"/><Relationship Id="rId73" Type="http://schemas.openxmlformats.org/officeDocument/2006/relationships/hyperlink" Target="http://www.sec.gov/Archives/edgar/data/1331875/000133187516000144/exhibit109q22016jewkesagre.htm" TargetMode="External"/><Relationship Id="rId74" Type="http://schemas.openxmlformats.org/officeDocument/2006/relationships/hyperlink" Target="http://www.sec.gov/Archives/edgar/data/1331875/000133187516000144/exhibit1010q22016jewkesame.htm" TargetMode="External"/><Relationship Id="rId75" Type="http://schemas.openxmlformats.org/officeDocument/2006/relationships/hyperlink" Target="http://www.sec.gov/Archives/edgar/data/1331875/000133187519000010/exhibit1041formofrsgrant-1.htm" TargetMode="External"/><Relationship Id="rId76" Type="http://schemas.openxmlformats.org/officeDocument/2006/relationships/hyperlink" Target="http://www.sec.gov/Archives/edgar/data/1331875/000133187518000015/exhibit1039formofrsgrant-1.htm" TargetMode="External"/><Relationship Id="rId77" Type="http://schemas.openxmlformats.org/officeDocument/2006/relationships/hyperlink" Target="http://www.sec.gov/Archives/edgar/data/1331875/000110465917069547/a17-27153_1ex10d1.htm" TargetMode="External"/><Relationship Id="rId78" Type="http://schemas.openxmlformats.org/officeDocument/2006/relationships/hyperlink" Target="http://www.sec.gov/Archives/edgar/data/1331875/000133187519000041/ex101terminationagreem.htm" TargetMode="External"/><Relationship Id="rId79" Type="http://schemas.openxmlformats.org/officeDocument/2006/relationships/hyperlink" Target="http://www.sec.gov/Archives/edgar/data/1331875/000133187519000053/exhibit102q32019grave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2020-02-14T14:22:50Z</dcterms:created>
  <dcterms:modified xsi:type="dcterms:W3CDTF">2020-02-14T14:22:50Z</dcterms:modified>
</cp:coreProperties>
</file>