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174625</wp:posOffset>
            </wp:positionH>
            <wp:positionV relativeFrom="page">
              <wp:posOffset>243205</wp:posOffset>
            </wp:positionV>
            <wp:extent cx="721233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-172085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4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1300" w:right="60" w:hanging="724"/>
        <w:spacing w:after="0" w:line="26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2013</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1300" w:right="480" w:hanging="709"/>
        <w:spacing w:after="0" w:line="26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Commission File No. 1-32630</w:t>
      </w:r>
    </w:p>
    <w:p>
      <w:pPr>
        <w:spacing w:after="0" w:line="7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Fidelity National Financial, Inc.</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274" w:lineRule="exact"/>
        <w:rPr>
          <w:sz w:val="24"/>
          <w:szCs w:val="24"/>
          <w:color w:val="auto"/>
        </w:rPr>
      </w:pPr>
    </w:p>
    <w:tbl>
      <w:tblPr>
        <w:tblLayout w:type="fixed"/>
        <w:tblInd w:w="900" w:type="dxa"/>
        <w:tblCellMar>
          <w:top w:w="0" w:type="dxa"/>
          <w:left w:w="0" w:type="dxa"/>
          <w:bottom w:w="0" w:type="dxa"/>
          <w:right w:w="0" w:type="dxa"/>
        </w:tblCellMar>
      </w:tblPr>
      <w:tr>
        <w:trPr>
          <w:trHeight w:val="238"/>
        </w:trPr>
        <w:tc>
          <w:tcPr>
            <w:tcW w:w="4880" w:type="dxa"/>
            <w:vAlign w:val="bottom"/>
          </w:tcPr>
          <w:p>
            <w:pPr>
              <w:jc w:val="center"/>
              <w:ind w:right="12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16-1725106</w:t>
            </w:r>
          </w:p>
        </w:tc>
      </w:tr>
      <w:tr>
        <w:trPr>
          <w:trHeight w:val="220"/>
        </w:trPr>
        <w:tc>
          <w:tcPr>
            <w:tcW w:w="4880" w:type="dxa"/>
            <w:vAlign w:val="bottom"/>
          </w:tcPr>
          <w:p>
            <w:pPr>
              <w:jc w:val="center"/>
              <w:ind w:right="129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440" w:type="dxa"/>
            <w:vAlign w:val="bottom"/>
          </w:tcPr>
          <w:p>
            <w:pPr>
              <w:jc w:val="center"/>
              <w:ind w:left="1301"/>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568"/>
        </w:trPr>
        <w:tc>
          <w:tcPr>
            <w:tcW w:w="488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w w:val="99"/>
              </w:rPr>
              <w:t>601 Riverside Avenue</w:t>
            </w:r>
          </w:p>
        </w:tc>
        <w:tc>
          <w:tcPr>
            <w:tcW w:w="344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(904) 854-8100</w:t>
            </w:r>
          </w:p>
        </w:tc>
      </w:tr>
      <w:tr>
        <w:trPr>
          <w:trHeight w:val="238"/>
        </w:trPr>
        <w:tc>
          <w:tcPr>
            <w:tcW w:w="4880" w:type="dxa"/>
            <w:vAlign w:val="bottom"/>
          </w:tcPr>
          <w:p>
            <w:pPr>
              <w:jc w:val="center"/>
              <w:ind w:right="1297"/>
              <w:spacing w:after="0"/>
              <w:rPr>
                <w:sz w:val="20"/>
                <w:szCs w:val="20"/>
                <w:color w:val="auto"/>
              </w:rPr>
            </w:pPr>
            <w:r>
              <w:rPr>
                <w:rFonts w:ascii="Times New Roman" w:cs="Times New Roman" w:eastAsia="Times New Roman" w:hAnsi="Times New Roman"/>
                <w:sz w:val="18"/>
                <w:szCs w:val="18"/>
                <w:b w:val="1"/>
                <w:bCs w:val="1"/>
                <w:color w:val="auto"/>
              </w:rPr>
              <w:t>Jacksonville, Florida 32204</w:t>
            </w:r>
          </w:p>
        </w:tc>
        <w:tc>
          <w:tcPr>
            <w:tcW w:w="3440" w:type="dxa"/>
            <w:vAlign w:val="bottom"/>
          </w:tcPr>
          <w:p>
            <w:pPr>
              <w:ind w:left="1520"/>
              <w:spacing w:after="0"/>
              <w:rPr>
                <w:sz w:val="20"/>
                <w:szCs w:val="20"/>
                <w:color w:val="auto"/>
              </w:rPr>
            </w:pPr>
            <w:r>
              <w:rPr>
                <w:rFonts w:ascii="Times New Roman" w:cs="Times New Roman" w:eastAsia="Times New Roman" w:hAnsi="Times New Roman"/>
                <w:sz w:val="14"/>
                <w:szCs w:val="14"/>
                <w:i w:val="1"/>
                <w:iCs w:val="1"/>
                <w:color w:val="auto"/>
              </w:rPr>
              <w:t>(Registrant’s telephone number,</w:t>
            </w:r>
          </w:p>
        </w:tc>
      </w:tr>
      <w:tr>
        <w:trPr>
          <w:trHeight w:val="206"/>
        </w:trPr>
        <w:tc>
          <w:tcPr>
            <w:tcW w:w="4880" w:type="dxa"/>
            <w:vAlign w:val="bottom"/>
          </w:tcPr>
          <w:p>
            <w:pPr>
              <w:jc w:val="center"/>
              <w:ind w:right="1257"/>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including zip code)</w:t>
            </w:r>
          </w:p>
        </w:tc>
        <w:tc>
          <w:tcPr>
            <w:tcW w:w="3440" w:type="dxa"/>
            <w:vAlign w:val="bottom"/>
          </w:tcPr>
          <w:p>
            <w:pPr>
              <w:jc w:val="center"/>
              <w:ind w:left="1281"/>
              <w:spacing w:after="0"/>
              <w:rPr>
                <w:sz w:val="20"/>
                <w:szCs w:val="20"/>
                <w:color w:val="auto"/>
              </w:rPr>
            </w:pPr>
            <w:r>
              <w:rPr>
                <w:rFonts w:ascii="Times New Roman" w:cs="Times New Roman" w:eastAsia="Times New Roman" w:hAnsi="Times New Roman"/>
                <w:sz w:val="14"/>
                <w:szCs w:val="14"/>
                <w:i w:val="1"/>
                <w:iCs w:val="1"/>
                <w:color w:val="auto"/>
              </w:rPr>
              <w:t>including area code)</w:t>
            </w:r>
          </w:p>
        </w:tc>
      </w:tr>
    </w:tbl>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2"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8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5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360" w:type="dxa"/>
            <w:vAlign w:val="bottom"/>
          </w:tcPr>
          <w:p>
            <w:pPr>
              <w:spacing w:after="0"/>
              <w:rPr>
                <w:sz w:val="24"/>
                <w:szCs w:val="24"/>
                <w:color w:val="auto"/>
              </w:rPr>
            </w:pPr>
          </w:p>
        </w:tc>
        <w:tc>
          <w:tcPr>
            <w:tcW w:w="272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800" w:type="dxa"/>
            <w:vAlign w:val="bottom"/>
          </w:tcPr>
          <w:p>
            <w:pPr>
              <w:spacing w:after="0"/>
              <w:rPr>
                <w:sz w:val="21"/>
                <w:szCs w:val="21"/>
                <w:color w:val="auto"/>
              </w:rPr>
            </w:pPr>
          </w:p>
        </w:tc>
        <w:tc>
          <w:tcPr>
            <w:tcW w:w="7340" w:type="dxa"/>
            <w:vAlign w:val="bottom"/>
            <w:gridSpan w:val="4"/>
          </w:tcPr>
          <w:p>
            <w:pPr>
              <w:ind w:left="12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38"/>
        </w:trPr>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 Yes R</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 o</w:t>
            </w:r>
          </w:p>
        </w:tc>
      </w:tr>
      <w:tr>
        <w:trPr>
          <w:trHeight w:val="338"/>
        </w:trPr>
        <w:tc>
          <w:tcPr>
            <w:tcW w:w="9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 Yes o</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3"/>
              </w:rPr>
              <w:t>No R</w:t>
            </w:r>
          </w:p>
        </w:tc>
      </w:tr>
    </w:tbl>
    <w:p>
      <w:pPr>
        <w:spacing w:after="0" w:line="103" w:lineRule="exact"/>
        <w:rPr>
          <w:sz w:val="24"/>
          <w:szCs w:val="24"/>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82" w:lineRule="exact"/>
        <w:rPr>
          <w:sz w:val="24"/>
          <w:szCs w:val="24"/>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82" w:lineRule="exact"/>
        <w:rPr>
          <w:sz w:val="24"/>
          <w:szCs w:val="24"/>
          <w:color w:val="auto"/>
        </w:rPr>
      </w:pPr>
    </w:p>
    <w:p>
      <w:pPr>
        <w:jc w:val="both"/>
        <w:ind w:firstLine="216"/>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R</w:t>
      </w:r>
    </w:p>
    <w:p>
      <w:pPr>
        <w:spacing w:after="0" w:line="82" w:lineRule="exact"/>
        <w:rPr>
          <w:sz w:val="24"/>
          <w:szCs w:val="24"/>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260"/>
        <w:spacing w:after="0"/>
        <w:tabs>
          <w:tab w:leader="none" w:pos="2840" w:val="left"/>
          <w:tab w:leader="none" w:pos="5380" w:val="left"/>
          <w:tab w:leader="none" w:pos="8340" w:val="left"/>
        </w:tabs>
        <w:rPr>
          <w:sz w:val="20"/>
          <w:szCs w:val="20"/>
          <w:color w:val="auto"/>
        </w:rPr>
      </w:pPr>
      <w:r>
        <w:rPr>
          <w:rFonts w:ascii="Times New Roman" w:cs="Times New Roman" w:eastAsia="Times New Roman" w:hAnsi="Times New Roman"/>
          <w:sz w:val="18"/>
          <w:szCs w:val="18"/>
          <w:color w:val="auto"/>
        </w:rPr>
        <w:t>Large accelerated filer R</w:t>
      </w:r>
      <w:r>
        <w:rPr>
          <w:sz w:val="20"/>
          <w:szCs w:val="20"/>
          <w:color w:val="auto"/>
        </w:rPr>
        <w:tab/>
      </w:r>
      <w:r>
        <w:rPr>
          <w:rFonts w:ascii="Times New Roman" w:cs="Times New Roman" w:eastAsia="Times New Roman" w:hAnsi="Times New Roman"/>
          <w:sz w:val="18"/>
          <w:szCs w:val="18"/>
          <w:color w:val="auto"/>
        </w:rPr>
        <w:t>Accelerated filer o</w:t>
      </w:r>
      <w:r>
        <w:rPr>
          <w:sz w:val="20"/>
          <w:szCs w:val="20"/>
          <w:color w:val="auto"/>
        </w:rPr>
        <w:tab/>
      </w:r>
      <w:r>
        <w:rPr>
          <w:rFonts w:ascii="Times New Roman" w:cs="Times New Roman" w:eastAsia="Times New Roman" w:hAnsi="Times New Roman"/>
          <w:sz w:val="18"/>
          <w:szCs w:val="18"/>
          <w:color w:val="auto"/>
        </w:rPr>
        <w:t>Non-accelerated filer o</w:t>
      </w:r>
      <w:r>
        <w:rPr>
          <w:sz w:val="20"/>
          <w:szCs w:val="20"/>
          <w:color w:val="auto"/>
        </w:rPr>
        <w:tab/>
      </w:r>
      <w:r>
        <w:rPr>
          <w:rFonts w:ascii="Times New Roman" w:cs="Times New Roman" w:eastAsia="Times New Roman" w:hAnsi="Times New Roman"/>
          <w:sz w:val="18"/>
          <w:szCs w:val="18"/>
          <w:color w:val="auto"/>
        </w:rPr>
        <w:t>Smaller reporting company o</w:t>
      </w:r>
    </w:p>
    <w:p>
      <w:pPr>
        <w:spacing w:after="0" w:line="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(Do not check if a smaller reporting company)</w:t>
      </w:r>
    </w:p>
    <w:p>
      <w:pPr>
        <w:spacing w:after="0" w:line="11" w:lineRule="exact"/>
        <w:rPr>
          <w:sz w:val="24"/>
          <w:szCs w:val="24"/>
          <w:color w:val="auto"/>
        </w:rPr>
      </w:pPr>
    </w:p>
    <w:p>
      <w:pPr>
        <w:ind w:left="220"/>
        <w:spacing w:after="0"/>
        <w:tabs>
          <w:tab w:leader="none" w:pos="90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w:t>
        <w:tab/>
        <w:t>No R</w:t>
      </w:r>
    </w:p>
    <w:p>
      <w:pPr>
        <w:spacing w:after="0" w:line="122" w:lineRule="exact"/>
        <w:rPr>
          <w:sz w:val="24"/>
          <w:szCs w:val="24"/>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shares of the common stock held by non-affiliates of the registrant as of June 30, 2013 was $5,145,188,402 based on the closing price of $23.81 as reported by the New York Stock Exchange.</w:t>
      </w:r>
    </w:p>
    <w:p>
      <w:pPr>
        <w:spacing w:after="0" w:line="67"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As of January 31, 2014, there were 276,328,287 shares of Common Stock outstanding.</w:t>
      </w:r>
    </w:p>
    <w:p>
      <w:pPr>
        <w:spacing w:after="0" w:line="131" w:lineRule="exact"/>
        <w:rPr>
          <w:sz w:val="24"/>
          <w:szCs w:val="24"/>
          <w:color w:val="auto"/>
        </w:rPr>
      </w:pPr>
    </w:p>
    <w:p>
      <w:pPr>
        <w:jc w:val="both"/>
        <w:ind w:firstLine="216"/>
        <w:spacing w:after="0" w:line="282" w:lineRule="auto"/>
        <w:rPr>
          <w:sz w:val="20"/>
          <w:szCs w:val="20"/>
          <w:color w:val="auto"/>
        </w:rPr>
      </w:pPr>
      <w:r>
        <w:rPr>
          <w:rFonts w:ascii="Times New Roman" w:cs="Times New Roman" w:eastAsia="Times New Roman" w:hAnsi="Times New Roman"/>
          <w:sz w:val="18"/>
          <w:szCs w:val="18"/>
          <w:color w:val="auto"/>
        </w:rPr>
        <w:t>The information in Part III hereof for the fiscal year ended December 31, 2013,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5"/>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12"/>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Times New Roman" w:cs="Times New Roman" w:eastAsia="Times New Roman" w:hAnsi="Times New Roman"/>
                <w:sz w:val="18"/>
                <w:szCs w:val="18"/>
                <w:b w:val="1"/>
                <w:bCs w:val="1"/>
                <w:color w:val="0000EE"/>
                <w:w w:val="95"/>
              </w:rPr>
            </w:pPr>
            <w:hyperlink w:anchor="page2">
              <w:r>
                <w:rPr>
                  <w:rFonts w:ascii="Times New Roman" w:cs="Times New Roman" w:eastAsia="Times New Roman" w:hAnsi="Times New Roman"/>
                  <w:sz w:val="18"/>
                  <w:szCs w:val="18"/>
                  <w:b w:val="1"/>
                  <w:bCs w:val="1"/>
                  <w:color w:val="0000EE"/>
                  <w:w w:val="95"/>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4440" w:type="dxa"/>
            <w:vAlign w:val="bottom"/>
            <w:gridSpan w:val="15"/>
          </w:tcPr>
          <w:p>
            <w:pPr>
              <w:ind w:left="3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60" w:type="dxa"/>
            <w:vAlign w:val="bottom"/>
            <w:gridSpan w:val="3"/>
          </w:tcPr>
          <w:p>
            <w:pPr>
              <w:jc w:val="center"/>
              <w:ind w:left="391"/>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16">
              <w:r>
                <w:rPr>
                  <w:rFonts w:ascii="Times New Roman" w:cs="Times New Roman" w:eastAsia="Times New Roman" w:hAnsi="Times New Roman"/>
                  <w:sz w:val="18"/>
                  <w:szCs w:val="18"/>
                  <w:color w:val="0000EE"/>
                  <w:w w:val="84"/>
                </w:rPr>
                <w:t>Item 1A.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Risk Factors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14</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21">
              <w:r>
                <w:rPr>
                  <w:rFonts w:ascii="Times New Roman" w:cs="Times New Roman" w:eastAsia="Times New Roman" w:hAnsi="Times New Roman"/>
                  <w:sz w:val="18"/>
                  <w:szCs w:val="18"/>
                  <w:color w:val="0000EE"/>
                  <w:w w:val="85"/>
                </w:rPr>
                <w:t>Item 1B.</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Unresolved Staff Comments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Properties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3.</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19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4.</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2">
              <w:r>
                <w:rPr>
                  <w:rFonts w:ascii="Times New Roman" w:cs="Times New Roman" w:eastAsia="Times New Roman" w:hAnsi="Times New Roman"/>
                  <w:sz w:val="18"/>
                  <w:szCs w:val="18"/>
                  <w:color w:val="0000EE"/>
                  <w:w w:val="99"/>
                </w:rPr>
                <w:t>20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7"/>
              </w:rPr>
            </w:pPr>
            <w:hyperlink w:anchor="page22">
              <w:r>
                <w:rPr>
                  <w:rFonts w:ascii="Times New Roman" w:cs="Times New Roman" w:eastAsia="Times New Roman" w:hAnsi="Times New Roman"/>
                  <w:sz w:val="18"/>
                  <w:szCs w:val="18"/>
                  <w:b w:val="1"/>
                  <w:bCs w:val="1"/>
                  <w:color w:val="0000EE"/>
                  <w:w w:val="97"/>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Item 5.</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3">
              <w:r>
                <w:rPr>
                  <w:rFonts w:ascii="Times New Roman" w:cs="Times New Roman" w:eastAsia="Times New Roman" w:hAnsi="Times New Roman"/>
                  <w:sz w:val="18"/>
                  <w:szCs w:val="18"/>
                  <w:color w:val="0000EE"/>
                  <w:w w:val="99"/>
                </w:rPr>
                <w:t>21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Item 6.</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Selected Financial Data</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23</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7.</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27</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51">
              <w:r>
                <w:rPr>
                  <w:rFonts w:ascii="Times New Roman" w:cs="Times New Roman" w:eastAsia="Times New Roman" w:hAnsi="Times New Roman"/>
                  <w:sz w:val="18"/>
                  <w:szCs w:val="18"/>
                  <w:color w:val="0000EE"/>
                  <w:w w:val="84"/>
                </w:rPr>
                <w:t>Item 7A.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Quantitative and Qualitative Disclosure About Market Risk</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49</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8.</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Financial Statements and Supplementary Data</w:t>
              </w:r>
            </w:hyperlink>
          </w:p>
        </w:tc>
        <w:tc>
          <w:tcPr>
            <w:tcW w:w="660" w:type="dxa"/>
            <w:vAlign w:val="bottom"/>
            <w:gridSpan w:val="3"/>
          </w:tcPr>
          <w:p>
            <w:pPr>
              <w:jc w:val="center"/>
              <w:ind w:left="391"/>
              <w:spacing w:after="0"/>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52</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Item 9.</w:t>
              </w:r>
            </w:hyperlink>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Changes in and Disagreements With Accountants on Accounting and Financial Disclosure</w:t>
              </w:r>
            </w:hyperlink>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4">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4"/>
              </w:rPr>
            </w:pPr>
            <w:hyperlink w:anchor="page105">
              <w:r>
                <w:rPr>
                  <w:rFonts w:ascii="Times New Roman" w:cs="Times New Roman" w:eastAsia="Times New Roman" w:hAnsi="Times New Roman"/>
                  <w:sz w:val="18"/>
                  <w:szCs w:val="18"/>
                  <w:color w:val="0000EE"/>
                  <w:w w:val="84"/>
                </w:rPr>
                <w:t>Item 9A.</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Controls and Procedures</w:t>
              </w:r>
            </w:hyperlink>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5"/>
              </w:rPr>
            </w:pPr>
            <w:hyperlink w:anchor="page105">
              <w:r>
                <w:rPr>
                  <w:rFonts w:ascii="Times New Roman" w:cs="Times New Roman" w:eastAsia="Times New Roman" w:hAnsi="Times New Roman"/>
                  <w:sz w:val="18"/>
                  <w:szCs w:val="18"/>
                  <w:color w:val="0000EE"/>
                  <w:w w:val="85"/>
                </w:rPr>
                <w:t>Item 9B.</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Other Information</w:t>
              </w:r>
            </w:hyperlink>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Times New Roman" w:cs="Times New Roman" w:eastAsia="Times New Roman" w:hAnsi="Times New Roman"/>
                <w:sz w:val="18"/>
                <w:szCs w:val="18"/>
                <w:b w:val="1"/>
                <w:bCs w:val="1"/>
                <w:color w:val="0000EE"/>
                <w:w w:val="96"/>
              </w:rPr>
            </w:pPr>
            <w:hyperlink w:anchor="page105">
              <w:r>
                <w:rPr>
                  <w:rFonts w:ascii="Times New Roman" w:cs="Times New Roman" w:eastAsia="Times New Roman" w:hAnsi="Times New Roman"/>
                  <w:sz w:val="18"/>
                  <w:szCs w:val="18"/>
                  <w:b w:val="1"/>
                  <w:bCs w:val="1"/>
                  <w:color w:val="0000EE"/>
                  <w:w w:val="96"/>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105">
              <w:r>
                <w:rPr>
                  <w:rFonts w:ascii="Times New Roman" w:cs="Times New Roman" w:eastAsia="Times New Roman" w:hAnsi="Times New Roman"/>
                  <w:sz w:val="18"/>
                  <w:szCs w:val="18"/>
                  <w:color w:val="0000EE"/>
                  <w:w w:val="89"/>
                </w:rPr>
                <w:t>Item 10.</w:t>
              </w:r>
            </w:hyperlink>
          </w:p>
        </w:tc>
        <w:tc>
          <w:tcPr>
            <w:tcW w:w="360" w:type="dxa"/>
            <w:vAlign w:val="bottom"/>
          </w:tcPr>
          <w:p>
            <w:pPr>
              <w:spacing w:after="0"/>
              <w:rPr>
                <w:sz w:val="21"/>
                <w:szCs w:val="21"/>
                <w:color w:val="auto"/>
              </w:rPr>
            </w:pPr>
          </w:p>
        </w:tc>
        <w:tc>
          <w:tcPr>
            <w:tcW w:w="9300" w:type="dxa"/>
            <w:vAlign w:val="bottom"/>
            <w:gridSpan w:val="26"/>
          </w:tcPr>
          <w:p>
            <w:pPr>
              <w:ind w:left="320"/>
              <w:spacing w:after="0"/>
              <w:rPr>
                <w:rFonts w:ascii="Times New Roman" w:cs="Times New Roman" w:eastAsia="Times New Roman" w:hAnsi="Times New Roman"/>
                <w:sz w:val="18"/>
                <w:szCs w:val="18"/>
                <w:color w:val="0000EE"/>
              </w:rPr>
            </w:pPr>
            <w:hyperlink w:anchor="page105">
              <w:r>
                <w:rPr>
                  <w:rFonts w:ascii="Times New Roman" w:cs="Times New Roman" w:eastAsia="Times New Roman" w:hAnsi="Times New Roman"/>
                  <w:sz w:val="18"/>
                  <w:szCs w:val="18"/>
                  <w:color w:val="0000EE"/>
                </w:rPr>
                <w:t>Directors and Executive Officers of the Registrant</w:t>
              </w:r>
            </w:hyperlink>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11.</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0000EE"/>
              </w:rPr>
              <w:t>Executive Compensation</w:t>
            </w:r>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12.</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13.</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9"/>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9"/>
              </w:rPr>
              <w:t>Item 14.</w:t>
            </w:r>
          </w:p>
        </w:tc>
        <w:tc>
          <w:tcPr>
            <w:tcW w:w="360" w:type="dxa"/>
            <w:vAlign w:val="bottom"/>
          </w:tcPr>
          <w:p>
            <w:pPr>
              <w:spacing w:after="0"/>
              <w:rPr>
                <w:sz w:val="21"/>
                <w:szCs w:val="21"/>
                <w:color w:val="auto"/>
              </w:rPr>
            </w:pPr>
          </w:p>
        </w:tc>
        <w:tc>
          <w:tcPr>
            <w:tcW w:w="9300" w:type="dxa"/>
            <w:vAlign w:val="bottom"/>
            <w:gridSpan w:val="26"/>
          </w:tcPr>
          <w:p>
            <w:pPr>
              <w:ind w:left="320"/>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5">
              <w:r>
                <w:rPr>
                  <w:rFonts w:ascii="Times New Roman" w:cs="Times New Roman" w:eastAsia="Times New Roman" w:hAnsi="Times New Roman"/>
                  <w:sz w:val="18"/>
                  <w:szCs w:val="18"/>
                  <w:color w:val="0000EE"/>
                  <w:w w:val="96"/>
                </w:rPr>
                <w:t>101</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Times New Roman" w:cs="Times New Roman" w:eastAsia="Times New Roman" w:hAnsi="Times New Roman"/>
                <w:sz w:val="18"/>
                <w:szCs w:val="18"/>
                <w:b w:val="1"/>
                <w:bCs w:val="1"/>
                <w:color w:val="0000EE"/>
                <w:w w:val="97"/>
              </w:rPr>
            </w:pPr>
            <w:hyperlink w:anchor="page105">
              <w:r>
                <w:rPr>
                  <w:rFonts w:ascii="Times New Roman" w:cs="Times New Roman" w:eastAsia="Times New Roman" w:hAnsi="Times New Roman"/>
                  <w:sz w:val="18"/>
                  <w:szCs w:val="18"/>
                  <w:b w:val="1"/>
                  <w:bCs w:val="1"/>
                  <w:color w:val="0000EE"/>
                  <w:w w:val="97"/>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Times New Roman" w:cs="Times New Roman" w:eastAsia="Times New Roman" w:hAnsi="Times New Roman"/>
                <w:sz w:val="18"/>
                <w:szCs w:val="18"/>
                <w:color w:val="0000EE"/>
                <w:w w:val="89"/>
              </w:rPr>
            </w:pPr>
            <w:hyperlink w:anchor="page106">
              <w:r>
                <w:rPr>
                  <w:rFonts w:ascii="Times New Roman" w:cs="Times New Roman" w:eastAsia="Times New Roman" w:hAnsi="Times New Roman"/>
                  <w:sz w:val="18"/>
                  <w:szCs w:val="18"/>
                  <w:color w:val="0000EE"/>
                  <w:w w:val="89"/>
                </w:rPr>
                <w:t>Item 15.</w:t>
              </w:r>
            </w:hyperlink>
          </w:p>
        </w:tc>
        <w:tc>
          <w:tcPr>
            <w:tcW w:w="360" w:type="dxa"/>
            <w:vAlign w:val="bottom"/>
          </w:tcPr>
          <w:p>
            <w:pPr>
              <w:spacing w:after="0"/>
              <w:rPr>
                <w:sz w:val="21"/>
                <w:szCs w:val="21"/>
                <w:color w:val="auto"/>
              </w:rPr>
            </w:pPr>
          </w:p>
        </w:tc>
        <w:tc>
          <w:tcPr>
            <w:tcW w:w="4400" w:type="dxa"/>
            <w:vAlign w:val="bottom"/>
            <w:gridSpan w:val="14"/>
          </w:tcPr>
          <w:p>
            <w:pPr>
              <w:ind w:left="320"/>
              <w:spacing w:after="0"/>
              <w:rPr>
                <w:rFonts w:ascii="Times New Roman" w:cs="Times New Roman" w:eastAsia="Times New Roman" w:hAnsi="Times New Roman"/>
                <w:sz w:val="18"/>
                <w:szCs w:val="18"/>
                <w:color w:val="0000EE"/>
              </w:rPr>
            </w:pPr>
            <w:hyperlink w:anchor="page106">
              <w:r>
                <w:rPr>
                  <w:rFonts w:ascii="Times New Roman" w:cs="Times New Roman" w:eastAsia="Times New Roman" w:hAnsi="Times New Roman"/>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4"/>
          </w:tcPr>
          <w:p>
            <w:pPr>
              <w:jc w:val="center"/>
              <w:spacing w:after="0"/>
              <w:rPr>
                <w:rFonts w:ascii="Times New Roman" w:cs="Times New Roman" w:eastAsia="Times New Roman" w:hAnsi="Times New Roman"/>
                <w:sz w:val="18"/>
                <w:szCs w:val="18"/>
                <w:color w:val="0000EE"/>
                <w:w w:val="96"/>
              </w:rPr>
            </w:pPr>
            <w:hyperlink w:anchor="page106">
              <w:r>
                <w:rPr>
                  <w:rFonts w:ascii="Times New Roman" w:cs="Times New Roman" w:eastAsia="Times New Roman" w:hAnsi="Times New Roman"/>
                  <w:sz w:val="18"/>
                  <w:szCs w:val="18"/>
                  <w:color w:val="0000EE"/>
                  <w:w w:val="96"/>
                </w:rPr>
                <w:t>102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80"/>
          </w:cols>
          <w:pgMar w:left="280" w:top="117" w:right="239" w:bottom="1440" w:gutter="0" w:footer="0" w:header="0"/>
          <w:type w:val="continuous"/>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and Alamo Title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we own majority and minority equity investment stakes in a number of entities, including American Blue Ribbon Holdings, LLC ("ABRH"), J. Alexander’s, LLC ("J. Alexander's"), Remy International, Inc. ("Remy"), Ceridian HCM, Inc., Comdata Inc. (collectively "Ceridian") and Digital Insurance, Inc. ("Digital Insurance").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we had five reporting segments as follows: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Core Operations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Fidelity National Title Group. </w:t>
      </w:r>
      <w:r>
        <w:rPr>
          <w:rFonts w:ascii="Times New Roman" w:cs="Times New Roman" w:eastAsia="Times New Roman" w:hAnsi="Times New Roman"/>
          <w:sz w:val="18"/>
          <w:szCs w:val="18"/>
          <w:color w:val="auto"/>
        </w:rPr>
        <w:t>This segment consists of the operations of our title insurance underwriters and related businesses. This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19" w:lineRule="exact"/>
        <w:rPr>
          <w:rFonts w:ascii="Times New Roman" w:cs="Times New Roman" w:eastAsia="Times New Roman" w:hAnsi="Times New Roman"/>
          <w:sz w:val="18"/>
          <w:szCs w:val="18"/>
          <w:color w:val="auto"/>
        </w:rPr>
      </w:pPr>
    </w:p>
    <w:p>
      <w:pPr>
        <w:ind w:left="660" w:right="20" w:hanging="409"/>
        <w:spacing w:after="0" w:line="284"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FNF Corporate and Other. </w:t>
      </w:r>
      <w:r>
        <w:rPr>
          <w:rFonts w:ascii="Times New Roman" w:cs="Times New Roman" w:eastAsia="Times New Roman" w:hAnsi="Times New Roman"/>
          <w:sz w:val="18"/>
          <w:szCs w:val="18"/>
          <w:color w:val="auto"/>
        </w:rPr>
        <w:t>The FNF corporate and other segment consists of the operations of the parent holding company, certain other unallocated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overhead expenses, and other smaller real estate and insurance related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Company Investments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Remy. </w:t>
      </w:r>
      <w:r>
        <w:rPr>
          <w:rFonts w:ascii="Times New Roman" w:cs="Times New Roman" w:eastAsia="Times New Roman" w:hAnsi="Times New Roman"/>
          <w:sz w:val="18"/>
          <w:szCs w:val="18"/>
          <w:color w:val="auto"/>
        </w:rPr>
        <w:t>This segment consists of the operations of Remy, in which we have a 51% ownership interest. Remy is a leading designer, manufacturer,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remanufacturer, marketer and distributor of aftermarket and original equipment components for automobiles, light trucks, heavy-duty trucks and other vehicles.</w:t>
      </w:r>
    </w:p>
    <w:p>
      <w:pPr>
        <w:spacing w:after="0" w:line="119" w:lineRule="exact"/>
        <w:rPr>
          <w:rFonts w:ascii="Times New Roman" w:cs="Times New Roman" w:eastAsia="Times New Roman" w:hAnsi="Times New Roman"/>
          <w:sz w:val="18"/>
          <w:szCs w:val="18"/>
          <w:i w:val="1"/>
          <w:iCs w:val="1"/>
          <w:color w:val="auto"/>
        </w:rPr>
      </w:pPr>
    </w:p>
    <w:p>
      <w:pPr>
        <w:jc w:val="both"/>
        <w:ind w:left="660" w:hanging="409"/>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The Restaurant Group segment consists of the operations of ABRH, in which we have a 55% ownership interest. ABRH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and operator of the O'Charley's, Ninety Nine Restaurants, Max &amp; Erma's, Village Inn and Bakers Square concepts. This segment also includes J. Alexander's, which includes the Stoney River Legendary Steaks ("Stoney River") concept.</w:t>
      </w:r>
    </w:p>
    <w:p>
      <w:pPr>
        <w:spacing w:after="0" w:line="119" w:lineRule="exact"/>
        <w:rPr>
          <w:rFonts w:ascii="Times New Roman" w:cs="Times New Roman" w:eastAsia="Times New Roman" w:hAnsi="Times New Roman"/>
          <w:sz w:val="18"/>
          <w:szCs w:val="18"/>
          <w:color w:val="auto"/>
        </w:rPr>
      </w:pPr>
    </w:p>
    <w:p>
      <w:pPr>
        <w:ind w:left="660" w:hanging="409"/>
        <w:spacing w:after="0" w:line="284"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Portfolio Company Corporate and Other. </w:t>
      </w:r>
      <w:r>
        <w:rPr>
          <w:rFonts w:ascii="Times New Roman" w:cs="Times New Roman" w:eastAsia="Times New Roman" w:hAnsi="Times New Roman"/>
          <w:sz w:val="18"/>
          <w:szCs w:val="18"/>
          <w:color w:val="auto"/>
        </w:rPr>
        <w:t>The Portfolio Company Corporate and Other segment primarily consists of our share in the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equity investments, including Ceridian, Digital Insurance and other smaller operations which are not title related.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8"/>
          <w:szCs w:val="18"/>
          <w:b w:val="1"/>
          <w:bCs w:val="1"/>
          <w:i w:val="1"/>
          <w:iCs w:val="1"/>
          <w:color w:val="auto"/>
        </w:rPr>
        <w:t>ompetitive Strengths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competitive strengths include the following:</w:t>
      </w:r>
    </w:p>
    <w:p>
      <w:pPr>
        <w:spacing w:after="0" w:line="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Leading title insurance company. </w:t>
      </w:r>
      <w:r>
        <w:rPr>
          <w:rFonts w:ascii="Times New Roman" w:cs="Times New Roman" w:eastAsia="Times New Roman" w:hAnsi="Times New Roman"/>
          <w:sz w:val="18"/>
          <w:szCs w:val="18"/>
          <w:color w:val="auto"/>
        </w:rPr>
        <w:t>We are the largest title insurance company in the United States and a leading provider of title insurance and escrow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title-related services for real estate transactions. Through the third quarter of 2013, our insurance companies had a 32.2% share of the U.S. title insurance market, according to the American Land Title Association ("ALTA").</w:t>
      </w:r>
    </w:p>
    <w:p>
      <w:pPr>
        <w:spacing w:after="0" w:line="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Established relationships with our customers. </w:t>
      </w:r>
      <w:r>
        <w:rPr>
          <w:rFonts w:ascii="Times New Roman" w:cs="Times New Roman" w:eastAsia="Times New Roman" w:hAnsi="Times New Roman"/>
          <w:sz w:val="18"/>
          <w:szCs w:val="18"/>
          <w:color w:val="auto"/>
        </w:rPr>
        <w:t>We have strong relationships with the customers who use our title services. Our distribution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approximately 1,200 direct residential title offices and approximately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4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Strong value proposition for our customers. </w:t>
      </w:r>
      <w:r>
        <w:rPr>
          <w:rFonts w:ascii="Times New Roman" w:cs="Times New Roman" w:eastAsia="Times New Roman" w:hAnsi="Times New Roman"/>
          <w:sz w:val="18"/>
          <w:szCs w:val="18"/>
          <w:color w:val="auto"/>
        </w:rPr>
        <w:t>We provide our customers with title insurance and escrow and other title-related services that support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3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Proven management team. </w:t>
      </w:r>
      <w:r>
        <w:rPr>
          <w:rFonts w:ascii="Times New Roman" w:cs="Times New Roman" w:eastAsia="Times New Roman" w:hAnsi="Times New Roman"/>
          <w:sz w:val="18"/>
          <w:szCs w:val="18"/>
          <w:color w:val="auto"/>
        </w:rPr>
        <w:t>The managers of our operating businesses have successfully built our title business over an extended period of time,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Competitive cost structure. </w:t>
      </w:r>
      <w:r>
        <w:rPr>
          <w:rFonts w:ascii="Times New Roman" w:cs="Times New Roman" w:eastAsia="Times New Roman" w:hAnsi="Times New Roman"/>
          <w:sz w:val="18"/>
          <w:szCs w:val="18"/>
          <w:color w:val="auto"/>
        </w:rPr>
        <w:t>We have been able to maintain competitive operating margins in part by monitoring our businesses in a disciplined manner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title insurance. </w:t>
      </w:r>
      <w:r>
        <w:rPr>
          <w:rFonts w:ascii="Times New Roman" w:cs="Times New Roman" w:eastAsia="Times New Roman" w:hAnsi="Times New Roman"/>
          <w:sz w:val="18"/>
          <w:szCs w:val="18"/>
          <w:color w:val="auto"/>
        </w:rPr>
        <w:t>While residential title insurance comprises the majority of our business, we are also a significant provider of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4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principles. </w:t>
      </w:r>
      <w:r>
        <w:rPr>
          <w:rFonts w:ascii="Times New Roman" w:cs="Times New Roman" w:eastAsia="Times New Roman" w:hAnsi="Times New Roman"/>
          <w:sz w:val="18"/>
          <w:szCs w:val="18"/>
          <w:color w:val="auto"/>
        </w:rPr>
        <w:t>A cornerstone of our management philosophy and operating success is the six fundamental precepts upon which we were founded,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w:t>
      </w:r>
    </w:p>
    <w:p>
      <w:pPr>
        <w:spacing w:after="0" w:line="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Autonomy and entrepreneurship;</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Bias for 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Customer-oriented and motivated;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Minimize bureaucracy;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ownership;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standard of conduct.</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six precepts are emphasized to our employees from the first day of employment and are integral to many of our strategies described below.</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our competitive strengths position us well to take advantage of future changes to the real estate market.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Strategy</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Fidelity National Title Group</w:t>
      </w:r>
    </w:p>
    <w:p>
      <w:pPr>
        <w:spacing w:after="0" w:line="9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strategy in the title insurance business is to maximize operating profits by increasing our market share and managing operating expenses throughout the real estate business cycle. To accomplish our goals, we intend to do the following:</w:t>
      </w:r>
    </w:p>
    <w:p>
      <w:pPr>
        <w:spacing w:after="0" w:line="25" w:lineRule="exact"/>
        <w:rPr>
          <w:sz w:val="20"/>
          <w:szCs w:val="20"/>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operate multiple title brands independently</w:t>
      </w:r>
      <w:r>
        <w:rPr>
          <w:rFonts w:ascii="Times New Roman" w:cs="Times New Roman" w:eastAsia="Times New Roman" w:hAnsi="Times New Roman"/>
          <w:sz w:val="18"/>
          <w:szCs w:val="18"/>
          <w:color w:val="auto"/>
        </w:rPr>
        <w:t>. We believe that in order to maintain and strengthen our title insurance customer base,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operate our strongest brands in a given marketplace independently of each other. Our national and regional brands include Fidelity National Title, Chicago Title, Commonwealth Land Title, Lawyers Title, Ticor Title, and Alamo Title.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Consistently deliver superior customer service. </w:t>
      </w:r>
      <w:r>
        <w:rPr>
          <w:rFonts w:ascii="Times New Roman" w:cs="Times New Roman" w:eastAsia="Times New Roman" w:hAnsi="Times New Roman"/>
          <w:sz w:val="18"/>
          <w:szCs w:val="18"/>
          <w:color w:val="auto"/>
        </w:rPr>
        <w:t>We believe customer service and consistent product delivery are the most important factors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 our operations successfully through business cycles</w:t>
      </w:r>
      <w:r>
        <w:rPr>
          <w:rFonts w:ascii="Times New Roman" w:cs="Times New Roman" w:eastAsia="Times New Roman" w:hAnsi="Times New Roman"/>
          <w:sz w:val="18"/>
          <w:szCs w:val="18"/>
          <w:color w:val="auto"/>
        </w:rPr>
        <w:t>. We operate in a cyclical industry and our ability to diversify our revenue base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4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 to improve our products and technology. </w:t>
      </w:r>
      <w:r>
        <w:rPr>
          <w:rFonts w:ascii="Times New Roman" w:cs="Times New Roman" w:eastAsia="Times New Roman" w:hAnsi="Times New Roman"/>
          <w:sz w:val="18"/>
          <w:szCs w:val="18"/>
          <w:color w:val="auto"/>
        </w:rPr>
        <w:t>As a national provider of real estate transaction products and services, we participate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values supporting our strategy. </w:t>
      </w:r>
      <w:r>
        <w:rPr>
          <w:rFonts w:ascii="Times New Roman" w:cs="Times New Roman" w:eastAsia="Times New Roman" w:hAnsi="Times New Roman"/>
          <w:sz w:val="18"/>
          <w:szCs w:val="18"/>
          <w:color w:val="auto"/>
        </w:rPr>
        <w:t>We believe that our continued focus on and support of our long-established corporate culture will reinforce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our business strategy. Our goal is to foster and support a corporate culture where our employees and agents seek to operate independently and profitably at the local level while forming close customer relationships by meeting customer needs and improving customer service. Utilizing a relatively flat managerial structure and providing our employees with a sense of individual ownership supports this goal.</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Effectively manage costs based on economic factors. </w:t>
      </w:r>
      <w:r>
        <w:rPr>
          <w:rFonts w:ascii="Times New Roman" w:cs="Times New Roman" w:eastAsia="Times New Roman" w:hAnsi="Times New Roman"/>
          <w:sz w:val="18"/>
          <w:szCs w:val="18"/>
          <w:color w:val="auto"/>
        </w:rPr>
        <w:t>We believe that our focus on our operating margins is essential to our continued success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insurance business. Regardless of the business cycle in which we may be operating, we seek to continue to evaluate and manage our cost structure and make appropriate adjustments where economic conditions dictate. This continual focus on our cost structure helps us to better maintain our operating margins.</w:t>
      </w:r>
    </w:p>
    <w:p>
      <w:pPr>
        <w:spacing w:after="0" w:line="4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Acquisitions, Dispositions, Minority Owned Operating Subsidiaries and Financings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Acquisitions have been an important part of our growth strategy. On an ongoing basis, with assistance from our advisors, we actively evaluate possible transactions, such as acquisitions and dispositions of business units and operating assets and business combination transactions.</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future, we may seek to sell certain investments or other assets to increase our liquidity. Further, our management has stated that we may make acquisitions in lines of business that are not directly tied to or synergistic with our core operating segments. In the past we have obtained majority and minority investments in entities and securities where we see the potential to achieve above market returns. Fundamentally our goal is to acquire quality companies that are well-positioned in their respective industries, run by best in class management teams in industries that have attractive organic and acquired growth opportunities. We leverage our operational expertise and track record of growing industry leading companies and also our active interaction with the acquired company's management directly or through our board of directors, to ultimately provide value for our shareholders.</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can be no assurance that any suitable opportunities will arise or that any particular transaction will be completed. We have made a number of acquisitions over the past three years to strengthen and expand our service offerings and customer base in our various businesses, and to expand into other businesses or where we otherwise saw value.</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Black Knight and ServiceLink</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per share of LPS common stock. Total consideration paid for LPS was $3.4 billion, which consisted of $2,535 million in cash and $836 million in FNF common stock. In order to pay the stock component of the consideration, we issued 25,920,078 shares to the former LPS shareholders.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Subsequent to our announcement of the LPS acquisition, we formed a wholly-owned subsidiary, Black Knight Financial Services, Inc. (now known as Black Knight Holdings, Inc., "Black Knight"). Black Knight is the mortgage and finance industries' leading provider of integrated technology, data and analytics solutions, and transaction services. Black Knight has two operating segments, ServiceLink Holdings, LLC ("ServiceLink") and Black Knight Financial Services, LLC ("BKFS"). We retained a 65% ownership interest in each of the subsidiaries and issued the remaining 35% ownership interest to funds affiliated with Thomas H. Lee Partners, and certain related entities on January 3, 2014. Black Knight, through ServiceLink and BKFS, now owns and operates the former LPS businesses and our ServiceLink business. Fidelity National Title Group, BKFS and ServiceLink will be our core operating subsidiaries in the future.</w:t>
      </w:r>
    </w:p>
    <w:p>
      <w:pPr>
        <w:spacing w:after="0" w:line="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Black Knight Financial Services</w:t>
      </w:r>
    </w:p>
    <w:p>
      <w:pPr>
        <w:spacing w:after="0" w:line="11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Our Black Knight Financial Services segment offers technology and data and analytics services through leading software systems and information solutions that facilitate and automate many of the business processes across the life cycle of a mortgage. Our customers use our technology and services to reduce their operating costs, improve their customer service and enhance the quality and consistency of various aspects of their mortgage servicing. We continually work with our customers to customize and integrate our software and services in order to assist them in achieving the value proposition that we offer to them.</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principal technology solutions are software applications provided to mortgage lenders and other lending institutions, together with related support and services. Our technology solutions primarily consist of mortgage processing and workflow management software applications. The long term nature of most of our contracts in this business provides us with substantial recurring revenues. Our revenues from servicing technology are generally based on the number of active mortgages on our mortgage servicing platform in a given period. Our other technology solutions include our origination and default technology, from which we generally earn revenues on a per transaction basis. Our data and analytics offerings primarily consist of our alternative valuation services, real estate and mortgage data, modeling and forecasting and analytical tools.</w:t>
      </w:r>
    </w:p>
    <w:p>
      <w:pPr>
        <w:spacing w:after="0" w:line="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ServiceLink</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ServiceLink segment offers customized outsourced business process and information solutions. We work with our customers to set specific parameters regarding the services they require, and where practicable, provide a single point of contact with us for these services.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ServiceLink segment consists of our origination services, valuation services and our default services. Our origination services are provided to mortgage lenders to support many of the business processes necessary to originate a mortgage loan. Each of these services is provided through a centralized delivery channel in accordance with a lender’s specific requirements, regardless of the geographic location of the borrower or property. Our valuation services include providing traditional property appraisals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origination market and for assets in default as well as providing appraisal management services. Our default services are provided to national lenders, loan servicers and other real estate professionals to enable them to better manage some or all of the business processes necessary to take a loan and the underlying property through the default, foreclosure and disposition process.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Through our portfolio company investments we actively manage a group of companies and investments with a net asset value of approximately $1.2 billion. Our portfolio company investments primarily consist of our majority ownership positions in Remy, ABRH, J. Alexander's, and Digital Insurance and our 32% minority investment in Ceridian. On January 31, 2014 we announced the future formation of a new tracking stock for Fidelity National Financial Ventures (“FNFV”), and the portfolio company investments will comprise FNFV in the future.</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2012, we acquired 1.5 million additional shares of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 million and cash acquired upon consolidation of Remy was $96 million.</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Remy's strategy is to be the leading global manufacturer and remanufacturer of starters and alternators, yielding superior financial returns, as well as seeking to be a leading participant in the growing production of hybrid electric motors and to utilize their distribution network to supply complementary aftermarket products. We believe there are significant opportunities for future growth in this industry.</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Remy's strategies for capitalizing on these opportunities include the following:</w:t>
      </w:r>
    </w:p>
    <w:p>
      <w:pPr>
        <w:spacing w:after="0" w:line="90" w:lineRule="exact"/>
        <w:rPr>
          <w:sz w:val="20"/>
          <w:szCs w:val="20"/>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on market-leading positions in commercial vehicle products by producing durable, high-output starters and alternators for commercial vehicles in both original equipment ("OE") and aftermarket.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expanding manufacturing in growth markets in Asia and South America.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hybrid electric motors for commercial vehicles.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leverage the benefits of having an OE and aftermarket presence, seeking to provide its aftermarket customers with new products faster than competitors and providing its OE business with useful knowledge regarding long-term product performance and durability.</w:t>
      </w: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provide value-added services that enhance customer performance, including category management services that strengthen its customer relationships, support customer growth and improve product category profitability.</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Selectively pursue strategic partnerships and acquisitions that leverage its core competencies.</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13, 2014, Remy announced that it acquired substantially all of the assets of United Starters and Alternators Industries, Inc. ("USA Industries") pursuant to the terms and conditions of the Asset Purchase Agreement, effective as of January 13, 2014. USA Industries is a leading worldwide distributor of premium quality re-manufactured and new alternators, starters, constant velocity axles and disc brake calipers for the light-duty aftermarket. Total consideration paid was $41million.</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25, 2013, we formed J. Alexander's, a restaurant company which is focused on the upscale-casual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$72 million in cash, net of cash acquired of $7 million.</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2013, there were 312 company-owned restaurants in the O'Charley's group of companies and 214 company-owned restaurants in the ABRH group of companies. Total consideration paid for O'Charley's was $122 million in cash, net of cash acquired of $35 million. We consolidated the operations of ABRH with the O'Charley's group of companies, beginning on May 11, 2012.</w:t>
      </w:r>
    </w:p>
    <w:p>
      <w:pPr>
        <w:spacing w:after="0" w:line="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restaurant operations are focused in the family dining, casual dining and upscale-casual dining segments. The Restaurant Group's strategy is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synergies of our operating companies to provide purchasing power and other shared service functions. We expect to continue to maintain a strong balance sheet for our Restaurant Group to support future acquisitions and to provide stability in all operating environments.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31, 2012, we acquired Digital Insurance. Total consideration paid was $98 million in cash, net of cash acquired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$3 million. We have consolidated the operations of Digital Insurance as of December 31, 2012. Digital Insurance is a leading employee benefits platform specializing in health insurance distribution and benefits management for small and mid-sized businesses. The operations of Digital Insurance are included in our Portfolio Company Investments.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Consolidated Statements of Earnings as discontinued operations. The at-risk insurance business sale resulted in a pre-tax loss of $15 million, which was recorded in the fourth quarter of 2011.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 Insurance</w:t>
      </w:r>
    </w:p>
    <w:p>
      <w:pPr>
        <w:spacing w:after="0" w:line="9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Market for title insurance. </w:t>
      </w:r>
      <w:r>
        <w:rPr>
          <w:rFonts w:ascii="Times New Roman" w:cs="Times New Roman" w:eastAsia="Times New Roman" w:hAnsi="Times New Roman"/>
          <w:sz w:val="18"/>
          <w:szCs w:val="18"/>
          <w:color w:val="auto"/>
        </w:rPr>
        <w:t>According to Demotech Performance of Title Insurance Companies 2013 Edition, an annual compilation of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from the title insurance industry that is published by Demotech Inc., an independent firm ("Demotech"), total operating income for the entire U.S. title insurance industry has decreased from its highest at $17.8 billion in 2005 to $12.2 billion in 2012.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 Both the volume and the average price of residential real estate transactions declined from 2007-2011. Beginning in 2008 and continuing through 2011, the mortgage delinquency and default rates caused negative operating results at a number of banks and financial institutions. Multiple banks failed during this time, reducing the capacity of the mortgage industry to make loans. Since this time, lenders have tightened their underwriting standards which has made it more difficult for buyers to qualify for new loans. However, during this same period, interest rates declined to historically low levels, which spurred higher refinance activity in the period 2009 through 2012. During 2013 refinance activity declined; however, we experienced an increase in the purchase volume and average price of residential real estate. Our revenues in future periods will continue to be subject to these and other factors which are beyond our control and, as a result, are likely to fluctuate.</w:t>
      </w:r>
    </w:p>
    <w:p>
      <w:pPr>
        <w:spacing w:after="0" w:line="58" w:lineRule="exact"/>
        <w:rPr>
          <w:sz w:val="20"/>
          <w:szCs w:val="20"/>
          <w:color w:val="auto"/>
        </w:rPr>
      </w:pPr>
    </w:p>
    <w:p>
      <w:pPr>
        <w:jc w:val="both"/>
        <w:ind w:firstLine="356"/>
        <w:spacing w:after="0" w:line="260" w:lineRule="auto"/>
        <w:rPr>
          <w:sz w:val="20"/>
          <w:szCs w:val="20"/>
          <w:color w:val="auto"/>
        </w:rPr>
      </w:pPr>
      <w:r>
        <w:rPr>
          <w:rFonts w:ascii="Times New Roman" w:cs="Times New Roman" w:eastAsia="Times New Roman" w:hAnsi="Times New Roman"/>
          <w:sz w:val="18"/>
          <w:szCs w:val="18"/>
          <w:color w:val="auto"/>
        </w:rPr>
        <w:t>The U.S. title insurance industry is concentrated among a handful of industry participants. According to Demotech, the top four title insurance groups accounted for 86% of net premiums written in 2012. Approximately 30 independent title insurance companies accounted for the remaining 14% of net premiums written in 2012. In December 2008, we acquired LandAmerica Financial Group’s two principal title insurance underwriters, Commonwealth Land Title Insurance Company and Lawyers Title Insurance Corporation, and in January 2014 we acquired National Title Insurance of New York, Inc. as part of the acquisition of LPS. Consolidation has created opportunities for increased financial and operating efficiencies for the industry’s largest participants and should continue to drive profitability and market share in the industry.</w:t>
      </w:r>
    </w:p>
    <w:p>
      <w:pPr>
        <w:spacing w:after="0" w:line="4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Title Insurance Policies. </w:t>
      </w:r>
      <w:r>
        <w:rPr>
          <w:rFonts w:ascii="Times New Roman" w:cs="Times New Roman" w:eastAsia="Times New Roman" w:hAnsi="Times New Roman"/>
          <w:sz w:val="18"/>
          <w:szCs w:val="18"/>
          <w:color w:val="auto"/>
        </w:rPr>
        <w:t>Generally, real estate buyers and mortgage lenders purchase title insurance to insure good and marketable title to real estate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priority of lien. A brief generalized description of the process of issuing a title insurance policy is as follows:</w:t>
      </w:r>
    </w:p>
    <w:p>
      <w:pPr>
        <w:spacing w:after="0" w:line="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typically a real estate salesperson or broker, escrow agent, attorney or lender, places an order for a title policy.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preliminary report is circulated to all the parties for satisfaction of any specific issues.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the transaction is closed and all monies have been released, the title company issues a title insurance policy.</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 real estate transaction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transaction, only a lender’s policy is generally purchased because ownership of the property has not changed. In the case of an all-cash real estate purchase, no lender’s policy is issued but typically an owner’s title policy is issued.</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A lender’s policy generally terminates upon the refinancing or resale of the property.</w:t>
      </w:r>
    </w:p>
    <w:p>
      <w:pPr>
        <w:spacing w:after="0" w:line="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 of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Prior to issuing policies, title insurers and their agents attempt to reduce the risk of future claim losses by accurately performing title searches and</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4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Direct and Agency Operations. </w:t>
      </w:r>
      <w:r>
        <w:rPr>
          <w:rFonts w:ascii="Times New Roman" w:cs="Times New Roman" w:eastAsia="Times New Roman" w:hAnsi="Times New Roman"/>
          <w:sz w:val="18"/>
          <w:szCs w:val="18"/>
          <w:color w:val="auto"/>
        </w:rPr>
        <w:t>We provide title insurance services through our direct operations and through independent title insurance agents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title policies on behalf of our title insurance companies. Our title insurance companies determine the terms and conditions upon which they will insure title to the real property according to their underwriting standards, policies and procedures.</w:t>
      </w:r>
    </w:p>
    <w:p>
      <w:pPr>
        <w:spacing w:after="0" w:line="3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 Operations. </w:t>
      </w:r>
      <w:r>
        <w:rPr>
          <w:rFonts w:ascii="Times New Roman" w:cs="Times New Roman" w:eastAsia="Times New Roman" w:hAnsi="Times New Roman"/>
          <w:sz w:val="18"/>
          <w:szCs w:val="18"/>
          <w:color w:val="auto"/>
        </w:rPr>
        <w:t>In our direct operations, the title insurer issues the title insurance policy and retains the entire premium paid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Our direct operations provide the following benefits:</w:t>
      </w:r>
    </w:p>
    <w:p>
      <w:pPr>
        <w:spacing w:after="0" w:line="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margins because we retain the entire premium from each transaction instead of paying a commission to an independent agent;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service levels to a broad range of customers;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sources of income through escrow and closing services.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approximately 1,200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4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Agency Operations. </w:t>
      </w:r>
      <w:r>
        <w:rPr>
          <w:rFonts w:ascii="Times New Roman" w:cs="Times New Roman" w:eastAsia="Times New Roman" w:hAnsi="Times New Roman"/>
          <w:sz w:val="18"/>
          <w:szCs w:val="18"/>
          <w:color w:val="auto"/>
        </w:rPr>
        <w:t>In our agency operations, the search and examination function is performed by an independent agent or the agent may purchase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and examination from us. In either case, the agent is responsible to ensure that the search and examination is completed. The agent thus retains the majority of the title premium collected, with the balance remitted to the title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2013, we transact business with approximately 5,000 agents.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Fees and Premiums. </w:t>
      </w:r>
      <w:r>
        <w:rPr>
          <w:rFonts w:ascii="Times New Roman" w:cs="Times New Roman" w:eastAsia="Times New Roman" w:hAnsi="Times New Roman"/>
          <w:sz w:val="18"/>
          <w:szCs w:val="18"/>
          <w:color w:val="auto"/>
        </w:rPr>
        <w:t>One method of analyzing our business is to examine the level of premiums generated by direct and agency operations.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our title insurance premiums generated by direct and agency operations: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4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4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Escrow, Title-Related and Other Fees. </w:t>
      </w:r>
      <w:r>
        <w:rPr>
          <w:rFonts w:ascii="Times New Roman" w:cs="Times New Roman" w:eastAsia="Times New Roman" w:hAnsi="Times New Roman"/>
          <w:sz w:val="18"/>
          <w:szCs w:val="18"/>
          <w:color w:val="auto"/>
        </w:rPr>
        <w:t>In addition to fees for underwriting title insurance policies, we derive a significant amount of our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escrow and other title-related services including collection and trust activities, trustee's sales guarantees, recordings and reconveyances, and home warranty services. The escrow and other services provided by us include all of those typically required in connection with residential and commercial real estate purchases and refinance activities. Escrow, title-related and other fees represented approximately 20.3%, 23.4%, and 29.0% of our revenues in 2013, 2012, and 2011, respectively.</w:t>
      </w:r>
    </w:p>
    <w:p>
      <w:pPr>
        <w:spacing w:after="0" w:line="4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market and distribute our title and escrow products and services to customers in the residential and commercial market sectors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real estate industry through customer solicitation by sales personnel. Although in many instances the individual homeowner is the beneficiary of a title insurance policy, we do not focus our marketing efforts on the homeowner. 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5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Claims. </w:t>
      </w:r>
      <w:r>
        <w:rPr>
          <w:rFonts w:ascii="Times New Roman" w:cs="Times New Roman" w:eastAsia="Times New Roman" w:hAnsi="Times New Roman"/>
          <w:sz w:val="18"/>
          <w:szCs w:val="18"/>
          <w:color w:val="auto"/>
        </w:rPr>
        <w:t>An important part of our operations is the handling of title and escrow claims. We employ a large staff of attorneys in our claims department.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claims processing centers are located in Omaha, Nebraska and Jacksonville, Florida. In-house claims counsel are also located in other parts of the country.</w:t>
      </w:r>
    </w:p>
    <w:p>
      <w:pPr>
        <w:spacing w:after="0" w:line="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shows that most policy claims and claim payments are made in the first five years after the policy has been issued, although claims may also be reported and paid many years later.</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Reinsurance and Coinsurance. </w:t>
      </w:r>
      <w:r>
        <w:rPr>
          <w:rFonts w:ascii="Times New Roman" w:cs="Times New Roman" w:eastAsia="Times New Roman" w:hAnsi="Times New Roman"/>
          <w:sz w:val="18"/>
          <w:szCs w:val="18"/>
          <w:color w:val="auto"/>
        </w:rPr>
        <w:t>We limit our maximum loss exposure by reinsuring risks with other insurers under excess of loss and case-by-case</w:t>
      </w:r>
    </w:p>
    <w:p>
      <w:pPr>
        <w:spacing w:after="0" w:line="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protects us from a loss from a single loss occurrence. Through March 1, 2014, our excess of loss coverage is split into two tiers. The first tier provides coverage for residential and commercial transactions up to $100 million per loss occurrence, subject to a $20 million retention per loss. The second tier provides additional coverage for commercial transactions in excess of $100 million of loss per occurrence up to $400 million per occurrence, with the Company participating at approximately 20%. We are currently in process of negotiating the terms and conditions of our 2014 - 2015 coverages.</w:t>
      </w:r>
    </w:p>
    <w:p>
      <w:pPr>
        <w:spacing w:after="0" w:line="50" w:lineRule="exact"/>
        <w:rPr>
          <w:sz w:val="20"/>
          <w:szCs w:val="20"/>
          <w:color w:val="auto"/>
        </w:rPr>
      </w:pPr>
    </w:p>
    <w:p>
      <w:pPr>
        <w:jc w:val="both"/>
        <w:ind w:right="20" w:firstLine="329"/>
        <w:spacing w:after="0" w:line="328" w:lineRule="auto"/>
        <w:rPr>
          <w:sz w:val="20"/>
          <w:szCs w:val="20"/>
          <w:color w:val="auto"/>
        </w:rPr>
      </w:pPr>
      <w:r>
        <w:rPr>
          <w:rFonts w:ascii="Times New Roman" w:cs="Times New Roman" w:eastAsia="Times New Roman" w:hAnsi="Times New Roman"/>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Our policy is to be selective in choosing our reinsurers, seeking only those companies that we consider to be financially stable and adequately capitalized.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an effort to minimize exposure to the insolvency of a reinsurer, we periodically review the financial condition of our reinsurers.</w:t>
      </w:r>
    </w:p>
    <w:p>
      <w:pPr>
        <w:spacing w:after="0" w:line="7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earn a small amount of additional income, which is reflected in our direct premiums, by assuming reinsurance for certain risks of other title insurers.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Competition. </w:t>
      </w:r>
      <w:r>
        <w:rPr>
          <w:rFonts w:ascii="Times New Roman" w:cs="Times New Roman" w:eastAsia="Times New Roman" w:hAnsi="Times New Roman"/>
          <w:sz w:val="18"/>
          <w:szCs w:val="18"/>
          <w:color w:val="auto"/>
        </w:rPr>
        <w:t>Competition in the title insurance industry is based primarily on expertise, service and price. In addition, the financial strength of the insurer</w:t>
      </w:r>
    </w:p>
    <w:p>
      <w:pPr>
        <w:spacing w:after="0" w:line="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has become an increasingly important factor in decisions relating to the purchase of title insurance, 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Independent agency operations accounted for 56.6% of our total title insurance premiums in 2013. Several of the smaller competitors have closed their operations in the past few years as a result of the significant decrease in activity in the residential real estate market.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Regulation. </w:t>
      </w: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title insurers are domiciled, these insurers must defer a portion of</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2013, the combined statutory unearned premium reserve required and reported for our title insurers was $1,734 million. In addition to statutory unearned premium reserves and reserves for known claims, each of our insurers maintains surplus funds for policyholder protection and business operations.</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a holding company with no significant business operations of our own, we depend on dividends or other distributions from our subsidiaries as the</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source of cash to meet our obligations, including the payment of interest on and repayment of principal of any debt obligations, and to pay any dividends to our stockholders.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5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insurer’s statutory surplus as of the immediately prior year end; or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net income of the insurer during the prior calendar year.</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laws and regulations of some jurisdictions also prohibit an insurer from declaring or paying a dividend except out of its earned surplus or require the insurer to obtain prior regulatory approval. During 2014, our directly owned title insurers can pay dividends or make distributions to us of approximately $308 million without prior regulatory approval; however, insurance regulators have the authority to prohibit the payment of ordinary dividends or other payments by our title insurers to us (such as a payment under a tax sharing agreement or for employee or other services) if they determine that such payment could be adverse to our policyholders. There are no restrictions on our retained earnings regarding our ability to pay dividends to shareholders.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$1,409 million and $1,381 million as of December 31, 2013 and 2012, respectively. The combined statutory earnings (loss) of our title insurers were $352 million, $281 million, and $151 million for the years ended December 31, 2013, 2012, and 2011, respectively.</w:t>
      </w:r>
    </w:p>
    <w:p>
      <w:pPr>
        <w:spacing w:after="0" w:line="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and surplus. Required levels of minimum capital and surplus are not significant to the insurers individually or in the aggregate. Each of our insurers has complied with the minimum statutory requirements as of December 31, 2013.</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underwritten title companies are also subject to certain regulation by insurance regulatory or banking authorities, primarily relating to minimum net</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worth. Minimum net worth requirements for each underwritten title company is less than $1 million. These companies were in compliance with their respective minimum net worth requirements at December 31, 2013.</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National Association of Insurance Commissioners ("NAIC") has adopted an instruction requiring an annual certification of reserve adequacy by a</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and Fidelity National Title. Standard &amp; Poor’s Ratings Group (“S&amp;P”), Moody’s Investors Service (“Moody’s”), and A. M. Best Company ("A.M. Best") provide ratings for the entire FNF family of companies as a whole as follows:</w:t>
      </w:r>
    </w:p>
    <w:p>
      <w:pPr>
        <w:spacing w:after="0" w:line="33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w:t>
            </w:r>
          </w:p>
        </w:tc>
      </w:tr>
      <w:tr>
        <w:trPr>
          <w:trHeight w:val="24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FNF family of companies</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w:t>
            </w: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ind w:left="660" w:right="2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"A-" rating is the eighth highest rating of 25 ratings for S&amp;P. S&amp;P states that an “A-” rating means that, in its opinion, the insurer is highly likely to have the ability to meet its financial obligations.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"A3" rating is the twelfth highest rating of 33 ratings for Moody's. Moody's states that insurance companies rated “A3” offer good financial security.</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 Best "A-" rating is the fourth highest rating of 15 ratings for A.M. Best. A.M. Best states that its “A- (Excellent)” rating is assigned to those companies that have, in its opinion, an excellent ability to meet their ongoing obligations to policyholders.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Demotech provides financial strength/stability ratings for each of our principal title insurance underwriters individually,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Chicago Title Insurance Company</w:t>
            </w:r>
          </w:p>
        </w:tc>
        <w:tc>
          <w:tcPr>
            <w:tcW w:w="42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w:t>
            </w:r>
          </w:p>
        </w:tc>
      </w:tr>
      <w:tr>
        <w:trPr>
          <w:trHeight w:val="243"/>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c>
          <w:tcPr>
            <w:tcW w:w="424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A’</w:t>
            </w: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Demotech states that its ratings of “A´´ (A double prime)” and “A´ (A prime)” reflect its opinion that, regardless of the severity of a general economic</w:t>
      </w:r>
    </w:p>
    <w:p>
      <w:pPr>
        <w:spacing w:after="0" w:line="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downturn or deterioration in the insurance cycle, the insurers assigned either of those ratings possess “Unsurpassed” financial stability related to maintaining positive surplus as regards policyholders. The “A” rating reflects Demotech's opinion that, regardless of the severity of a general economic downturn or deterioration in the insurance cycle, the insurers assigned such rating possess “Exceptional” financial stability related to maintaining positive surplus as regards policyholders. The “A´´ (A double prime)”, “A´ (A prime)” and "A" ratings are the three highest ratings of Demotech's five ratings.</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w:t>
      </w:r>
      <w:r>
        <w:rPr>
          <w:rFonts w:ascii="Times New Roman" w:cs="Times New Roman" w:eastAsia="Times New Roman" w:hAnsi="Times New Roman"/>
          <w:sz w:val="18"/>
          <w:szCs w:val="18"/>
          <w:color w:val="auto"/>
        </w:rPr>
        <w:t>— If the rating agencies downgrade our Company, our results of operations and competitive position in the title insurance industry may suffer”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Research and Development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national provider of real estate transaction products and services, we participate in an industry that is subject to significant regulatory requirements,</w:t>
      </w:r>
    </w:p>
    <w:p>
      <w:pPr>
        <w:spacing w:after="0" w:line="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Remy believes that a continued focus on research, development and engineering activities is critical to maintaining their leadership position in their industry and meeting their long-term objectives. As a result, Remy continues their commitment to invest in facilities and infrastructure in order to support new business awards and achieve their long-term growth plans.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Policies and Investment Portfolio</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investment policy is designed to maximize total return through investment income and capital appreciation consistent with moderate risk of</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core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2013 and 2012, the carrying amount, which approximates the fair value, of total investments, excluding investments in unconsolidated affiliates, was $3.4 billion and $3.7 billion, respectively.</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purchase investment grade fixed maturity securities, selected non-investment grade fixed maturity securities, preferred stock and equity securities.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in our portfolio are subject to economic conditions and normal market risks and uncertainties.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the investment ratings of our fixed maturity securities and preferred stock portfolio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2013 and 2012: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2012</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9"/>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24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Rating(1)</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5"/>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25.1</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722</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6.1</w:t>
            </w:r>
          </w:p>
        </w:tc>
      </w:tr>
      <w:tr>
        <w:trPr>
          <w:trHeight w:val="243"/>
        </w:trPr>
        <w:tc>
          <w:tcPr>
            <w:tcW w:w="2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3,110</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3,207</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ind w:left="5620" w:right="1980" w:hanging="5288"/>
        <w:spacing w:after="0" w:line="542" w:lineRule="auto"/>
        <w:tabs>
          <w:tab w:leader="none" w:pos="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as assigned by Moody’s Investors Service or Standard &amp; Poor’s Ratings Group if a Moody's rating is unavailable. 11</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 This category is composed of unrated securities.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980" w:type="dxa"/>
            <w:vAlign w:val="bottom"/>
            <w:tcBorders>
              <w:bottom w:val="single" w:sz="8" w:color="auto"/>
            </w:tcBorders>
          </w:tcPr>
          <w:p>
            <w:pPr>
              <w:spacing w:after="0"/>
              <w:rPr>
                <w:sz w:val="16"/>
                <w:szCs w:val="16"/>
                <w:color w:val="auto"/>
              </w:rPr>
            </w:pPr>
          </w:p>
        </w:tc>
      </w:tr>
      <w:tr>
        <w:trPr>
          <w:trHeight w:val="259"/>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275"/>
        </w:trPr>
        <w:tc>
          <w:tcPr>
            <w:tcW w:w="70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80" w:type="dxa"/>
            <w:vAlign w:val="bottom"/>
          </w:tcPr>
          <w:p>
            <w:pPr>
              <w:spacing w:after="0"/>
              <w:rPr>
                <w:sz w:val="17"/>
                <w:szCs w:val="17"/>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1,906</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2013, all of our mortgage-backed and asset-backed securities are rated AAA by Moody's. The mortgage-backed and asset-backed securities are made up of $77 million of agency-backed mortgage-backed securities, $27 million of agency-backed collateralized mortgage obligations, and $5 million in asset-backed securities.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prepayment penalties. Because of the potential for prepayment on mortgage-backed and asset-backed securities, they are not categorized by contractual maturity. Fixed maturity securities with an amortized cost of $1,572 million and a fair value of $1,606 million were callable or had make-whole call provisions at December 31, 2013.</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equity securities at December 31, 2013 and 2012 consisted of investments at a cost basis of $71 million and $103 million, respectively, and fair value of $136 million and $138 million, respectively. The balance of equity securities at December 31, 2013 and 2012 contains an investment in Fidelity National Information Services ("FIS") stock, a related party. During the fourth quarter of 2013, we sold 300,000 shares for a realized gain of $11 million. As of December 31, 2013 we owned 1,303,860 shares of FIS stock and the fair value of our investment in FIS stock was $70 million and $56 million as of December 31, 2013 and 2012, respectively.</w:t>
      </w:r>
    </w:p>
    <w:p>
      <w:pPr>
        <w:spacing w:after="0" w:line="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December 31, 2013 and 2012, we also held $357 million and $392 million, respectively, in investments that are accounted for using the equity method of accounting, principally our ownership interests in Ceridian.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and 2012, Other long-term investments included structured notes at a fair value of $38 million and $41 million, respectively,</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were purchased in the third quarter of 2009. Also included in Other long-term investments were investments accounted for using the cost method of accounting of $124 million and $64 million, as of December 31, 2013 and 2012, respectively.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Short-term investments, which consist primarily of commercial paper and money market instruments which have an original maturity of one year or less,</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carried at amortized cost, which approximates fair value. As of December 31, 2013 and 2012, short-term investments amounted to $26 million and $62 million, respectively.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investment results for the years ended December 31, 2013, 2012 and 2011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163</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invested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3,627</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3,698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3,792</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w w:val="9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as reported in our Consolidated Statements of Earnings has been adjusted in the presentation above to provide the tax equivalent yield on tax exempt investments.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Reserves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For information about our loss reserves, see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 Critical</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Accounting Estimates.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Operations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direct title operations are divided into approximately 150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5,000 agents, primarily in those areas in which agents are the more prevalent title insurance provider. Substantially all of our revenues are generated in the United States.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approximate dollar and percentage volumes of our title insurance premium revenue by state: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Remy generates revenue in multiple geographic locations. Revenues are attributed to geographic locations based on the point of sale.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Auto parts revenue in our Remy segment by region was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Our Restaurant Group operates and franchises restaurants in 43 states throughout the United States. All of our Restaurant Group's revenues are generated in those states.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January 24, 2014, we had approximately 63,861 full-time equivalent employees, which includes 15,929 in our Fidelity National Title segment, 32,861 in our Restaurant Group segment, 6,605 in our Remy segment, 8,084 in Black Knight and 382 in our remaining segments. We monitor our staffing levels based on current economic activity. Except for approximately 3,700 of Remy's employees, none of our employees are subject to collective bargaining agreements. We believe that our relations with employees are generally good.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by Operating Segment</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financial information by operating segment, see Note R of the Notes to Consolidated Financial Statements.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statements contained in this Form 10-K or in our other documents or in oral presentations or other statements made by our management that are not</w:t>
      </w:r>
    </w:p>
    <w:p>
      <w:pPr>
        <w:spacing w:after="0" w:line="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 comparable terminology. Actual results could differ materially from those anticipated in these statements as a result of a number of factors, including, but not limited to the following:</w:t>
      </w:r>
    </w:p>
    <w:p>
      <w:pPr>
        <w:spacing w:after="0" w:line="53" w:lineRule="exact"/>
        <w:rPr>
          <w:sz w:val="20"/>
          <w:szCs w:val="20"/>
          <w:color w:val="auto"/>
        </w:rPr>
      </w:pPr>
    </w:p>
    <w:p>
      <w:pPr>
        <w:ind w:left="5620" w:right="3020" w:hanging="5288"/>
        <w:spacing w:after="0" w:line="564" w:lineRule="auto"/>
        <w:tabs>
          <w:tab w:leader="none" w:pos="6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business, and political conditions, including changes in the financial markets; 13</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our title insurance claims;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 of our credit rating by rating agencies;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of the title insurance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that could negatively affect our financial results and impair our operating 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concentration in the State of California, the source of approximately 15.2% of our title insurance premiums;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our title insurance underwriters as our main source of cash flow;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title insurance companies;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detailed in "Risk Factors" below and elsewhere in this document and in our other filings with the SEC.</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under any obligation (and expressly disclaim any such obligation) to update or alter our forward-looking statements, whether as a result of</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information, future events or otherwise. You should carefully consider the possibility that actual results may differ materially from our forward-looking statements.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website address is www.fnf.com. We make available free of charge on or through our website our Annual Report on Form 10-K, Quarterly Reports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3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9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adverse changes in the levels of real estate activity occur, our revenues may decline.</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mortgage interest rates are high or increasing;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mortgage funding supply is limited;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United States economy is weak, including high unemployment levels.</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Declines in the level of real estate activity or the average price of real estate sales are likely to adversely affect our title insurance revenues. The Mortgage Bankers Association's ("MBA") Mortgage Finance Forecast currently estimates an approximately $1.1 trillion mortgage origination market for 2014, which would be a decrease of 38.9% from 2013. The MBA forecasts that the 38.9% decrease will result almost entirely from decreased refinance activity. Our revenues in future periods will continue to be subject to these and other factors which are beyond our control and, as a result, are likely to fluctuate.</w:t>
      </w:r>
    </w:p>
    <w:p>
      <w:pPr>
        <w:spacing w:after="0" w:line="41"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Goodwill aggregated approximately $1,901 million, or 18.1% of our total assets, as of December 31, 2013.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2013.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economic and credit market conditions deteriorate, it could have a material adverse impact on our investment portfolio.</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 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 We own a minority interest in Ceridian, a leading provider of global human capital management and payment solutions. If the fair value of this company were to decline below book value, we would be required to write down the value of our investment, which could have a material negative impact on our results of operations and financial condition. If this company were to experience significant negative volatility in its results of operations it would have a material adverse effect on our own results of operations due to our inclusion of our portion of its earnings in our results of operations.</w:t>
      </w:r>
    </w:p>
    <w:p>
      <w:pPr>
        <w:spacing w:after="0" w:line="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financial institutions at which we hold escrow funds fail, it could have a material adverse impact on our company.</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$8.8 billion at December 31, 2013.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45"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5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5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provision for claim losses was 7.0% of title premiums in 2013. We will reassess the provision to be recorded in future periods consistent with this methodology and can make no assurance that we will not need to record additional charges in the future to increase reserves in respect of prior periods.</w:t>
      </w:r>
    </w:p>
    <w:p>
      <w:pPr>
        <w:spacing w:after="0" w:line="23"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2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27"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requirements;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marketing practices;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and financing practices;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and surplus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dividends and other payments made by insurance subsidiaries;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practices;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schedules;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securities for the benefit of policyholders;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reserves;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of reinsurance.</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Regulation.”</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State regulation of the rates we charge for title insurance could adversely affect our results of operations.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w:t>
      </w:r>
    </w:p>
    <w:p>
      <w:pPr>
        <w:spacing w:after="0" w:line="41"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2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0" w:lineRule="exact"/>
        <w:rPr>
          <w:sz w:val="20"/>
          <w:szCs w:val="20"/>
          <w:color w:val="auto"/>
        </w:rPr>
      </w:pPr>
    </w:p>
    <w:p>
      <w:pPr>
        <w:ind w:left="1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upon California for approximately 15.2 percent of our title insurance premiums, our business may be adversely affected by regulatory conditions in California.</w:t>
      </w:r>
    </w:p>
    <w:p>
      <w:pPr>
        <w:spacing w:after="0" w:line="2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California is the largest source of revenue for the title insurance industry and, in 2013, California-based premiums accounted for 35.0% of premiums earned by our direct operations and 0.4% of our agency premium revenues. In the aggregate, California accounted for approximately 15.2% of our total title insurance premiums for 2013. A significant part of our revenues and profitability are therefore subject to our operations in California and to the prevailing regulatory conditions in California. Adverse regulatory developments in California, which could include reductions in the maximum rates permitted to be charged, inadequate rate increases or more fundamental changes in the design or implementation of the California title insurance regulatory framework, could have a material adverse effect on our results of operations and financial condition.</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the rating agencies downgrade our Company, our results of operations and competitive position in the title insurance industry may suffer.</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45" w:lineRule="exact"/>
        <w:rPr>
          <w:sz w:val="20"/>
          <w:szCs w:val="20"/>
          <w:color w:val="auto"/>
        </w:rPr>
      </w:pPr>
    </w:p>
    <w:p>
      <w:pPr>
        <w:jc w:val="both"/>
        <w:ind w:lef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4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has stated that we may make acquisitions in lines of business that are not directly tied to or synergistic with our core operating segments. Accordingly, we have in the past acquired, and may in the future acquire, businesses in industries or</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4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a holding company and depend on distributions from our subsidiaries for cash.</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2014, our title insurers may pay dividends or make distributions to us without prior regulatory approval of approximately $308 million.</w:t>
      </w:r>
    </w:p>
    <w:p>
      <w:pPr>
        <w:spacing w:after="0" w:line="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49" w:lineRule="exact"/>
        <w:rPr>
          <w:sz w:val="20"/>
          <w:szCs w:val="20"/>
          <w:color w:val="auto"/>
        </w:rPr>
      </w:pPr>
    </w:p>
    <w:p>
      <w:pPr>
        <w:ind w:lef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have conflicts with Fidelity National Information Services ("FIS"), and our chairman of our Board of Directors and other officers and directors could have conflicts of interest due to their relationships with FIS.</w:t>
      </w:r>
    </w:p>
    <w:p>
      <w:pPr>
        <w:spacing w:after="0" w:line="2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FIS and FNF were under common ownership by another publicly traded company, also called Fidelity National Financial, Inc. (“Old FNF”) until October 2006, when Old FNF distributed all of its FNF shares to the stockholders of Old FNF (the "2006 Distribution"). In November 2006, Old FNF then merged into FIS.</w:t>
      </w:r>
    </w:p>
    <w:p>
      <w:pPr>
        <w:spacing w:after="0" w:line="4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Conflicts may arise between us and FIS as a result of our ongoing agreements and the nature of our respective businesses. Certain of our executive officers and directors could be subject to conflicts of interest with respect to such agreements and other matters due to their relationships with FIS.</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Some of our executive officers and directors own substantial amounts of FIS stock and stock options. Such ownership could create or appear to create potential conflicts of interest when our directors and officers are faced with decisions that involve FIS or any of its subsidiaries.</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 P. Foley, II, is the executive chairman of our Board of Directors and the Vice Chairman of the Board of FIS. As a result of these roles, he has obligations to us and FIS and may have conflicts of interest with respect to matters potentially or actually involving or affecting our and FIS’s respective businesses. In addition, Mr. Foley may also have conflicts of time with respect to his multiple responsibilities. If his duties to either of these companies require more time than Mr. Foley is able to allot, then his oversight of that company’s activities could be diminished. Finally, in addition to Mr. Foley, FIS and FNF have two overlapping directors.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Matters that could give rise to conflicts between us and FIS include, among other things:</w:t>
      </w:r>
    </w:p>
    <w:p>
      <w:pPr>
        <w:spacing w:after="0" w:line="90" w:lineRule="exact"/>
        <w:rPr>
          <w:sz w:val="20"/>
          <w:szCs w:val="20"/>
          <w:color w:val="auto"/>
        </w:rPr>
      </w:pPr>
    </w:p>
    <w:p>
      <w:pPr>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and future relationships with FIS, including related party agreements and other arrangements with respect to the information technology support services, administrative corporate support and cost sharing services, indemnification, and other matters; and</w:t>
      </w: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pricing of services that we have agreed to provide to FIS or that it has agreed to provide to us.</w:t>
      </w:r>
    </w:p>
    <w:p>
      <w:pPr>
        <w:spacing w:after="0" w:line="72" w:lineRule="exact"/>
        <w:rPr>
          <w:sz w:val="20"/>
          <w:szCs w:val="20"/>
          <w:color w:val="auto"/>
        </w:rPr>
      </w:pPr>
    </w:p>
    <w:p>
      <w:pPr>
        <w:jc w:val="both"/>
        <w:ind w:left="60" w:firstLine="324"/>
        <w:spacing w:after="0" w:line="266" w:lineRule="auto"/>
        <w:rPr>
          <w:sz w:val="20"/>
          <w:szCs w:val="20"/>
          <w:color w:val="auto"/>
        </w:rPr>
      </w:pPr>
      <w:r>
        <w:rPr>
          <w:rFonts w:ascii="Times New Roman" w:cs="Times New Roman" w:eastAsia="Times New Roman" w:hAnsi="Times New Roman"/>
          <w:sz w:val="18"/>
          <w:szCs w:val="18"/>
          <w:color w:val="auto"/>
        </w:rPr>
        <w:t>We seek to manage these potential conflicts through dispute resolution and other provisions of our agreements with FIS and through oversight by independent members of our Board of Directors. However, there can be no assurance that such measures will be effective or that we will be able to resolve all potential conflicts with FIS, or that the resolution of any such conflicts will be no less favorable to us than if we were dealing with a third party.</w:t>
      </w:r>
    </w:p>
    <w:p>
      <w:pPr>
        <w:spacing w:after="0" w:line="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personnel could negatively affect our financial results and impair our operating abilities.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jc w:val="both"/>
        <w:ind w:right="20"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expect that our acquisition of LPS will result in cost savings, synergies and other benefits to us, we may not realize those benefits because of integration difficulties and other challenges.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acquisition of LPS will depend in large part on the success of the management of the combined company in integrating the operations, strategies, technologies and personnel of the two companies following the completion of the merger. We may fail to realize some or all of the anticipated benefits of the merger if the integration process takes longer than expected or is more costly than expected. Our failure to meet the challenges involved in successfully integrating the operations of LPS or to otherwise realize any of the anticipated benefits of the merger, including additional cost savings and synergies, could impair our operations. In addition, we anticipate that the overall integration of LPS will be a time-consuming and expensive process that, without proper planning and effective and timely implementation, could significantly disrupt our business.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difficulties the combined company may encounter in the integration process include the following:</w:t>
      </w:r>
    </w:p>
    <w:p>
      <w:pPr>
        <w:spacing w:after="0" w:line="117"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management teams, strategies, technologies and operations, products and services;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ongoing businesses and distraction of their respective management teams from ongoing business concerns;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and possible decrease in business from the existing clients of both companies;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of uniform standards, controls, procedures, policies and information systems;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the costs associated with each company’s operations;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and rationalization of information technology platforms and administrative infrastructures;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corporate cultures and maintenance of employee morale;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retention of key employees;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associated with the merger.</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anticipated cost savings, synergies and other benefits include the combination of offices in various locations and the elimination of numerous technology systems, duplicative personnel and duplicative market and other data sources. However, these anticipated cost savings, synergies and other benefits assume a successful integration and are based on projections, which are inherently uncertain, and other assumptions. Even if integration is successful, anticipated cost savings, synergies and other benefits may not be achieved.</w:t>
      </w:r>
    </w:p>
    <w:p>
      <w:pPr>
        <w:spacing w:after="0" w:line="68" w:lineRule="exact"/>
        <w:rPr>
          <w:sz w:val="20"/>
          <w:szCs w:val="20"/>
          <w:color w:val="auto"/>
        </w:rPr>
      </w:pPr>
    </w:p>
    <w:p>
      <w:pPr>
        <w:jc w:val="both"/>
        <w:ind w:firstLine="24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2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core operations are highly dependent upon the effective operation of our computer systems. As part of our core operations, we electronically receive, process, store and transmit sensitive personal consumer data (such as names and addresses, social security numbers, driver's license numbers, credit card and bank account information) and important business information of our customers. We also electronically manage substantial cash, investment asset and escrow account balances on behalf of ourselves and our customers, as well as financial information about our businesses generally. The integrity of our information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IT services) maintain a reasonable, industry standard information security infrastructure, it is possible that unauthorized persons still could obtain access to information or assets we hold. These risks are increased when we transmit information over the Internet and due to increasing security risks posed by organized crime. While, to date, we believe that we have not experienced a material breach of our information security systems, the existence or scope of such events is not always apparent. If additional information regarding an incident previously considered immaterial is discovered, or a new event were to occur, it could potentially have a material adverse effect on us. In addition, some laws and certain of our contracts require notification of various parties, including consumers or customers, in the event that confidential or personal information has or may have been taken or accessed by unauthorized third parties. Such notifications can result, among other things, in adverse publicity, distraction of managements’ time and energy, the attention of regulatory authorities, fines and disruptions in sales, the effects of which may be material.</w:t>
      </w:r>
    </w:p>
    <w:p>
      <w:pPr>
        <w:spacing w:after="0" w:line="6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 our financial institution customers have obligations to safeguard their information technology systems and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if more restrictive privacy laws, rules or industry security requirements are adopted in the future on the federal or state level or by a specific industry in which we do business, that could have an adverse impact on us through increased costs or restrictions on business processes. Any inability to prevent security or privacy breaches, or the perception that such breaches may occur, could inhibit our ability to retain existing customers or attract new customers and/or result in financial losses, litigation, increased costs or other adverse consequences to our business.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could be adversely affected by the results of our acquired restaurant companies due to the risks inherent in that segment.</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acquired restaurant companies face certain risks that could negatively impact their results of operations. These risks include such things as the risks of unfavorable economic conditions, changing consumer preferences, unfavorable publicity, increasing food and labor costs, effectiveness of marketing campaigns, and the ability to compete successfully with other restaurants. In addition, risks related to supply chain, food quality, and protecting guests' personal information are inherent to the restaurant business. These companies are also subject to compliance with extensive government laws and regulations related to employment practices and policies and the manufacture, preparation, and sale of food and alcohol. If our restaurant companies are not able to respond effectively to one or more of these risks, it could have a material adverse impact on the results of operations of those businesses.</w:t>
      </w:r>
    </w:p>
    <w:p>
      <w:pPr>
        <w:spacing w:after="0" w:line="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and results of operations could be adversely affected by risks affecting Remy.</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material adverse change in Remy's financial position or results of operations could adversely affect our financial position or results of operations. Remy's results are affected by factors such as general economic conditions, levels of demand for new light and commercial vehicles, fuel prices, the product life of new and replacement parts, product liability and warranty claims related to its products, litigation and other disputes, and changes in the cost and availability of raw materials and components utilized in the manufacturing of its products. In addition, Remy's results also are influenced by technological innovations, relationships with its key customers and their success in the marketplace, and Remy's ability to compete successfully with its competitors. If Remy is not able to respond effectively to one or more of these risks, it could have a material adverse impact on its results of operations, which, in turn, would adversely impact our financial condition and results of operations.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international reach of its business, Remy is also subject to risks inherent in conducting business outside the United States, including foreign currency fluctuations, local political climates, export and import restrictions, and compliance with government laws and regulations such as the U.S. Foreign Corrupt Practices Act and the U.S. Export Administration Act. Any failure to manage these risks and requirements could harm Remy's business, financial condition or results of operations, which would similarly affect our financial condition and results of operations.</w:t>
      </w:r>
    </w:p>
    <w:p>
      <w:pPr>
        <w:spacing w:after="0" w:line="6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Fidelity National Title Group</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Fidelity National Title Group's corporate headquarters are on our campus in Jacksonville, Florida. The majority of our branch offices are leased from third parties (see Note M to Notes to Consolidated Financial Statements). Our subsidiaries conduct their business operations primarily in leased office space in 42 states, Washington, DC, Puerto Rico, Canada, India and Mexico.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 Knight</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Black Knight corporate headquarters are located in Jacksonville, Florida, in an owned facility. Black Knight also owns one facility in Sharon, Pennsylvania, and leases office space throughout the United States.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Remy's world headquarters are located in Pendleton, Indiana. The majority of Remy's facilities, including the world headquarters are leased from third parties (see Note M to Notes to Consolidated Financial Statements). Remy's subsidiaries conduct their business operations in 10 countries including the United States, Belgium, Hungary, the United Kingdom, Brazil, Canada, China, Mexico, South Korea and Tunisia.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Restaurant Group's headquarters are located in Nashville, Tennessee with other office locations in Woburn, Massachusetts and 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the restaurants are leased from third parties, and are located in 43 states.</w:t>
      </w:r>
    </w:p>
    <w:p>
      <w:pPr>
        <w:spacing w:after="0" w:line="20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92"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 description of our legal proceedings see discussion of </w:t>
      </w:r>
      <w:r>
        <w:rPr>
          <w:rFonts w:ascii="Times New Roman" w:cs="Times New Roman" w:eastAsia="Times New Roman" w:hAnsi="Times New Roman"/>
          <w:sz w:val="18"/>
          <w:szCs w:val="18"/>
          <w:i w:val="1"/>
          <w:iCs w:val="1"/>
          <w:color w:val="auto"/>
        </w:rPr>
        <w:t>Legal and Regulatory Contingencies</w:t>
      </w:r>
      <w:r>
        <w:rPr>
          <w:rFonts w:ascii="Times New Roman" w:cs="Times New Roman" w:eastAsia="Times New Roman" w:hAnsi="Times New Roman"/>
          <w:sz w:val="18"/>
          <w:szCs w:val="18"/>
          <w:color w:val="auto"/>
        </w:rPr>
        <w:t xml:space="preserve"> in Note M to the Consolidated Financial Statements included in Item 8 of Part II of this Report, which is incorporated by reference into this Part I, Item 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219"/>
          </w:cols>
          <w:pgMar w:left="240" w:top="121" w:right="1440"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trades on the New York Stock Exchange under the ticker symbol "FNF." The table set forth below provides the high and low closing sales prices of the common stock and cash dividends declared per share of common stock for each quarter during 2013 and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Price High</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Price Low</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95"/>
        </w:trPr>
        <w:tc>
          <w:tcPr>
            <w:tcW w:w="778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70"/>
        </w:trPr>
        <w:tc>
          <w:tcPr>
            <w:tcW w:w="77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21"/>
                <w:szCs w:val="21"/>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concerning securities authorized for issuance under our equity compensation plans will be included in Item 12 of Part III of this report.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Set forth below is a graph comparing cumulative total shareholder return on our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2013.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2008, with dividends reinvested over the periods indicated.</w:t>
      </w:r>
    </w:p>
    <w:p>
      <w:pPr>
        <w:spacing w:after="0" w:line="4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Among Fidelity National Financial, Inc., the S&amp;P 500 Index</w:t>
      </w:r>
    </w:p>
    <w:p>
      <w:pPr>
        <w:spacing w:after="0" w:line="9"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and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142875</wp:posOffset>
            </wp:positionV>
            <wp:extent cx="6817995" cy="3481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7995"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195"/>
        </w:trPr>
        <w:tc>
          <w:tcPr>
            <w:tcW w:w="29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12/31/2008</w:t>
            </w:r>
          </w:p>
        </w:tc>
        <w:tc>
          <w:tcPr>
            <w:tcW w:w="11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12/31/2009</w:t>
            </w:r>
          </w:p>
        </w:tc>
        <w:tc>
          <w:tcPr>
            <w:tcW w:w="12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12/31/2010</w:t>
            </w:r>
          </w:p>
        </w:tc>
        <w:tc>
          <w:tcPr>
            <w:tcW w:w="118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12/31/2011</w:t>
            </w:r>
          </w:p>
        </w:tc>
        <w:tc>
          <w:tcPr>
            <w:tcW w:w="11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12/31/2012</w:t>
            </w:r>
          </w:p>
        </w:tc>
        <w:tc>
          <w:tcPr>
            <w:tcW w:w="10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12/31/2013</w:t>
            </w:r>
          </w:p>
        </w:tc>
      </w:tr>
      <w:tr>
        <w:trPr>
          <w:trHeight w:val="394"/>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Fidelity National Financial, Inc.</w:t>
            </w:r>
          </w:p>
        </w:tc>
        <w:tc>
          <w:tcPr>
            <w:tcW w:w="1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100.00</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78.95</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84.24</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101.25</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154.10</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217.89</w:t>
            </w: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S&amp;P 500</w:t>
            </w:r>
          </w:p>
        </w:tc>
        <w:tc>
          <w:tcPr>
            <w:tcW w:w="1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100.00</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126.46</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145.51</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148.59</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172.37</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228.19</w:t>
            </w:r>
          </w:p>
        </w:tc>
      </w:tr>
      <w:tr>
        <w:trPr>
          <w:trHeight w:val="27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Peer Group</w:t>
            </w:r>
          </w:p>
        </w:tc>
        <w:tc>
          <w:tcPr>
            <w:tcW w:w="19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100.00</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108.97</w:t>
            </w:r>
          </w:p>
        </w:tc>
        <w:tc>
          <w:tcPr>
            <w:tcW w:w="12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89.23</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78.41</w:t>
            </w:r>
          </w:p>
        </w:tc>
        <w:tc>
          <w:tcPr>
            <w:tcW w:w="11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155.48</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187.00</w:t>
            </w:r>
          </w:p>
        </w:tc>
      </w:tr>
    </w:tbl>
    <w:p>
      <w:pPr>
        <w:spacing w:after="0" w:line="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31, 2014, the last reported sale price of our common stock on the New York Stock Exchange was $31.54 per share and we had approximately 10,119 stockholders of record.</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28, 2014, our Board of Directors formally declared an $0.18 per share cash dividend that is payable on March 31, 2014 to stockholders of record as of March 17, 2014.</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current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2013, $1,909 million of our net assets are restricted from dividend payments without prior approval from the Departments of Insurance in the States where our title insurance subsidiaries are domiciled. During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2014, our directly owned title insurance subsidiaries can pay dividends or make distributions to us of approximately $308 million without prior approval. The limits placed on such subsidiaries’ abilities to pay dividends affect our ability to pay dividends.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year end, on January 2, 2014 as part of the LPS Acquisition, we issued $837 million or 25,920,078 shares of FNF common stock as consideration for the LPS Acquisition to the former shareholders of LPS.</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21, 2009, the Board of Directors approved a three-year stock repurchase program under which we can repurchase up to 15 million shares of our common stock through July 31, 2012. On January 27, 2011, our Board of Directors approved an additional 5 million shares that may be repurchased under the program. This program expired July 31, 2012, and we repurchased a total of 16,528,512 shares for $243 million, or an average of $14.73 per share under this program.</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2013, we repurchased a total of 1,400,000 shares for $34 million, or an average of $24.14 per share under this program. Subsequent to year-end we did not repurchase any shares through market close on February 27, 2014. Since the original commencement of the plan adopted July 21, 2012, we have repurchased a total of 2,080,000 shares for $50 million, or an average of $23.90 per share, and there are 12,920,000 shares available to be repurchased under this program. For more information, see “Liquidity and Capital Resources” in Item 7 of this Form 10-K.</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FNF during the year ending December 31, 2013:</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2"/>
                <w:szCs w:val="12"/>
                <w:color w:val="auto"/>
              </w:rPr>
            </w:pPr>
          </w:p>
        </w:tc>
        <w:tc>
          <w:tcPr>
            <w:tcW w:w="1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 (2)</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1/1/2013 - 1/31/2013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60,000</w:t>
            </w:r>
          </w:p>
        </w:tc>
        <w:tc>
          <w:tcPr>
            <w:tcW w:w="5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60,000</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14,260,000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2/1/2013 - 2/28/2013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80,000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80,000</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14,180,000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3/1/2013 - 3/31/2013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1,260,000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1,260,000</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4/1/2013 - 4/30/2013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5/1/2013 - 5/31/2013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6/1/2013 - 6/30/2013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7/1/2013 - 7/31/2013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8/1/2013 - 8/31/2013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9/1/2013 - 9/30/2013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10/1/2013 - 10/31/2013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11/1/2013 - 11/30/2013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12/1/2013 - 12/31/2013</w:t>
            </w:r>
          </w:p>
        </w:tc>
        <w:tc>
          <w:tcPr>
            <w:tcW w:w="1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12,920,000</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1,400,000</w:t>
            </w:r>
          </w:p>
        </w:tc>
        <w:tc>
          <w:tcPr>
            <w:tcW w:w="5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1,400,000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98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21, 2012, our Board of Directors approved a new three-year stock repurchase program, effective August 1, 2012. Under the stock repurchase program, we can repurchase up to 15 million shares of our common stock.</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(2)As of the last day of the applicable month.</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Selected Financial Data</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2013 presentation.</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9, 2012, we successfully closed a tender offer for the outstanding common stock of O'Charley's Inc. We have consolidated the results of O'Charley's as of April 9, 2012. On May 11, 2012, we merged O'Charley's with our investment in ABRH in exchange for an increase in our ownership position in ABRH from 45% to 55%. We have consolidated the operations of ABRH with the O'Charley's group of companies, beginning on May 11, 2012.</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center"/>
              <w:ind w:left="4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10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2010</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2009(1)</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(Dollars in millions, except share data)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5,521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1,620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auto parts revenue</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restaurant revenues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7,914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5,206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48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before income taxes, equity in (loss) earnings of unconsolidated</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affiliates, and noncontrolling interest</w:t>
            </w:r>
          </w:p>
        </w:tc>
        <w:tc>
          <w:tcPr>
            <w:tcW w:w="3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before equity in (loss) earnings of unconsolidated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 earnings of unconsolidated affiliates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earnings from discontinued operations, net of tax</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FNF common shareholders</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99"/>
              </w:rPr>
              <w:t>2011</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2010</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2009(1)</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Times New Roman" w:cs="Times New Roman" w:eastAsia="Times New Roman" w:hAnsi="Times New Roman"/>
                <w:sz w:val="14"/>
                <w:szCs w:val="14"/>
                <w:b w:val="1"/>
                <w:bCs w:val="1"/>
                <w:color w:val="auto"/>
              </w:rPr>
              <w:t>(Dollars in millions, except share data)</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earnings per share attributable to FNF common shareholders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0.99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 basis (2)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219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225</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earnings per share attributable to FNF common shareholders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0.97</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 basis (2)</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226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229</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229</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0.66</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0.58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0.48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0.69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0.60</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3,791</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4,053</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4,052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4,359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4,686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(4)</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1,969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1,132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665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10,524</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9,903</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7,862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7,888</w:t>
            </w: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7,934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1,323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1,344</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916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952</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862</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Reserve for title claim losses (5)</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1,636</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1,748</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1,913</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2,270</w:t>
            </w: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5,542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4,749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3,655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3,444</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3,345</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 value per share (6)</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22.14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20.78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16.57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15.39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14.53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2,181</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2,702</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2,140</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2,385</w:t>
            </w:r>
          </w:p>
        </w:tc>
        <w:tc>
          <w:tcPr>
            <w:tcW w:w="280" w:type="dxa"/>
            <w:vAlign w:val="bottom"/>
          </w:tcPr>
          <w:p>
            <w:pPr>
              <w:spacing w:after="0"/>
              <w:rPr>
                <w:sz w:val="21"/>
                <w:szCs w:val="21"/>
                <w:color w:val="auto"/>
              </w:rPr>
            </w:pPr>
          </w:p>
        </w:tc>
        <w:tc>
          <w:tcPr>
            <w:tcW w:w="8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2,611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1,708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1,867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1,514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1,574</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1,792</w:t>
            </w:r>
          </w:p>
        </w:tc>
      </w:tr>
      <w:tr>
        <w:trPr>
          <w:trHeight w:val="225"/>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premiums (5)</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Title related revenue (7):</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jc w:val="both"/>
        <w:ind w:left="660" w:hanging="328"/>
        <w:spacing w:after="0" w:line="255"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for the year ended December 31, 2009, include a decrease to our provision for claim losses of $74 million ($47 million net of income taxes) as a result of favorable claim loss development on prior policy years, offset by an increase to the provision for claim losses of $63 million ($40 million net of income taxes) as a result of unfavorable developments in the third quarter on a previously recorded insurance receivable.</w:t>
      </w:r>
    </w:p>
    <w:p>
      <w:pPr>
        <w:spacing w:after="0" w:line="26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shares outstanding as of December 31, 2013 includes 19,837,500 shares that were issued as part of an equity offering by FNF on October 31, 2013 and weighted average shares outstanding as of December 31, 2009 includes 18,170,000 shares that were issued as part of an equity offering by FNF on April 20, 2009.</w:t>
      </w:r>
    </w:p>
    <w:p>
      <w:pPr>
        <w:spacing w:after="0" w:line="4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investments as of December 31, 2013, 2012, 2011, 2010, and 2009, include securities pledged to secured trust deposits of $261 million, $275 million, $274 million, $252 million, and $289 million, respectively.</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of December 31, 2013, 2012, 2011, 2010, and 2009 include cash pledged to secured trust deposits of $339 million, $266 million, $162 million, $146 million, and $97 million, respectively.</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favorable title insurance claim loss development on prior policy years, we recorded a credit in 2009 totaling $74 million, ($47 million net of income taxes) to our provision for claims losses. This credit was recorded in addition to our average provision for claim losses of 7.3% for the year ended December 31, 2009.</w:t>
      </w:r>
    </w:p>
    <w:p>
      <w:pPr>
        <w:spacing w:after="0" w:line="4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as equity at December 31 of each year presented divided by actual shares outstanding at December 31 of each year presented.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title insurance premiums and escrow, title-related and other fees.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7"/>
          <w:szCs w:val="17"/>
          <w:b w:val="1"/>
          <w:bCs w:val="1"/>
          <w:color w:val="auto"/>
        </w:rPr>
        <w:t>Selected Quarterly Financial Data (Unaudited)</w:t>
      </w:r>
    </w:p>
    <w:p>
      <w:pPr>
        <w:spacing w:after="0" w:line="187" w:lineRule="exact"/>
        <w:rPr>
          <w:sz w:val="20"/>
          <w:szCs w:val="20"/>
          <w:color w:val="auto"/>
        </w:rPr>
      </w:pPr>
    </w:p>
    <w:p>
      <w:pPr>
        <w:jc w:val="right"/>
        <w:ind w:right="7820"/>
        <w:spacing w:after="0"/>
        <w:rPr>
          <w:sz w:val="20"/>
          <w:szCs w:val="20"/>
          <w:color w:val="auto"/>
        </w:rPr>
      </w:pPr>
      <w:r>
        <w:rPr>
          <w:rFonts w:ascii="Times New Roman" w:cs="Times New Roman" w:eastAsia="Times New Roman" w:hAnsi="Times New Roman"/>
          <w:sz w:val="18"/>
          <w:szCs w:val="18"/>
          <w:color w:val="auto"/>
        </w:rPr>
        <w:t>Selected quarterly financial data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7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2013</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2,041</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2,279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2,174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equity in (loss) earnings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unconsolidated affiliates, 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Fidelity National Financial, Inc. common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0.62</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0.30</w:t>
            </w: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Fidelity National Financial, Inc. common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0.39</w:t>
            </w: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0.61</w:t>
            </w:r>
          </w:p>
        </w:tc>
        <w:tc>
          <w:tcPr>
            <w:tcW w:w="26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0.18</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2012</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1,727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2,225</w:t>
            </w: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 equity in (loss) earnings</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unconsolidated affiliates, and noncontrolling interest</w:t>
            </w:r>
          </w:p>
        </w:tc>
        <w:tc>
          <w:tcPr>
            <w:tcW w:w="2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220</w:t>
            </w:r>
          </w:p>
        </w:tc>
        <w:tc>
          <w:tcPr>
            <w:tcW w:w="26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147</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r>
      <w:tr>
        <w:trPr>
          <w:trHeight w:val="225"/>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earnings per share attributable to Fidelity National Financial, Inc. common</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34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0.67</w:t>
            </w:r>
          </w:p>
        </w:tc>
        <w:tc>
          <w:tcPr>
            <w:tcW w:w="260" w:type="dxa"/>
            <w:vAlign w:val="bottom"/>
          </w:tcPr>
          <w:p>
            <w:pPr>
              <w:spacing w:after="0"/>
              <w:rPr>
                <w:sz w:val="20"/>
                <w:szCs w:val="20"/>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 attributable to Fidelity National Financial, Inc. common</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0.33</w:t>
            </w: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0.65</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paid per share</w:t>
            </w: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3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0.16</w:t>
            </w:r>
          </w:p>
        </w:tc>
      </w:tr>
      <w:tr>
        <w:trPr>
          <w:trHeight w:val="810"/>
        </w:trPr>
        <w:tc>
          <w:tcPr>
            <w:tcW w:w="606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Notes thereto and Selected Financial Data included elsewhere in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and Alamo Title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("BKFS") and ServiceLink Holdings, LLC ("ServiceLink"). In addition, we own majority and minority equity investment stakes in a number of entities, including American Blue Ribbon Holdings, LLC ("ABRH"), J. Alexander’s, LLC ("J. Alexander's"), Remy International, Inc. ("Remy"), Ceridian HCM, Inc., Comdata Inc. (collectively "Ceridian") and Digital Insurance, Inc. ("Digital Insurance").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we had five reporting segments as follows: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Core Operations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Fidelity National Title Group. </w:t>
      </w:r>
      <w:r>
        <w:rPr>
          <w:rFonts w:ascii="Times New Roman" w:cs="Times New Roman" w:eastAsia="Times New Roman" w:hAnsi="Times New Roman"/>
          <w:sz w:val="18"/>
          <w:szCs w:val="18"/>
          <w:color w:val="auto"/>
        </w:rPr>
        <w:t>This segment consists of the operations of our title insurance underwriters and related businesses. This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19" w:lineRule="exact"/>
        <w:rPr>
          <w:rFonts w:ascii="Times New Roman" w:cs="Times New Roman" w:eastAsia="Times New Roman" w:hAnsi="Times New Roman"/>
          <w:sz w:val="18"/>
          <w:szCs w:val="18"/>
          <w:color w:val="auto"/>
        </w:rPr>
      </w:pPr>
    </w:p>
    <w:p>
      <w:pPr>
        <w:ind w:left="660" w:right="20" w:hanging="409"/>
        <w:spacing w:after="0" w:line="284"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FNF Corporate and Other. </w:t>
      </w:r>
      <w:r>
        <w:rPr>
          <w:rFonts w:ascii="Times New Roman" w:cs="Times New Roman" w:eastAsia="Times New Roman" w:hAnsi="Times New Roman"/>
          <w:sz w:val="18"/>
          <w:szCs w:val="18"/>
          <w:color w:val="auto"/>
        </w:rPr>
        <w:t>The FNF corporate and other segment consists of the operations of the parent holding company, certain other unallocated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overhead expenses, and other smaller real estate and insurance related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Company Investments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Remy. </w:t>
      </w:r>
      <w:r>
        <w:rPr>
          <w:rFonts w:ascii="Times New Roman" w:cs="Times New Roman" w:eastAsia="Times New Roman" w:hAnsi="Times New Roman"/>
          <w:sz w:val="18"/>
          <w:szCs w:val="18"/>
          <w:color w:val="auto"/>
        </w:rPr>
        <w:t>This segment consists of the operations of Remy, in which we have a 51% ownership interest. Remy is a leading designer, manufacturer,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remanufacturer, marketer and distributor of aftermarket and original equipment components for automobiles, light trucks, heavy-duty trucks and other vehicles.</w:t>
      </w:r>
    </w:p>
    <w:p>
      <w:pPr>
        <w:spacing w:after="0" w:line="119" w:lineRule="exact"/>
        <w:rPr>
          <w:rFonts w:ascii="Times New Roman" w:cs="Times New Roman" w:eastAsia="Times New Roman" w:hAnsi="Times New Roman"/>
          <w:sz w:val="18"/>
          <w:szCs w:val="18"/>
          <w:i w:val="1"/>
          <w:iCs w:val="1"/>
          <w:color w:val="auto"/>
        </w:rPr>
      </w:pPr>
    </w:p>
    <w:p>
      <w:pPr>
        <w:jc w:val="both"/>
        <w:ind w:left="660" w:hanging="409"/>
        <w:spacing w:after="0" w:line="267"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The Restaurant Group segment consists of the operations of ABRH, in which we have a 55% ownership interest. ABRH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and operator of the O'Charley's, Ninety Nine Restaurants, Max &amp; Erma's, Village Inn and Bakers Square concepts. This segment also includes J. Alexander's, which includes the Stoney River Legendary Steaks ("Stoney River") concept.</w:t>
      </w:r>
    </w:p>
    <w:p>
      <w:pPr>
        <w:spacing w:after="0" w:line="119" w:lineRule="exact"/>
        <w:rPr>
          <w:rFonts w:ascii="Times New Roman" w:cs="Times New Roman" w:eastAsia="Times New Roman" w:hAnsi="Times New Roman"/>
          <w:sz w:val="18"/>
          <w:szCs w:val="18"/>
          <w:color w:val="auto"/>
        </w:rPr>
      </w:pPr>
    </w:p>
    <w:p>
      <w:pPr>
        <w:ind w:left="660" w:hanging="409"/>
        <w:spacing w:after="0" w:line="284" w:lineRule="auto"/>
        <w:tabs>
          <w:tab w:leader="none" w:pos="6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Portfolio Company Corporate and Other. </w:t>
      </w:r>
      <w:r>
        <w:rPr>
          <w:rFonts w:ascii="Times New Roman" w:cs="Times New Roman" w:eastAsia="Times New Roman" w:hAnsi="Times New Roman"/>
          <w:sz w:val="18"/>
          <w:szCs w:val="18"/>
          <w:color w:val="auto"/>
        </w:rPr>
        <w:t>The Portfolio Company Corporate and Other segment primarily consists of our share in the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equity investments, including Ceridian, Digital Insurance and other smaller operations which are not title related.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2014 we announced our plans to form a new tracking stock for Fidelity National Financial Ventures (“FNFV”). As a result, we have decided to begin separately reporting the results of our core operations, which includes Fidelity National Title Group, Inc. (“FNT”), BKFS, ServiceLink and the portfolio company investments which include Remy, the Restaurant Group, Digital Insurance and other smaller operations. The portfolio company investments will comprise FNFV in the future.</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13, 2014, Remy announced that they acquired substantially all of the assets of United Starters and Alternators Industries, Inc. ("USA Industries") pursuant to the terms and conditions of the Asset Purchase Agreement, effective as of January 13, 2014. USA Industries is a leading worldwide distributor of premium quality re-manufactured and new alternators, starters, constant velocity axles and disc brake calipers for the light-duty aftermarket. Total consideration paid was $41million.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per share of LPS common stock. Total consideration paid for LPS was $3.4 billion, which consisted of $2,535 million in cash and $836 million in FNF common stock. In order to pay the stock component of the consideration, we issued 25,920,078 shares to the former LPS shareholders.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19,837,500 shares were issued on October 30, 2013, for net proceeds of approximately $511 million. The net proceeds from this offering were used to pay a portion of the cash consideration for the LPS Acquisition on January 2, 2014.</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Subsequent to our announcement of the LPS acquisition, we formed a wholly-owned subsidiary, Black Knight Financial Services, Inc. (now known as Black Knight Holdings, Inc., "Black Knight"). Black Knight is the mortgage and finance industries' leading provider of integrated technology, data and analytics solutions, and transaction services. Black Knight has two operating segments, ServiceLink and BKFS. We retained a 65% ownership interest in each of the subsidiaries and issued the remaining 35% ownership interest to funds affiliated with Thomas H. Lee Partners, and certain related entities on January 3, 2014. Black Knight, through ServiceLink and BKFS, now owns and operates the former LPS businesses and our ServiceLink business. Fidelity National Title Group, BKFS and ServiceLink will be our core operating subsidiaries in the future.</w:t>
      </w:r>
    </w:p>
    <w:p>
      <w:pPr>
        <w:spacing w:after="0" w:line="5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25, 2013, we formed J. Alexander's, a restaurant company which is focused on the upscale-casual dining segment. J. Alexander's consists of thirty J. Alexander's locations and ten Stoney River locations. ABRH contributed the ten Stoney River locations to J. Alexander's for an approximate 28% ownership interest in the new company, giving us an overall 87% ownership interest in J. Alexander's. The operations of J. Alexander's are consolidated in our existing Restaurant Group segment. Previously, in September 2012 we purchased all of the outstanding common stock of J. Alexander's Corporation for total consideration of $72 million in cash, net of cash acquired of $7 million.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statements reflect transactions with Fidelity National Information Services ("FIS"), which is a related party. See Note A of the Notes to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Conditions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Core Operations</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Declines in the level of real estate activity or the average price of real estate sales will adversely affect our title insurance revenues.</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found that residential real estate activity is generally dependent on the following:</w:t>
      </w:r>
    </w:p>
    <w:p>
      <w:pPr>
        <w:spacing w:after="0" w:line="9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interest rates;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mortgage funding supply;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including employment levels.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2007, as interest rates on adjustable rate mortgages reset to higher rates, foreclosures on subprime mortgage loans increased to record levels. This resulted in a significant decrease in levels of available mortgage funding as investors became wary of the risks associated with investing in subprime mortgage loans. In addition, tighter lending standards and a bearish outlook on the real estate environment caused potential home buyers to become reluctant to purchase homes. In 2008, the increase in foreclosure activity, which had previously been limited to the subprime mortgage market, became more widespread as borrowers encountered difficulties in attempting to refinance their adjustable rate mortgages. In the last three years, the elevated mortgage delinquency and default rates caused negative operating results at a number of banks and financial institutions and, as a result, significantly reduced the level of lending activity. Multiple banks have failed from 2009-2012, further reducing the capacity of the mortgage industry to make loans.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December 2008, the Federal Reserve has held the federal funds rate at 0.0%-0.25%, and has indicated that rates will stay at this level at least until unemployment rates improve. Mortgage interest rates remained at historically low levels throughout 2013, however, in September 2013 interest rates rose to their highest level since 2011.</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January 14, 2014, the Mortgage Banker's Association ("MBA") estimated the size of the U.S. mortgage originations market as shown in the following table for 2013 - 2015 in their "Mortgage Finance Forecast" (in trillions):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transactions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0.6</w:t>
            </w:r>
          </w:p>
        </w:tc>
      </w:tr>
      <w:tr>
        <w:trPr>
          <w:trHeight w:val="243"/>
        </w:trPr>
        <w:tc>
          <w:tcPr>
            <w:tcW w:w="7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Refinance transactions</w:t>
            </w: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0.4</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7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U.S. mortgage originations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shown above, the originations in 2013 and 2012 were driven primarily by refinance transactions, which coincides with the historically low interest rates experienced during those years. In 2014, the MBA predicts a 38.9% decrease in the total market, primarily due to a 63.6% decrease in refinance transactions in 2014, with the originations in 2015 remaining relatively consistent with those in 2014.</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may impact our results in the future.</w:t>
      </w:r>
    </w:p>
    <w:p>
      <w:pPr>
        <w:spacing w:after="0" w:line="5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ServiceLink.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and LPS also entered into settlement agreements, in January 2013 with 49 States and the District of Columbia relating to certain practices within its default operations and in February 2014, Black Knight (formerly LPS) also settled with the State of Nevada and the Federal Deposit Insurance Corporation. In April 2013, these mortgage servicers began making restitution under these settlements. We cannot predict whether these settlements may result in more normalized foreclosure timelines in the future. Moreover, we cannot predict whether any additional legislative or regulatory changes will be implemented as a result of the findings of the banking agencies or whether the U.S. federal government may take additional action to address the current housing market and economic uncertainty. Some states have enacted or are considering adopting legislation, such as the California Homeowner Bill of Rights, that places additional responsibilities and restrictions on servicers with respect to the foreclosure process. Any such actions could further extend foreclosure timelines. Moreover, as the processing of foreclosures in accordance with applicable law becomes more onerous, many lenders are addressing loans in default through other means, such as short sales, in order to avoid the risks and liability now associated with the foreclosure process. If foreclosure timelines continue to be extended and servicers address delinquent loans through other processes, the results of our default operations within ServiceLink may be adversely affected.</w:t>
      </w:r>
    </w:p>
    <w:p>
      <w:pPr>
        <w:spacing w:after="0" w:line="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9, 2012, federal officials, state attorneys general and representatives of Bank of America, JP Morgan Chase, Wells Fargo, Citigroup and Ally Financial agreed to a $25 billion settlement of federal and state investigations into the foreclosure practices of banks and other mortgage servicers from September 2008 to December 2011. Under the settlement, approximately 1,000,000 underwater borrowers will have their mortgages reduced by lenders and 300,000 homeowners will be able to refinance their homes at lower interest rates. We are uncertain to what degree these initiatives have affected our results or may affect our results in the future.</w:t>
      </w:r>
    </w:p>
    <w:p>
      <w:pPr>
        <w:spacing w:after="0" w:line="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state-level regulation, segments of our core businesses are subject to regulation by federal agencies, including the Consumer Financial Protection Bureau (“CFPB”). The Dodd-Frank Wall Street Reform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 (ii) require lenders to deliver to consumers a statement of final financing charges (and the related annual</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percentage rate) at least three business days prior to the closing. These rules became effective on January 10, 2014 . We cannot be certain what impact, if any, these new rules, or the CFPB generally, will have on our core businesses.</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2013, we experienced an increase in existing home sales to the highest volume levels since 2007. We have also seen a decline in total housing inventory to the lowest levels since 2005.</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From 2010 to 2013, we have experienced an increase in fee per file of commercial transactions from the previous years, indicating improvement in the commercial markets.</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Portfolio Company Investments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Remy manufactures and sells auto parts, principally starter motors and alternators, as well as hybrid electric motors and multi-line products, including steering gear, constant velocity (CV) axles, and brake calipers, for sale to original equipment manufacturers (OEM) and aftermarket customers. Remy manufactures products for automobiles as well as light and heavy duty commercial vehicles. The OEM market for auto parts is dependent on levels of new vehicle production, which in turn, is affected by the overall economy, consumer confidence, discounts and incentives offered by automakers and the availability of funds to finance purchases.</w:t>
      </w:r>
    </w:p>
    <w:p>
      <w:pPr>
        <w:spacing w:after="0" w:line="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its aftermarket operations, Remy's results are affected by the strength of the economy and by gas prices, but do not follow the same cycles as original equipment market sales. In a weaker economy, drivers tend to keep their vehicles and repair them rather than buying new vehicles. Lower gas prices have historically tended to result in more miles driven, which increases the frequency with which auto repairs are needed. Nevertheless, a weak economy also may reduce miles driven. Over the long term, improvements in the durability of original equipment and aftermarket parts has reduced, and is expected to further reduce, the number of units sold in the aftermarket. Aftermarket revenues are also affected by other factors, including severe weather (which tends to lead to increased sales) and competitive pressures. Many parts retailers and warehouse distributors purchase starters and alternators from only one or two suppliers, under contracts that run for five years or less. Pressure from customers to reduce prices is characteristic of the automotive supply industry. Remy is currently negotiating several customer agreements which are anticipated to be finalized during the first quarter of 2014. Due to the competitive nature of the business, the revised terms with customers are expected to impact Remy's ongoing profitability. Remy has taken and expects to continue to take steps to improve operating efficiencies and minimize or resist price reductions.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44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2010, the Patient Protection and Affordable Care Act ("Affordable Care Act") was passed and becomes effective for businesses in 2014. In July 2013, compliance with the employer mandate and certain reporting requirements under the Affordable Care Act were delayed until January 1, 2015. We are continuing to assess the impact of the Affordable Care Act on our health care benefit costs. The imposition of any requirement that we provide health insurance benefits to employees that are more extensive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than the health insurance benefits we currently provide, or the imposition of additional employer paid employment taxes on income earned by our employees, will have an adverse effect on our results of operations in the future, however, we do not expect the impact to materially affect our financial condition. The Affordable Care Act is likely to similarly affect the restaurant industry in general. Additionally, our Restaurant Group and suppliers may also be affected by higher minimum wage and benefit standards, which could result in higher costs for goods and services supplied to us.</w:t>
      </w:r>
    </w:p>
    <w:p>
      <w:pPr>
        <w:spacing w:after="0" w:line="126" w:lineRule="exact"/>
        <w:rPr>
          <w:sz w:val="20"/>
          <w:szCs w:val="20"/>
          <w:color w:val="auto"/>
        </w:rPr>
      </w:pPr>
    </w:p>
    <w:p>
      <w:pPr>
        <w:ind w:right="320" w:firstLine="324"/>
        <w:spacing w:after="0" w:line="454" w:lineRule="auto"/>
        <w:rPr>
          <w:sz w:val="20"/>
          <w:szCs w:val="20"/>
          <w:color w:val="auto"/>
        </w:rPr>
      </w:pPr>
      <w:r>
        <w:rPr>
          <w:rFonts w:ascii="Times New Roman" w:cs="Times New Roman" w:eastAsia="Times New Roman" w:hAnsi="Times New Roman"/>
          <w:sz w:val="18"/>
          <w:szCs w:val="18"/>
          <w:color w:val="auto"/>
        </w:rPr>
        <w:t xml:space="preserve">Our revenues in future periods will continue to be subject to these and other factors that are beyond our control and, as a result, are likely to fluctuate. </w:t>
      </w:r>
      <w:r>
        <w:rPr>
          <w:rFonts w:ascii="Times New Roman" w:cs="Times New Roman" w:eastAsia="Times New Roman" w:hAnsi="Times New Roman"/>
          <w:sz w:val="18"/>
          <w:szCs w:val="18"/>
          <w:b w:val="1"/>
          <w:bCs w:val="1"/>
          <w:color w:val="auto"/>
        </w:rPr>
        <w:t>Critical Accounting Estimates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7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Reserve for Title Claim Losses. </w:t>
      </w:r>
      <w:r>
        <w:rPr>
          <w:rFonts w:ascii="Times New Roman" w:cs="Times New Roman" w:eastAsia="Times New Roman" w:hAnsi="Times New Roman"/>
          <w:sz w:val="18"/>
          <w:szCs w:val="18"/>
          <w:color w:val="auto"/>
        </w:rPr>
        <w:t>Title companies issue two types of policies, owner's and lender's policies, since both the new owner and the lender in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title-related and other fees relating to closing and disbursement functions due to fraud or operational error.</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summarizes our reserves for known claims and incurred but not reported claims related to title insurance: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9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73"/>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5"/>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Known claims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1,462</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We recorded our periodic loss provision rate at 7.0% of title premiums in 2013 and 2012 and 6.8% of title premiums in 2011. Of such amounts, 5.3%, 5.5% and 5.8% related to losses on policies written in the current year, and the remainder relates to developments on prior year policies. In 2013 and 2012, adverse development of prior year losses of $71 million or 1.7% of 2013 premium and $58 million or 1.5% of 2012 premium was accounted for in the loss provision rate. At each quarter end, our recorded reserve for title claim losses is initially the result of taking the prior recorded reserve for title claim losses, adding the current provision and subtracting actual paid claims, resulting in an amount that management then compares to the range of reasonable estimates provided by the actuarial calculation.</w:t>
      </w:r>
    </w:p>
    <w:p>
      <w:pPr>
        <w:spacing w:after="0" w:line="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used by our actuary),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title insurance loss development experience for the past three years: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2,211</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loss provision related to:</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189</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title claims loss provision (1)</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1,636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1,913</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Title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3,833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3,257</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660" w:hanging="328"/>
        <w:spacing w:after="0" w:line="259" w:lineRule="auto"/>
        <w:tabs>
          <w:tab w:leader="none" w:pos="5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provision for title claim losses in the 2012 period is an $11 million impairment recorded on an asset previously recouped as part of a claim settlement.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claim losses as a percentage of title insurance premiums: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7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provision</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6.8%</w:t>
            </w:r>
          </w:p>
        </w:tc>
      </w:tr>
      <w:tr>
        <w:trPr>
          <w:trHeight w:val="20"/>
        </w:trPr>
        <w:tc>
          <w:tcPr>
            <w:tcW w:w="7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Actual claims payments are made up of loss payments and claims management expenses offset by recoupments and were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Claims</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8"/>
              </w:rPr>
              <w:t>Loss Payments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Management</w:t>
            </w: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Recoupments</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000" w:type="dxa"/>
            <w:vAlign w:val="bottom"/>
            <w:tcBorders>
              <w:bottom w:val="single" w:sz="8" w:color="CCEEFF"/>
            </w:tcBorders>
          </w:tcPr>
          <w:p>
            <w:pPr>
              <w:spacing w:after="0"/>
              <w:rPr>
                <w:sz w:val="16"/>
                <w:szCs w:val="16"/>
                <w:color w:val="auto"/>
              </w:rPr>
            </w:pPr>
          </w:p>
        </w:tc>
        <w:tc>
          <w:tcPr>
            <w:tcW w:w="2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49"/>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2013</w:t>
            </w:r>
          </w:p>
        </w:tc>
        <w:tc>
          <w:tcPr>
            <w:tcW w:w="2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Year ending December 31, 2012</w:t>
            </w:r>
          </w:p>
        </w:tc>
        <w:tc>
          <w:tcPr>
            <w:tcW w:w="2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ending December 31, 2011</w:t>
            </w:r>
          </w:p>
        </w:tc>
        <w:tc>
          <w:tcPr>
            <w:tcW w:w="2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540"/>
        </w:trPr>
        <w:tc>
          <w:tcPr>
            <w:tcW w:w="4000" w:type="dxa"/>
            <w:vAlign w:val="bottom"/>
          </w:tcPr>
          <w:p>
            <w:pPr>
              <w:spacing w:after="0"/>
              <w:rPr>
                <w:sz w:val="24"/>
                <w:szCs w:val="24"/>
                <w:color w:val="auto"/>
              </w:rPr>
            </w:pPr>
          </w:p>
        </w:tc>
        <w:tc>
          <w:tcPr>
            <w:tcW w:w="25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2013, the recorded reserve for title insurance claims losses was $1.6 billion, which was approximately $0.07 billion below the central estimate provided by our actuary, but within the provided actuarial range of $1.5 billion to $1.8 billion. We believe that our recorded reserves are reasonable and represent our best estimate. In reaching this conclusion, we considered the following qualitative factors.</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noted above, our recorded reserves were below the mid-point of the range of our actuarial estimates as of December 31, 2013. Management is comfortable with our recorded position as we have seen significant positive developments in certain actuarial models relating primarily to the acceleration of claims processing and claims related expense development which are not given full weight in our actuary's consolidated model. Claims management expenses have decreased due to management initiatives related to use of outside counsel and their fees and additional use of internal counsel in handling claims matters. These developments are not yet fully reflected in our actuarial analysis. This positive development in claims management expenses has been somewhat offset by claim loss payments that were greater than the claims projected to be paid in the model utilized by our actuary primarily related to the high volume policy years 2005-2008. We believe that this development related to the fact that these policy years have higher loss ratios and that the reporting of these claims has been accelerated. The reasons for higher loss payments and payment acceleration are as follows:</w:t>
      </w:r>
    </w:p>
    <w:p>
      <w:pPr>
        <w:spacing w:after="0" w:line="145"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high prices for real estate (thus higher policy limits as compared to premiums earned)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volume of real estate transactions increased likelihood of errors in the examination and closing process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values and volumes of real estate transactions and weaker loan underwriting standards increased the likelihood of fraudulent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declines in home equity values resulted in lender losses that would not have been losses had home equity been maintained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foreclosures resulted in higher litigation costs and acceleration in reporting of claims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mechanic lien claims from failures of builders and developers</w:t>
      </w:r>
    </w:p>
    <w:p>
      <w:pPr>
        <w:spacing w:after="0" w:line="7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Some traditional actuarial methods, such as paid loss development, are particularly sensitive to distortions in payment activity. We believe that the high level of foreclosure activity over the past four years is accelerating the reporting of claims, particularly lender claims, thereby increasing paid losses and expenses. As a result, a paid loss development approach may temporarily overstate ultimate cost projections. We believe that losses and expenses related to this accelerated claims activity, specifically losses relating to lender policies, will have a shorter duration and that expected payments relating to these policy years will eventually return to or perhaps even drop below historical levels. We have also seen positive development relating to the 2009 through 2013 policy years, which we believe is indicative of more stringent underwriting standards by us and the lending industry. In addition we have seen significant positive development in residential owners policies due to increased payments on residential lenders policies which inherently limit the potential loss on the related owners policy to the differential in coverage amount between the amount insured under the owner's policy and the amount paid under the residential lender's policy. Also, any residential lender policy claim paid relating to a property that is in foreclosure negates any potential loss under an owner's policy previously issued on the property as the owner has no equity in the property. Along with the positive development on claims management expenses, our ending open claim inventory decreased from approximately 30,000 claims at December 31, 2012 to approximately 24,000 claims at December 31, 2013. If actual claims loss development is worse than currently expected and is not offset by other positive factors, such as continued improvement in claims management expenses and the other factors mentioned above, it is reasonably possible that our recorded reserves may fall outside a reasonable range of our actuary's central estimate, which may require additional reserve strengthening in future periods.</w:t>
      </w:r>
    </w:p>
    <w:p>
      <w:pPr>
        <w:spacing w:after="0" w:line="6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2012 and 2011, our recorded reserves were $1.7 billion and $1.9 billion, which we determined were reasonable and represented our best estimate and these recorded amounts were within a reasonable range of the central estimates provided by our actuaries.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approximate $42 million increase (decrease) in our annualized provision for title claim losses would occur if our loss provision rate were 1% higher (lower), based on 2013 title premiums of $4,152 million. A 10% increase (decrease) in our reserve for title claim losses, as of December 31, 2013, would result in an increase (decrease) in our provision for title claim losses of approximately $164 million.</w:t>
      </w:r>
    </w:p>
    <w:p>
      <w:pPr>
        <w:spacing w:after="0" w:line="20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Valuation of Investments. </w:t>
      </w:r>
      <w:r>
        <w:rPr>
          <w:rFonts w:ascii="Times New Roman" w:cs="Times New Roman" w:eastAsia="Times New Roman" w:hAnsi="Times New Roman"/>
          <w:sz w:val="18"/>
          <w:szCs w:val="18"/>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spacing w:after="0" w:line="1" w:lineRule="exact"/>
        <w:rPr>
          <w:sz w:val="20"/>
          <w:szCs w:val="20"/>
          <w:color w:val="auto"/>
        </w:rPr>
      </w:pPr>
    </w:p>
    <w:p>
      <w:pPr>
        <w:jc w:val="both"/>
        <w:ind w:firstLine="8"/>
        <w:spacing w:after="0" w:line="253" w:lineRule="auto"/>
        <w:tabs>
          <w:tab w:leader="none" w:pos="32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06" w:lineRule="exact"/>
        <w:rPr>
          <w:sz w:val="20"/>
          <w:szCs w:val="20"/>
          <w:color w:val="auto"/>
        </w:rPr>
      </w:pPr>
    </w:p>
    <w:p>
      <w:pPr>
        <w:jc w:val="both"/>
        <w:ind w:right="20"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104" w:lineRule="exact"/>
        <w:rPr>
          <w:sz w:val="20"/>
          <w:szCs w:val="20"/>
          <w:color w:val="auto"/>
        </w:rPr>
      </w:pPr>
    </w:p>
    <w:p>
      <w:pPr>
        <w:jc w:val="both"/>
        <w:ind w:firstLine="55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10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December 31, 2013 and 2012, respectively:</w:t>
      </w:r>
    </w:p>
    <w:p>
      <w:pPr>
        <w:spacing w:after="0" w:line="10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37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72"/>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50" w:lineRule="exact"/>
        <w:rPr>
          <w:sz w:val="20"/>
          <w:szCs w:val="20"/>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spacing w:after="0" w:line="2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4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4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Preferred stocks are valued by calculating the appropriate spread over a comparable US Treasury security. Inputs include benchmark quotes and other relevant market data.</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Level 3 investments consist of structured notes that were purchased in the third quarter of 2009. The structured notes had a par value of $38 million at December 31, 2013 and 2012, and fair value of $38 million and $41 million at December 31, 2013 and 2012, respectively. The structured notes are held for general investment purposes and represent one percent of our total investment portfolio. The structured notes are classified as Other long-term investments and are measured in their entirety at fair</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 ensure that they are reasonable and believe they represent an exit price as of December 31, 2013.</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2013, 2012 and 2011, we incurred impairment charges relating to investments that were determined to be other-than-temporarily impaired, which resulted in impairment charges of $1 million, $3 million, and $17 million, respectively. Impairment charges during all three years, related to fixed maturity securities primarily related to our conclusion that the credit risk of these holdings was high and the ability of the issuer to pay the full amount of the principal outstanding was unlikely.</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Included in our Investments as of December 31, 2013 are various holdings in Foreign securities as follows (in millions):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3"/>
                <w:szCs w:val="13"/>
                <w:color w:val="auto"/>
              </w:rPr>
            </w:pPr>
          </w:p>
        </w:tc>
        <w:tc>
          <w:tcPr>
            <w:tcW w:w="8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Belgium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France</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Germany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Ireland</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Japan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Netherlands</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Spain</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France</w:t>
            </w:r>
          </w:p>
        </w:tc>
        <w:tc>
          <w:tcPr>
            <w:tcW w:w="1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reviewed all of these securities as of December 31, 2013 and do not believe that there is a risk of credit loss as these securities are in a gross unrealized gain position of $5 million and a gross unrealized loss position of $2 million. We held no European sovereign debt at December 31, 2013.</w:t>
      </w:r>
    </w:p>
    <w:p>
      <w:pPr>
        <w:spacing w:after="0" w:line="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We have made acquisitions in the past that have resulted in a significant amount of goodwill. As of December 31, 2013 and 2012, goodwill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aggregated $1,901 million and $1,908 million, respectively. The majority of our goodwill as of December 31, 2013 and 2012 relates to goodwill recorded in connection with the Chicago Title merger in 2000. In evaluating the recoverability of goodwill, we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2013, 2012, or 2011. As of December 31, 2013, we have determined that our goodwill has a fair value which substantially exceeds our carrying value.</w:t>
      </w:r>
    </w:p>
    <w:p>
      <w:pPr>
        <w:spacing w:after="0" w:line="5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Intangible Assets. </w:t>
      </w:r>
      <w:r>
        <w:rPr>
          <w:rFonts w:ascii="Times New Roman" w:cs="Times New Roman" w:eastAsia="Times New Roman" w:hAnsi="Times New Roman"/>
          <w:sz w:val="18"/>
          <w:szCs w:val="18"/>
          <w:color w:val="auto"/>
        </w:rPr>
        <w:t>We have other intangible assets, not including goodwill, which consist primarily of customer relationships and contracts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which are generally recorded in connection with acquisitions at their fair value, and debt issuance costs relating to the issuance of our long-term notes payable. Intangible assets with estimable lives are amortized</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considered intangible assets with indefinite lives and are reviewed for impairment at least annually. Debt issuance costs are amortized on a straight line basis over the contractual life of the related debt instrument.</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Remy segment, upon entering into new or extending existing contracts, we may be required to purchase certain cores and inventory from our customers at retail prices, or be obligated to provide certain agreed support. The excess of the prices paid for the cores and inventory over fair value, and the value of any agreed support, are recorded as contract intangibles and amortized as a reduction to auto parts revenue on a method to reflect the pattern of economic benefit consumed. Customer contract intangibles which are not paid to customers, are amortized and recorded in cost of auto parts revenue.</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no impairment expense related to other intangible assets in 2013, 2012, or 2011.</w:t>
      </w:r>
    </w:p>
    <w:p>
      <w:pPr>
        <w:spacing w:after="0" w:line="8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Our direct title insurance premiums and escrow, title-related and other fees are recognized as revenue at the time of closing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70-80% reported within three months following closing, an additional 10-20% reported within the next three months and the remainder within seven to fifteen months. In addition to accruing these earned but unreported agency premiums, we also accrue agent commission expense, which was 76.1%, of agent premiums earned in 2013, 76.2% of agent premiums earned in 2012 and 77.1% of agent premiums earned in 2011.We also record provision for claim losses at our average provision rate at the time we record the accrual for the premiums, which was 7.0% for 2013 and 2012, and 6.8% for 2011, and accruals for premium taxes and other expenses relating to our premium accrual. The resulting impact to pretax earnings in any period is less than 10% of the accrued premium amount. The impact of the change in the accrual for agency premiums and related expenses on our pretax earnings was a decrease of $7 million for the year ended December 31, 2013, less than $1 million for the year ended 2012 and an increase of $8 million for the year ended 2011. The amount due from our agents relating to this accrual, i.e., the agent premium less their contractual retained commission, was approximately $74 million and $90 million at December 31, 2013 and 2012, respectively, which represents agency premiums of approximately $364 million and $438 million at December 31, 2013 and 2012, respectively, and agent commissions of $290 million and $348 million at December 31, 2013 and 2012, respectively. We may have changes in our accrual for agency revenue in the future if additional relevant information becomes available.</w:t>
      </w:r>
    </w:p>
    <w:p>
      <w:pPr>
        <w:spacing w:after="0" w:line="6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As part of the process of preparing the consolidated financial statements, we are required to determine income taxes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jurisdictions in which we operate. This process involves estimating actual current tax expense together with assessing temporary differences resulting from differing recognition of items for income tax and accounting purposes. 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 Affecting Comparability</w:t>
      </w:r>
    </w:p>
    <w:p>
      <w:pPr>
        <w:spacing w:after="0" w:line="9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Year ended December 31, 2012. </w:t>
      </w:r>
      <w:r>
        <w:rPr>
          <w:rFonts w:ascii="Times New Roman" w:cs="Times New Roman" w:eastAsia="Times New Roman" w:hAnsi="Times New Roman"/>
          <w:sz w:val="18"/>
          <w:szCs w:val="18"/>
          <w:color w:val="auto"/>
        </w:rPr>
        <w:t>During the third quarter of 2012, we acquired 51% of Remy's total outstanding common shares. As a result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we began to consolidate the results of Remy effective August 14, 2012. On April 9, 2012, we successfully closed a tender offer for the outstanding common stock of O'Charley's; we have consolidated the results of O'Charley's as of April 9, 2012. On May 11, 2012, we merged O'Charley's with our investment in ABRH in exchange for an increase in our ownership position in ABRH from 45% to 55%. We have consolidated the results of ABRH as of May 11, 2012.</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Net earnings. </w:t>
      </w:r>
      <w:r>
        <w:rPr>
          <w:rFonts w:ascii="Times New Roman" w:cs="Times New Roman" w:eastAsia="Times New Roman" w:hAnsi="Times New Roman"/>
          <w:sz w:val="18"/>
          <w:szCs w:val="18"/>
          <w:color w:val="auto"/>
        </w:rPr>
        <w:t>The following table presents certain financial data for the years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1,800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1,830</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Auto parts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Restaurant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4,800</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1,568</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1,064</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auto parts revenue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4,395</w:t>
            </w:r>
          </w:p>
        </w:tc>
      </w:tr>
      <w:tr>
        <w:trPr>
          <w:trHeight w:val="205"/>
        </w:trPr>
        <w:tc>
          <w:tcPr>
            <w:tcW w:w="77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Earnings from continuing operations before income taxes and equity in (loss) earnings of unconsolidated</w:t>
            </w:r>
          </w:p>
        </w:tc>
        <w:tc>
          <w:tcPr>
            <w:tcW w:w="2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4"/>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131</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 (loss) earnings of unconsolidated affiliates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Orders opened by direct title operations (in 000's)</w:t>
            </w:r>
          </w:p>
        </w:tc>
        <w:tc>
          <w:tcPr>
            <w:tcW w:w="28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2,140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Orders closed by direct title operations (in 000's)</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1,514</w:t>
            </w:r>
          </w:p>
        </w:tc>
      </w:tr>
      <w:tr>
        <w:trPr>
          <w:trHeight w:val="27"/>
        </w:trPr>
        <w:tc>
          <w:tcPr>
            <w:tcW w:w="7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 in 2013 increased $1,400 million compared to 2012, reflecting an increase in the Fidelity National Title Group, Remy, and Restaurant Group segments and both the FNF and Portfolio Company Corporate and Other segments. Total revenue in 2012 increased $2,365 million compared to 2011, reflecting an increase in the Fidelity National Title Group segment and the FNF Corporate and Other segment as well as the addition of the Remy and Restaurant group segments, offset by a slight decrease in the Portfolio Company Corporate and Other segment.</w:t>
      </w:r>
    </w:p>
    <w:p>
      <w:pPr>
        <w:spacing w:after="0" w:line="4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Escrow, title-related and other fees increased $61 million in 2013 compared to 2012, consisting of a decrease of $16 million in the Fidelity National Title Group segment and increases of $5 million in the FNF Corporate and Other segment and $72 in the Portfolio Company Corporate and Other segment. Escrow, title-related and other fees increased $283 million in 2012 compared to 2011, consisting of an increase of $276 million in the Fidelity National Title Group segment and $11 million in the FNF Corporate and Other segment and offset by a decrease of $4 million in the Portfolio Company Corporate and Other segment.</w:t>
      </w:r>
    </w:p>
    <w:p>
      <w:pPr>
        <w:spacing w:after="0" w:line="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Restaurant revenue includes the consolidated results of operations of ABRH and J. Alexander's. Auto parts revenue includes the consolidated results of operations of Remy.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revenue from operations is discussed in further detail at the segment level below.</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and investment income levels are primarily a function of securities markets, interest rates and the amount of cash available for investment. Interest and investment income was $129 million, $144 million, and $143 million for the years ended December 31, 2013, 2012, and 2011, respectively. The decrease in 2013 as compared to 2012 is due to decreased bond yield and</w:t>
      </w:r>
    </w:p>
    <w:p>
      <w:pPr>
        <w:sectPr>
          <w:pgSz w:w="11900" w:h="16838" w:orient="portrait"/>
          <w:cols w:equalWidth="0" w:num="1">
            <w:col w:w="11420"/>
          </w:cols>
          <w:pgMar w:left="240" w:top="121" w:right="239" w:bottom="144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holdings. Effective return on average invested assets, excluding realized gains and losses, was 4.1%, 4.4%, and 4.3% for the years ended December 31, 2013, 2012, and 2011, respectively.</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realized gains and losses totaled $12 million, $187 million, and $7 million for the years ended December 31, 2013, 2012, and 2011, respectively. The net realized gain for the year ended December 31, 2013 includes an $11 million gain on the sale of FIS stock, a $10 million gain on individually insignificant portfolio sales, a $5 million net gain on sales of preferred stock, and a $3 million gain on the settlement of a mortgage loan at J. Alexander's. These gains were offset by a $3 million loss on the structured notes, $4 million in title plant impairments, a $3 million loss on debt extinguishment at Remy, and $7 million in other individually immaterial impairments and net losses. The net realized gain for the year ended December 31, 2012 includes a $73 million gain on the consolidation of ABRH and O'Charley's, a $48 million bargain purchase gain on the acquisition of O'Charley's, a $78 million gain on the consolidation of Remy, and $16 million in net gains from the sale of other various investments and assets, offset by a $6 million impairment on land held at our majority-owned affiliate Cascade Timberlands, a $6 million loss on the early extinguishment of our 5.25% bonds, $3 million impairment charges on investments determined to be other-than-temporarily impaired and a $13 million impairment for title plants no longer in use. The net realized gain for the year ended December 31, 2011 includes $28 million net gains on various investments and other assets, offset by a $4 million decrease in the value of our structured notes and $17 million in impairment charges on investments determined to be other-than-temporarily impaired.</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and other operating expenses, which in our title insurance business are incurred as orders are received and processed, and agent commissions, which are incurred as revenue is recognized, as well as cost of auto parts revenue and cost of restaurant revenue. Title insurance premiums, escrow and title-related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13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totaled $2,134 million, $1,863 million, and $1,568 million for the years ended December 31, 2013, 2012 and 2011, respectively. Personnel costs increased $271 million, or 14.5%, for the year ended December 31, 2013 from the 2012 period, with increases of $94 million in the Fidelity National Title Group segment, $8 million in the FNF Corporate and Other segment,$22 million from the Restaurant Group segment , $57 million from the Remy segment and $90 million in the Portfolio Company Corporate and Other segment. Personnel costs increased $295 million, or 18.8% for the year ended December 31, 2012 from the 2011 period, with an increase of $226 million in the Fidelity National Title Group segment, $13 million in the Portfolio Company Corporate and Other segment, and an additional $29 million and $43 million from the Remy and Restaurant Group segments, respectively. These increases were offset by a $16 million decrease in the FNF Corporate and Other segment. Personnel costs as a percentage of total revenues were 24.9%, 26.0%, and 32.7% for the years ended December 31, 2013, 2012, and 2011, respectively. Average employee count, excluding Remy and the Restaurant Group, was 19,722, 18,719 and 17,330 for the years ended December 31, 2013, 2012, and 2011, respectively. In 2012 there were 33,859 employees added with the consolidation of the Restaurant group and 6,631 employees added with the consolidation of Remy. As of December 31, 2013, average employee count was 6,602 at Remy and 33,389 at the Restaurant Group. Included in personnel costs is stock-based compensation expense of $35 million, $27 million, and $27 million for the years ended December 31, 2013, 2012, and 2011, respectively. The change in personnel costs is discussed in further detail at the segment level below.</w:t>
      </w:r>
    </w:p>
    <w:p>
      <w:pPr>
        <w:spacing w:after="0" w:line="1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The change in agent commissions is discussed in further detail at the segment level below.</w:t>
      </w:r>
    </w:p>
    <w:p>
      <w:pPr>
        <w:spacing w:after="0" w:line="10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trade and notes receivable allowances. Other operating expenses as a percentage of direct title insurance premiums and escrow, title-related and other fees were 37.3%, 37.8%, and 37.7% for the years ended December 31, 2013, 2012, and 2011, respectively. Other operating expenses increased $32 million or 2.5% in 2013 from 2012, reflecting increases of $34 million in the FNF Corporate and Other segment, $28 million in the Remy segment, and $8 million in the Portfolio Company Corporate and Other segment, offset by decreases of $32 million in the Fidelity National Title Group segment, and $6 million in the Restaurant Group segment. The increase in the FNF Corporate and Other segment is due mainly to a $20 million charge related to an employee litigation matter as well as $16 million in expenses related to the acquisition of LPS. The increase in the Remy segment is mainly due to the fact that 2013 is the first full year for which the results of Remy have been consolidated. The increase in the Portfolio Company Corporate and Other segment is mainly due to $11 million additional expenses related to Digital Insurance. In the Fidelity National Title Group segment, the decrease in other operating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expenses was due mainly to decreases in cost of sales, title plant maintenance and premium taxes. The decrease in the Restaurant Group is primarily related to a decrease in transaction and integration costs from 2012 to 2013. Other operating expenses increased $223 million or 21.0% in 2012 from 2011, reflecting increases of $122 million in the Fidelity National Title Group segment and $9 million in the FNF Corporate and Other segment, $3 million in the Portfolio Company Corporate and Other segment, as well as an additional $18 million from the Remy segment and $71 million from the Restaurant Group segment. In the Fidelity National Title Group segment, the increase was due mainly to increases in cost of sales, consistent with the increases in revenue. Other operating expenses for the years ended December 31, 2013, 2012 and 2011, included $1 million, $2 million and $1 million, respectively, in abandoned lease charges relating to office closures.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auto parts revenue includes cost of raw materials, payroll and related costs and expenses directly related to manufacturing, and overhead expenses allocated to the costs of production such as depreciation and amortization at Remy. Remy results of operations are discussed in further detail at the segment level below.</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seafood, poultry, dairy and alcoholic and non-alcoholic beverages net of vendor discounts and rebates, payroll and related costs and expenses directly relating to restaurant level activities and restaurant operating costs including occupancy and other expenses at the restaurant level. The Restaurant Group results of operations are discussed in further detail at the segment level below.</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and amortization increased $33 million in 2013 from 2012, mainly due to additional expense of $21 million in the Remy and Restaurant group segments as 2013 includes a full year of depreciation and amortization for these segments. Depreciation and amortization increased $31 million in 2012 from 2011 mainly relating to the additional $36 million depreciation expense from our Remy and Restaurant Group segments added during the year, offset by a decrease due to older assets being fully depreciated.</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 The provision for title claim losses is discussed in further detail below at the segment level.</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expense for the years ended December 31, 2013, 2012, and 2011 was $93 million, $74 million, and $57 million, respectively. The increase in 2013 from 2012 is due to additional expense of $14 million from the interest incurred on the 5.50% notes issued in August of 2012, as 2013 included a full year of interest on these notes. Also contributing to the increase was increased expense from Remy and the Restaurant Group of $15 million versus 2012, as 2013 was the first full year that we have consolidated these operations. This was offset by $9 million less in interest expense on the 5.25% notes that were paid during the third quarter of 2012. The increase in 2012 from 2011 is due to additional interest incurred on the 5.50% notes issued in August of 2012, as well as additional interest expense of $13 million from our Remy and Restaurant Group segments added during the year.</w:t>
      </w:r>
    </w:p>
    <w:p>
      <w:pPr>
        <w:spacing w:after="0" w:line="134" w:lineRule="exact"/>
        <w:rPr>
          <w:sz w:val="20"/>
          <w:szCs w:val="20"/>
          <w:color w:val="auto"/>
        </w:rPr>
      </w:pPr>
    </w:p>
    <w:p>
      <w:pPr>
        <w:jc w:val="both"/>
        <w:ind w:firstLine="369"/>
        <w:spacing w:after="0" w:line="256" w:lineRule="auto"/>
        <w:rPr>
          <w:sz w:val="20"/>
          <w:szCs w:val="20"/>
          <w:color w:val="auto"/>
        </w:rPr>
      </w:pPr>
      <w:r>
        <w:rPr>
          <w:rFonts w:ascii="Times New Roman" w:cs="Times New Roman" w:eastAsia="Times New Roman" w:hAnsi="Times New Roman"/>
          <w:sz w:val="18"/>
          <w:szCs w:val="18"/>
          <w:color w:val="auto"/>
        </w:rPr>
        <w:t>Income tax expense was $205 million, $245 million, and $131 million for the years ended December 31, 2013, 2012, and 2011, respectively. Income tax expense as a percentage of earnings from continuing operations before income taxes for the years ended December 31, 2013, 2012, and 2011 was 31.5%, 29.3%, and 32.4%, respectively.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 The increase in the effective tax rate in 2013 from 2012 is due to the inclusion of a one-time tax benefit related to the bargain purchase gain on the O'Charley's acquisition and the consolidation of Remy in the 2012 rate.</w:t>
      </w:r>
    </w:p>
    <w:p>
      <w:pPr>
        <w:spacing w:after="0" w:line="134" w:lineRule="exact"/>
        <w:rPr>
          <w:sz w:val="20"/>
          <w:szCs w:val="20"/>
          <w:color w:val="auto"/>
        </w:rPr>
      </w:pPr>
    </w:p>
    <w:p>
      <w:pPr>
        <w:jc w:val="both"/>
        <w:ind w:firstLine="369"/>
        <w:spacing w:after="0" w:line="261" w:lineRule="auto"/>
        <w:rPr>
          <w:sz w:val="20"/>
          <w:szCs w:val="20"/>
          <w:color w:val="auto"/>
        </w:rPr>
      </w:pPr>
      <w:r>
        <w:rPr>
          <w:rFonts w:ascii="Times New Roman" w:cs="Times New Roman" w:eastAsia="Times New Roman" w:hAnsi="Times New Roman"/>
          <w:sz w:val="18"/>
          <w:szCs w:val="18"/>
          <w:color w:val="auto"/>
        </w:rPr>
        <w:t>Equity in (losses) earnings of unconsolidated affiliates was $(26) million, $10 million, and $10 million for the years ended December 31, 2013, 2012, and 2011, respectively, and consisted of our equity in the net earnings (losses) of Ceridian, Remy prior to its consolidation in August 2012, and other investments in unconsolidated affiliates. The decrease in 2013 is due mainly to our share of the larger losses at Ceridian, which include $17 million in non-recurring costs relating to the write off of a deferred tax asset and debt extinguishment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Core Operations</w:t>
      </w:r>
    </w:p>
    <w:p>
      <w:pPr>
        <w:spacing w:after="0" w:line="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Fidelity National Title Group</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financial data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 title insurance premiums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1,732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1,830</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5,586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4,743</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1,411</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w:t>
            </w:r>
          </w:p>
        </w:tc>
      </w:tr>
      <w:tr>
        <w:trPr>
          <w:trHeight w:val="243"/>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4,222</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521</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in 2013 increased $308 million or 5.5% compared to 2012. Total revenues in 2012 increased $843 million or 17.8% compared to 2011.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percentages of title insurance premiums generated by our direct and agency operations: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1,732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2,101</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56.2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3,833</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2013, the proportion of agency premiums to direct premiums increased, with agency premiums comprising 56.6% of total premiums in 2013, compared with 54.8% in 2012. In 2012 the proportion of agency premiums to direct premiums decreased to 54.8% of total premiums, compared with 56.2% in 2011.</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0" w:right="4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percentages of opened and closed title insurance orders generated by purchase and refinance transactions by our direct operations:</w:t>
      </w:r>
    </w:p>
    <w:p>
      <w:pPr>
        <w:spacing w:after="0" w:line="6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24765</wp:posOffset>
            </wp:positionV>
            <wp:extent cx="24269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525"/>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increase of $68 million in title premiums from direct operations in 2013 was primarily due to an increase in fee per file. In 2013, mortgage interest rates have remained consistent with the low levels experienced in 2012 and 2011. Closed order volumes were 1,708,000 and 1,867,000 in the years ending 2013 and 2012, respectively. The average fee per file in our direct operations was $1,660 and $1,487 in the years ending 2013 and 2012, respectively, with the increase reflecting a higher volume of purchase transactions, which have a higher fee per file, as well as a higher average fee per file on commercial transactions in 2013 versus the 2012 period. The increase of $305 million in title premiums from direct operations in 2012 compared to 2011 was due primarily to an increase in refinance orders and an increase in commercial transactions during the year. Closed order volumes were 1,867,000 and 1,514,000 in the years ending 2012 and 2011, respectively. The average fee per file in our direct operations was $1,487 and $1,489 in the years ending 2012 and 2011, respectively.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The fee per file will also increase as the proportion of commercial orders increases and as residential properties appreciate, which increases the value of the amount insured.</w:t>
      </w:r>
    </w:p>
    <w:p>
      <w:pPr>
        <w:spacing w:after="0" w:line="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increase of $251 million and $271 million in agency premiums in 2013 and 2012 is primarily the result of an increase in remitted agency premiums related to the mix of business. Our percentage of title premiums from agency operations compared to direct operations has increased due to our agency operations typically garnering a higher percentage of purchase transactions and a lower percentage of commercial and refinance transactions. The increase in 2013 and 2012 was primarily due to strengthening in the residential purchase market.</w:t>
      </w:r>
    </w:p>
    <w:p>
      <w:pPr>
        <w:spacing w:after="0" w:line="4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Fidelity National Title Group segment, escrow fees, which are more directly related to our direct operations, decreased $16 million, or 2.3%, in 2013 compared to 2012 primarily due to a decrease at a division of our ServiceLink business that handles default services. Escrow fees in the Fidelity National Title Group segment increased $148 million, or 26.4%, in 2012 compared to 2011 due to the increase in direct title premiums over the prior year. Other fees in the Fidelity National Title Group segment, excluding escrow fees, increased $128 million, or 16.5%, in 2012 compared to 2011 primarily due to an increase in revenues from refinance and commercial transactions as well as increases in our other title related businesses, consistent with the title operations.</w:t>
      </w:r>
    </w:p>
    <w:p>
      <w:pPr>
        <w:spacing w:after="0" w:line="21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In the Fidelity National Title Group segment the increase of $94 million in 2013 from 2012 is due to an increase in employee levels, higher bonuses and commissions, as well as an increase in average annualized personnel cost which correspond to increases in closed order counts and revenues. The increase in personnel costs of $226 million in 2012 from 2011 is due mainly to increases in open and closed order counts. Average employee count in the title segment increased to 19,722 in 2013 from 18,509 in 2012 and increased in 2012 from 17,036 in 2011. Personnel costs in the title segment as a percentage of total revenues from direct title premiums and escrow, title-related and other fees were 53.9%, 52.0% and 54.7% for the years ended December 31, 2013, 2012, and 2011, respectively.</w:t>
      </w:r>
    </w:p>
    <w:p>
      <w:pPr>
        <w:spacing w:after="0" w:line="5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relationship of agent title premiums and agent commissions: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2013</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5"/>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77.1</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margin from agency title insurance premiums retained as a percentage of total agency premiums remained consistent with 2012. Net margin from agency title insurance premiums we retain as a percentage of total agency premiums increased from 22.9% in 2011 to 23.8% in 2012. The increase in 2012 is due primarily to the modification of various agency agreements since 2010 which resulted in an increase to our retained premium including our move to an 80%/20% split in New York.</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We monitor our claims loss experience on a continual basis and adjust the provision for title claim losses accordingly as new information becomes known, new loss patterns emerge, or as other contributing factors are considered and incorporated into the analysis of the reserve for claim losses. The claim loss provision for title insurance was $291 million, $279 million, and $222 million for the years ended December 31, 2013, 2012, and 2011, respectively. These amounts reflected average claim loss provision rates of 7.0% for 2013 and 2012, and 6.8% of title premiums for 2011. The claim loss provision for 2012 also includes an $11 million impairment recorded on an asset previously recouped as part of a claim settlement. We will continue to monitor and evaluate our loss provision level, actual claims paid, and the loss reserve position.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FNF Corporate and Other</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FNF Corporate and Other segment consists of the operations of the parent holding company, certain other unallocated corporate overhead expenses, and other smaller real estate and insurance related operations. The FNF Corporate and Other segment generated revenues of $56 million, $45 million and $39 million for the years ended December 31, 2013, 2012, and 2011, respectively.</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increased $11 million, or 24.4%, and $6 million, or 15.4%, in 2013 and 2012, respectively.</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Personnel costs were $37 million, $29 million, and $45 million for the years ended December 31, 2013, 2012, and 2011, respectively.</w:t>
      </w:r>
    </w:p>
    <w:p>
      <w:pPr>
        <w:spacing w:after="0" w:line="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segment generated pretax losses of $145 million, $107 million and $115 million for the years ended December 31, 2013, 2012, and 2011, respectively. The 2013 period includes a $20 million charge related to an employee litigation matter as well as $16 million in expenses related to the acquisition of LPS, and a $10 million executive separation charge.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Investments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this segment reflected in the year ended December 31, 2013, reflect results of Remy and subsidiaries which were initially consolidated on August 14, 2012.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5"/>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1"/>
                <w:szCs w:val="21"/>
                <w:color w:val="auto"/>
              </w:rPr>
            </w:pPr>
          </w:p>
        </w:tc>
      </w:tr>
      <w:tr>
        <w:trPr>
          <w:trHeight w:val="25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Auto parts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417</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w:t>
            </w:r>
          </w:p>
        </w:tc>
      </w:tr>
      <w:tr>
        <w:trPr>
          <w:trHeight w:val="237"/>
        </w:trPr>
        <w:tc>
          <w:tcPr>
            <w:tcW w:w="9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5"/>
        </w:trPr>
        <w:tc>
          <w:tcPr>
            <w:tcW w:w="9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auto parts revenue, includes $72 and $27 of depreciation and amortization in the years ended December 31, 2013</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1"/>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2012</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408</w:t>
            </w:r>
          </w:p>
        </w:tc>
      </w:tr>
      <w:tr>
        <w:trPr>
          <w:trHeight w:val="25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year ended December 31, 2013 is the first full twelve-month period for which operating results for Remy have been consolidated. Remy's 2013 revenues decreased due to decreased volume in the original equipment and hybrid divisions, partially offset by an increase in light vehicle aftermarket and favorable foreign currency effects. Remy's cost of sales remained flat at 84% of revenue. The results of the Remy segment for the year ending December 31, 2013 were negatively affected by $3 million in debt extinguishment charges, $4 million of restructuring charges and a $7 million charge to Personnel costs for a one-time executive separation payment made to Remy's former Chief Executive Officer. Prior to consolidation of Remy on August 14, 2012, we previously held a $179 million investment in Remy, which was included in Investments in unconsolidated affiliates on the Consolidated Balance Sheet. As a result of the difference between our basis in these investments and the fair value at the time of consolidation, we recognized a $78 million realized gain during the year ended December 31, 2012. Results for the year ended December 31, 2012, were negatively affected by a one-time mark-to-market fair value adjustment to Remy's finished goods inventory recorded in the third quarter as a result of the purchase accounting related to the Remy acquisition, and $5 million of restructuring costs incurred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year ended December 31, 2013 is the first full twelve-month period for which operating results for the Restaurant Group segment have been consolidated. The results for the year ended December 31, 2012 reflect results of O'Charley's Inc. and subsidiaries as of the date of acquisition, April 9, 2012 through December 31, 2012, the results of ABRH as of the date of merger with O'Charley's, May 11, 2012 through December 31, 2012, as well as the results of J. Alexander's as of the date of acquisition, September 26, 2012 through December 31, 2012.</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1"/>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r>
      <w:tr>
        <w:trPr>
          <w:trHeight w:val="25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Restaurant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908</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9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9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925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from continuing operations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2013, the Restaurant Group achieved moderate revenue growth from operating activities since 2012 including positive same store sales in the fourth quarter at O'Charley's for the first time since its acquisition. The Restaurant Group also completed their integration and began to see expense savings from synergies identified between the legacy ABRH and O'Charley's companies. Also included in the Restaurant Group's 2013 results were $7 million of transaction and integration costs included in Other operating expenses.</w:t>
      </w:r>
    </w:p>
    <w:p>
      <w:pPr>
        <w:spacing w:after="0" w:line="4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its consolidation on April 9, 2012, we held a $14 million investment in common stock of O'Charley's, Inc., which was included in Equity securities available for sale on the Consolidated Balance Sheet and a $37 million investment in ABRH which was included in Investments in unconsolidated affiliates on the Consolidated Balance Sheet. As a result of the difference between our basis in these investments and the fair value at the time of consolidation, we recognized a $73 million realized gain during the year ended December 31, 2012. We also recognized a $48 million bargain purchase gain relating to the acquisition of O'Charley's. See Note B in the Notes to Consolidated Financial Statements for further discussion. Also included in the results of operations of the Restaurant Group for the year ended December 31, 2012 were $19 million of acquisition, transaction, and integration costs related to the O'Charley's tender offer and the subsequent merger with ABRH.</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Corporate and Other</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Portfolio Company Corporate and Other segment includes our share in the operations of certain equity investments, including Ceridian, Digital Insurance, Cascade Timberlands and other smaller operations. This segment also includes our Long Term Incentive Plan ("LTIP") established during 2012 which is tied to the fair value of certain of our Portfolio Company investments. The Portfolio Company Corporate and Other segment generated revenues of $90 million, $11 million, and $18 million for the years ended December 31, 2013, 2012, and 2011, respectively.</w:t>
      </w:r>
    </w:p>
    <w:p>
      <w:pPr>
        <w:spacing w:after="0" w:line="4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increased $79 million in 2013 compared to 2012 and decreased $7 million in 2012 compared to 2011. The increase in 2013 was mainly attributable to the addition of Digital Insurance at the end of 2012, which contributed $69 million in revenue during 2013.</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Personnel costs were $114 million in 2013, $24 million in 2012 and $11 million in 2011. Personnel costs in 2013 include a $54 million accrual for our LTIP. Also included in 2013 were $43 million of personnel costs at Digital Insurance. Personnel costs in 2012 include an $10 million accrual for the LTIP.</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segment generated pretax losses of $59 million, $25 million, and $1 million for the years ended December 31, 2013, 2012, and 2011, respectively. The change in pretax earnings in all periods is primarily related to the additional LTIP expense. The 2012 period includes a $6 million impairment on land held at Cascade Timberlands.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Eliminations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our segment results, which are documented above, we have eliminated transactions between our operating segments which mainly relate to intercompany notes between Fidelity National Financial, Inc., the parent company, and subsidiaries which were entered into during 2012. The related interest has also been eliminated. For the year ending December 31, 2013, interest income on the FNF Corporate and Other segment of $7 million was eliminated against interest expense of $3 million, $1 million and $3 million on the Portfolio Company Corporate and Other, Remy and Restaurant Group segments, respectively. For the year ending December 31, 2012, interest income on the FNF Corporate and Other segment of $1 million was eliminated against interest expense of $1 million on Remy segments.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current cash requirements include personnel costs, operating expenses, claim payments, taxes, payments of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on our debt, capital expenditures, business acquisitions, stock repurchases and dividends on our common stock. We paid dividends of $0.66 per share during 2013, or approximately $153 million. On January 28, 2014, our Board of Directors formally declared an $0.18 per share cash dividend that is payable on March 31, 2014 to stockholders of record as of March 17, 2014.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3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4" w:lineRule="exact"/>
        <w:rPr>
          <w:sz w:val="20"/>
          <w:szCs w:val="20"/>
          <w:color w:val="auto"/>
        </w:rPr>
      </w:pPr>
    </w:p>
    <w:p>
      <w:pPr>
        <w:jc w:val="both"/>
        <w:ind w:firstLine="383"/>
        <w:spacing w:after="0" w:line="266" w:lineRule="auto"/>
        <w:rPr>
          <w:sz w:val="20"/>
          <w:szCs w:val="20"/>
          <w:color w:val="auto"/>
        </w:rPr>
      </w:pPr>
      <w:r>
        <w:rPr>
          <w:rFonts w:ascii="Times New Roman" w:cs="Times New Roman" w:eastAsia="Times New Roman" w:hAnsi="Times New Roman"/>
          <w:sz w:val="18"/>
          <w:szCs w:val="18"/>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22" w:lineRule="exact"/>
        <w:rPr>
          <w:sz w:val="20"/>
          <w:szCs w:val="20"/>
          <w:color w:val="auto"/>
        </w:rPr>
      </w:pPr>
    </w:p>
    <w:p>
      <w:pPr>
        <w:jc w:val="both"/>
        <w:ind w:firstLine="383"/>
        <w:spacing w:after="0" w:line="255" w:lineRule="auto"/>
        <w:rPr>
          <w:sz w:val="20"/>
          <w:szCs w:val="20"/>
          <w:color w:val="auto"/>
        </w:rPr>
      </w:pPr>
      <w:r>
        <w:rPr>
          <w:rFonts w:ascii="Times New Roman" w:cs="Times New Roman" w:eastAsia="Times New Roman" w:hAnsi="Times New Roman"/>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2013, $1,909 million of our net assets were restricted from dividend payments without prior approval from the relevant departments of insurance. During 2014, our title insurance subsidiaries can pay or make distributions to us of approximately $308 million without prior regulatory approval. Our underwritten title companies and non-title insurance subsidiaries collect revenue and pay operating expenses. However, they are not regulated to the same extent as our insurance subsidiaries.</w:t>
      </w:r>
    </w:p>
    <w:p>
      <w:pPr>
        <w:spacing w:after="0" w:line="131" w:lineRule="exact"/>
        <w:rPr>
          <w:sz w:val="20"/>
          <w:szCs w:val="20"/>
          <w:color w:val="auto"/>
        </w:rPr>
      </w:pPr>
    </w:p>
    <w:p>
      <w:pPr>
        <w:jc w:val="both"/>
        <w:ind w:firstLine="388"/>
        <w:spacing w:after="0" w:line="256" w:lineRule="auto"/>
        <w:rPr>
          <w:sz w:val="20"/>
          <w:szCs w:val="20"/>
          <w:color w:val="auto"/>
        </w:rPr>
      </w:pPr>
      <w:r>
        <w:rPr>
          <w:rFonts w:ascii="Times New Roman" w:cs="Times New Roman" w:eastAsia="Times New Roman" w:hAnsi="Times New Roman"/>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13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focused on evaluating our non-core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 On January 31, 2014, our Board of Directors approved a plan to create a tracking stock for our Portfolio Company Investments. We would contribute these Portfolio Company Investments into a new subsidiary, FNFV, and create and distribute a class of shares to FNF shareholders that tracks the performance of FNFV. The primary portfolio company investments that will be contributed to FNFV includes our equity interests in Remy, ABRH, J. Alexander's, Ceridian, and Digital Insurance. We also intend to provide $200 million in financial support to FNFV comprised of $100 million in cash and $100 million in an intercompany loan upon formation of the tracking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All additional investments in existing portfolio companies and any new portfolio company investments will be funded and managed by FNFV. Cash flow from FNF's core operations will be used to reinvest in core operations, repay debt, pay dividends and repurchase stock. During 2011, we were able to increase our liquidity through the sale of our flood and at-risk insurance businesses, which generated approximately $120 million during 2011 and $195 million in 2012 in net cash proceeds. During 2011, we were able to create additional liquidity through the 2010 sale of our 32% interest in Sedgwick, which generated cash proceeds of approximately $32 million in 2011.</w:t>
      </w:r>
    </w:p>
    <w:p>
      <w:pPr>
        <w:spacing w:after="0" w:line="130" w:lineRule="exact"/>
        <w:rPr>
          <w:sz w:val="20"/>
          <w:szCs w:val="20"/>
          <w:color w:val="auto"/>
        </w:rPr>
      </w:pPr>
    </w:p>
    <w:p>
      <w:pPr>
        <w:jc w:val="both"/>
        <w:ind w:firstLine="383"/>
        <w:spacing w:after="0" w:line="256" w:lineRule="auto"/>
        <w:rPr>
          <w:sz w:val="20"/>
          <w:szCs w:val="20"/>
          <w:color w:val="auto"/>
        </w:rPr>
      </w:pPr>
      <w:r>
        <w:rPr>
          <w:rFonts w:ascii="Times New Roman" w:cs="Times New Roman" w:eastAsia="Times New Roman" w:hAnsi="Times New Roman"/>
          <w:sz w:val="18"/>
          <w:szCs w:val="18"/>
          <w:color w:val="auto"/>
        </w:rPr>
        <w:t>Our cash flows provided by operations for the years ended December 31, 2013, 2012, and 2011 were $484 million, $620 million and $110 million, respectively. The decrease in cash provided by operations of $136 million from 2013 to 2012 is primarily due to $16 million in transaction costs related to the acquisition of LPS, a $20 million employee litigation payment, a $12 million increase in prepaid assets, a $7 million payment for an executive severance payment at Remy, a $14 million final payment on a legal settlement and the remainder is attributable to the decrease in operating earnings.The increase in cash provided by operations of $510 million from 2011 to 2012 is due primarily to increased earnings from continuing operations in 2012 as well as lower title claim payments in 2012 compared to 2011.</w:t>
      </w:r>
    </w:p>
    <w:p>
      <w:pPr>
        <w:spacing w:after="0" w:line="132" w:lineRule="exact"/>
        <w:rPr>
          <w:sz w:val="20"/>
          <w:szCs w:val="20"/>
          <w:color w:val="auto"/>
        </w:rPr>
      </w:pPr>
    </w:p>
    <w:p>
      <w:pPr>
        <w:jc w:val="both"/>
        <w:ind w:firstLine="36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Total capital expenditures for property and equipment and capitalized software were $145 million, $79 million and $36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2013, 2012, and 2011, respectively. The increase from 2012 to 2013 is due to increased capital expenditures of $30 million in the Fidelity National Title Group segment, $10 million of which related to building a new headquarters building for our ServiceLink division during 2013 and $11 million of software development costs at our ServiceLink division in 2013. An additional $36 million of capital expenditures were made in our Remy and Restaurant Group segment, primarily related to remodeling efforts in our Restaurant Group and Remy's expansion of a manufacturing facility in China. The increase from 2011 to 2012 is mainly due to $36 million in additions from our Remy and Restaurant Group segments, including capital expenditures in our Restaurant Group segment to remodel existing locations.</w:t>
      </w:r>
    </w:p>
    <w:p>
      <w:pPr>
        <w:spacing w:after="0" w:line="129" w:lineRule="exact"/>
        <w:rPr>
          <w:sz w:val="20"/>
          <w:szCs w:val="20"/>
          <w:color w:val="auto"/>
        </w:rPr>
      </w:pPr>
    </w:p>
    <w:p>
      <w:pPr>
        <w:jc w:val="both"/>
        <w:ind w:firstLine="38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w:t>
      </w:r>
      <w:r>
        <w:rPr>
          <w:rFonts w:ascii="Times New Roman" w:cs="Times New Roman" w:eastAsia="Times New Roman" w:hAnsi="Times New Roman"/>
          <w:sz w:val="18"/>
          <w:szCs w:val="18"/>
          <w:color w:val="auto"/>
        </w:rPr>
        <w:t>For a description of our financing arrangements see Note J to the Consolidated Financial Statements included in Item 8 of Part II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Part II, Item 7.</w:t>
      </w:r>
    </w:p>
    <w:p>
      <w:pPr>
        <w:spacing w:after="0" w:line="5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Seasonality. </w:t>
      </w:r>
      <w:r>
        <w:rPr>
          <w:rFonts w:ascii="Times New Roman" w:cs="Times New Roman" w:eastAsia="Times New Roman" w:hAnsi="Times New Roman"/>
          <w:sz w:val="17"/>
          <w:szCs w:val="17"/>
          <w:color w:val="auto"/>
        </w:rPr>
        <w:t>Historically, real estate transactions have produced seasonal revenue levels for the real estate industry including title insurers. The first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we have seen seasonality trends return to historical patterns. During 2012 and 2013, we experienced an increase in existing home sales to the highest volume levels since 2007. We have also seen a decline in total housing inventory to the lowest levels since 2005.</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22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 term contractual obligations generally include our loss reserves, our credit agreements and other debt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lease payments on certain of our premises and equipment and purchase obligations of Remy and the Restaurant Group.</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our required annual payments relating to these contractual obligations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1,341</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926</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 claim losses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1,636</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3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4,796</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2013, we had title insurance reserves of $1,636 million. The amounts and timing of these obligations are estimated and are not set contractually. While we believe that historical loss payments are a reasonable source for projecting future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121"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 payments, there is significant inherent uncertainty in this payment pattern estimate because of the potential impact of changes in:</w:t>
      </w:r>
    </w:p>
    <w:p>
      <w:pPr>
        <w:spacing w:after="0" w:line="117"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mortgage interest rates, which will affect the number of real estate and refinancing transactions and, therefore, the rate at which title insurance claims will emerge;</w:t>
      </w: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environment whereby court decisions and reinterpretations of title insurance policy language to broaden coverage could increase total obligations and influence claim payout patterns;</w:t>
      </w:r>
    </w:p>
    <w:p>
      <w:pPr>
        <w:ind w:left="660" w:right="2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cost trends whereby increases or decreases in inflationary factors (including the value of real estate) will influence the ultimate amount of title insurance loss payments.</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08" w:lineRule="exact"/>
        <w:rPr>
          <w:sz w:val="20"/>
          <w:szCs w:val="20"/>
          <w:color w:val="auto"/>
        </w:rPr>
      </w:pPr>
    </w:p>
    <w:p>
      <w:pPr>
        <w:jc w:val="both"/>
        <w:ind w:firstLine="397"/>
        <w:spacing w:after="0" w:line="266" w:lineRule="auto"/>
        <w:rPr>
          <w:sz w:val="20"/>
          <w:szCs w:val="20"/>
          <w:color w:val="auto"/>
        </w:rPr>
      </w:pPr>
      <w:r>
        <w:rPr>
          <w:rFonts w:ascii="Times New Roman" w:cs="Times New Roman" w:eastAsia="Times New Roman" w:hAnsi="Times New Roman"/>
          <w:sz w:val="18"/>
          <w:szCs w:val="18"/>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2013 to determine the amount of the obligations.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Remy has long-term customer obligations related to outstanding customer contracts. These contracts designate Remy to be the exclusive supplier to the respective customer, product line or distribution center and require Remy to compensate these customers over several years for store support. Remy has also entered into arrangements with certain customers under which cores, a key component in its remanufacturing operations, are purchased and held in inventory. Credits to be issued to these customers for these arrangements are recorded at net present value and are reflected as long-term customer obligations.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sponsor multiple pension plans and other post-retirement benefit plans. See Note O of the Notes to Consolidated Financial Statements.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contractual obligations include estimated future interest payments on our outstanding debt and an investment commitment entered into in 2013 for $35 million to be made in the future, of which $29 million is outstanding as of December 31, 2013.</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above table does not include the debt we incurred on January 2, 2014 in connection with the LPS acquisition, as described above in Note J of the Notes to Consolidated Financial Statements.</w:t>
      </w:r>
    </w:p>
    <w:p>
      <w:pPr>
        <w:spacing w:after="0" w:line="5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Stock Transactions. </w:t>
      </w:r>
      <w:r>
        <w:rPr>
          <w:rFonts w:ascii="Times New Roman" w:cs="Times New Roman" w:eastAsia="Times New Roman" w:hAnsi="Times New Roman"/>
          <w:sz w:val="18"/>
          <w:szCs w:val="18"/>
          <w:color w:val="auto"/>
        </w:rPr>
        <w:t>Subsequent to year end, on January 2, 2014 as part of the LPS Acquisition, we issued 25,920,078 shares of FNF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 consideration for the LPS Acquisition to the former shareholders of LPS.</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21, 2009, the Board of Directors approved a three-year stock repurchase program under which we could repurchase up to 15 million shares of our common stock through July 31, 2012. On January 27, 2011, our Board of Directors approved an additional 5 million shares that could be repurchased under the program. This program expired July 31, 2012, and we repurchased a total of 16,528,512 shares for $243 million, or an average of $14.73 per share under this program.</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2013, we repurchased a total of 1,400,000 shares for $34 million, or an average of $24.14 per share, under this program. Subsequent to year-end we did not repurchase any shares through market close on February 27, 2014. Since the original commencement of the plan adopted July 21, 2012, we have repurchased a total of 2,080,000 shares for $50 million, or an average of $23.90 per share, and there are 12,920,000 shares available to be repurchased under this program.</w:t>
      </w:r>
    </w:p>
    <w:p>
      <w:pPr>
        <w:spacing w:after="0" w:line="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Security and Preferred Stock Investments. </w:t>
      </w:r>
      <w:r>
        <w:rPr>
          <w:rFonts w:ascii="Times New Roman" w:cs="Times New Roman" w:eastAsia="Times New Roman" w:hAnsi="Times New Roman"/>
          <w:sz w:val="18"/>
          <w:szCs w:val="18"/>
          <w:color w:val="auto"/>
        </w:rPr>
        <w:t>Our equity security and preferred stock investments may be subject to significant volatility. Should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balance of equity securities includes an investment in FIS stock, which we purchased on October 1, 2009 pursuant to an investment agreement between us and FIS dated March 31, 2009 in connection with a merger between FIS and Metavante Technologies, Inc. During the fourth quarter of 2013, we sold 300,000 shares for a realized gain of $11 million. As of December 31, 2013, we owned 1,303,860 shares. The fair value of this investment was $70 million and $56 million as of December 31, 2013 and 2012, respectively.</w:t>
      </w:r>
    </w:p>
    <w:p>
      <w:pPr>
        <w:spacing w:after="0" w:line="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We do not engage in off-balance sheet activities other than facility and equipment leasing arrangements. On June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December 31, 2013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description of recent accounting pronouncements, see Note S of Notes to Consolidated Financial Statements included elsewhere herein.</w:t>
      </w:r>
    </w:p>
    <w:p>
      <w:pPr>
        <w:spacing w:after="0" w:line="11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title insurance revenues.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regularly assess these market risks and have established policies and business practices designed to protect against the adverse effects of these exposures.</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2013, we had $1,323 million in long-term debt, of which $319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However, except for Remy as described below, we do not currently use derivative financial instruments to hedge these risks.</w:t>
      </w:r>
    </w:p>
    <w:p>
      <w:pPr>
        <w:spacing w:after="0" w:line="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2013, Remy entered into a new undesignated interest rate swap agreement of $72 million of the outstanding principal loan balance under which Remy will swap a variable LIBOR rate with a floor of 1.25% to a fixed rate of 4.05% with an effective date of December 30, 2016 and expiration date of December 31, 2019. The notional value of this interest rate swap is $72 million. This interest rate swap is an undesignated hedge and changes in the fair value are recorded as Interest expense in the accompanying Condensed Consolidated Statements of Earnings.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27, 2013, Remy also entered into a designated interest rate swap agreement for $72 million of the outstanding principal balance of its long term debt. Under the terms of the new interest rate swap agreement, Remy will swap a variable LIBOR rate with a floor of 1.25% to a fixed rate of 2.75% with an effective date of December 30, 2016 and expiration date of December 31, 2019. The notional value of this interest rate swap is $72 million. This interest rate swap has been designated as a cash flow hedging instrument.</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interest rate swaps reduce Remy's overall interest rate risk.</w:t>
      </w:r>
    </w:p>
    <w:p>
      <w:pPr>
        <w:spacing w:after="0" w:line="9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121" w:right="2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effectiveness of commodity forward contracts. The principal raw material hedged is copper. Forward contracts are used to mitigate commodity price risk associated with raw materials, generally related to purchases forecast for up to twenty-four months in the future. Additionally, Remy purchases certain commodities during the normal course of business which result in physical delivery and are excluded from hedge accounting.</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Remy had thirty-two commodity price hedge contracts outstanding at December 31, 2013, with combined notional quantities of 6,368 metric tons of copper. These contracts mature within the next eighteen months. These contracts were designated as cash flow hedging instruments.</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Equity price risk is the risk that we will incur economic losses due to adverse changes in equity prices. In the past, our exposure to changes in equity prices primarily resulted from our holdings of equity securities. At December 31, 2013, we held $136 million in marketable equity securities (not including our investments in preferred stock of $151 million at December 31, 2013 and our Investments in unconsolidated affiliates, which amounted to $357 million at December 31, 2013).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5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our equity securities, fixed maturity investments and borrowings, we hold structured notes which were purchased during 2009 with a par value of $38 million and fair value of $41 million at December 31, 2013. These instruments are subject to market risks including commodity price risk. The fair value of these instruments represents exit prices obtained from a proprietary valuation model utilized by the trading desk of a broker-dealer. The fair value of the structured notes is subject to various assumptions utilized in the valuation model, including the underlying value of the relevant commodities index. The structured notes are held for general investment purposes and represent one percent of our total investment portfolio. In part because of the relatively small size of this investment, we do not believe that an adverse change in the relevant commodity prices, foreign exchange rates or interest rates on which the value of the notes depends would likely have a material effect on our financial position, and therefore we have not provided a sensitivity analysis for these instruments.</w:t>
      </w:r>
    </w:p>
    <w:p>
      <w:pPr>
        <w:spacing w:after="0" w:line="1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primarily of accounts receivable and cash investments. We require placement of cash in financial institutions evaluated as highly creditworthy. Remy's customer base includes global light and commercial vehicle manufacturers and a large number of retailers, distributors and installers of automotive aftermarket parts. Remy evaluates the credit and the geographical dispersion of sales transactions to help mitigate credit risk concentration.</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Remy manufactures and sells products primarily in North America, South America, Asia, Europe and Africa. As a result Remy's financial results could be significantly affected by factors such as changes in foreign currency exchange rates or weak economic conditions in foreign markets in which we manufacture and sell our products. Remy generally uses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twenty-four months to hedge against currency rate fluctuations, some of which are designated as hedges. See Note E for further discussion.</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 that there would be a significant change in the fair value of other long-term investments or short-term investments if there were a change in market conditions, based on the nature and duration of the financial instruments involved.</w:t>
      </w:r>
    </w:p>
    <w:p>
      <w:pPr>
        <w:spacing w:after="0" w:line="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32.8% of total liabilities at December 31, 2013) is not included in the hypothetical effects.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 market risk sensitive instruments entered into for trading purposes; therefore, all of our market risk sensitive instruments were entered into for purposes other than trading. The results of the sensitivity analysis at December 31, 2013 and December 31, 2012, are as follows: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2013, an increase (decrease) in the levels of interest rates of 100 basis points, with all other variables held constant, would result in a (decrease) increase in the fair value of our fixed maturity securities and certain of our investments in preferred stock which are tied to interest rates of $89 million as compared with a (decrease) increase of $111 million at December 31, 2012.</w:t>
      </w:r>
    </w:p>
    <w:p>
      <w:pPr>
        <w:spacing w:after="0" w:line="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for the years ended December 31, 2013 and 2012, a decrease of 100 basis points in the levels of interest rates, with all other variables held constant, would result in no decrease in the interest expense on our average outstanding floating rate debt as the current LIBOR rate is less than 1%. An increase of 100 basis points in the levels of interest rates, with all other variables held constant, would result in an increase in the interest expense of our average outstanding floating rate debt of $1 million for the year ended December 31, 2013, which is consistent with the increase of $1 million for the year ended December 31, 2012.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Price Risk</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2013, a 20% increase (decrease) in market prices, with all other variables held constant, would result in an increase (decrease) in the fair value of our equity securities portfolio of $27 million, as compared with an increase (decrease) of $28 million at December 31, 2012.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INFORMATION</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5"/>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1"/>
        </w:trPr>
        <w:tc>
          <w:tcPr>
            <w:tcW w:w="10240" w:type="dxa"/>
            <w:vAlign w:val="bottom"/>
            <w:gridSpan w:val="9"/>
          </w:tcPr>
          <w:p>
            <w:pPr>
              <w:spacing w:after="0" w:line="201"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9"/>
              <w:spacing w:after="0" w:line="201"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53</w:t>
              </w:r>
            </w:hyperlink>
          </w:p>
        </w:tc>
        <w:tc>
          <w:tcPr>
            <w:tcW w:w="480" w:type="dxa"/>
            <w:vAlign w:val="bottom"/>
          </w:tcPr>
          <w:p>
            <w:pPr>
              <w:spacing w:after="0"/>
              <w:rPr>
                <w:sz w:val="17"/>
                <w:szCs w:val="17"/>
                <w:color w:val="auto"/>
              </w:rPr>
            </w:pPr>
          </w:p>
        </w:tc>
      </w:tr>
      <w:tr>
        <w:trPr>
          <w:trHeight w:val="250"/>
        </w:trPr>
        <w:tc>
          <w:tcPr>
            <w:tcW w:w="868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54</w:t>
              </w:r>
            </w:hyperlink>
          </w:p>
        </w:tc>
        <w:tc>
          <w:tcPr>
            <w:tcW w:w="480" w:type="dxa"/>
            <w:vAlign w:val="bottom"/>
          </w:tcPr>
          <w:p>
            <w:pPr>
              <w:spacing w:after="0"/>
              <w:rPr>
                <w:sz w:val="21"/>
                <w:szCs w:val="21"/>
                <w:color w:val="auto"/>
              </w:rPr>
            </w:pPr>
          </w:p>
        </w:tc>
      </w:tr>
      <w:tr>
        <w:trPr>
          <w:trHeight w:val="250"/>
        </w:trPr>
        <w:tc>
          <w:tcPr>
            <w:tcW w:w="6980" w:type="dxa"/>
            <w:vAlign w:val="bottom"/>
            <w:tcBorders>
              <w:top w:val="single" w:sz="8" w:color="0000EE"/>
            </w:tcBorders>
            <w:gridSpan w:val="6"/>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Balance Sheets as of December 31, 2013 and 2012</w:t>
              </w:r>
            </w:hyperlink>
          </w:p>
        </w:tc>
        <w:tc>
          <w:tcPr>
            <w:tcW w:w="32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56">
              <w:r>
                <w:rPr>
                  <w:rFonts w:ascii="Times New Roman" w:cs="Times New Roman" w:eastAsia="Times New Roman" w:hAnsi="Times New Roman"/>
                  <w:sz w:val="18"/>
                  <w:szCs w:val="18"/>
                  <w:color w:val="0000EE"/>
                  <w:w w:val="99"/>
                </w:rPr>
                <w:t>55</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6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Earnings for the years ended December 31, 2013, 2012, and 2011</w:t>
              </w:r>
            </w:hyperlink>
          </w:p>
        </w:tc>
        <w:tc>
          <w:tcPr>
            <w:tcW w:w="3500" w:type="dxa"/>
            <w:vAlign w:val="bottom"/>
            <w:gridSpan w:val="5"/>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56</w:t>
              </w:r>
            </w:hyperlink>
          </w:p>
        </w:tc>
        <w:tc>
          <w:tcPr>
            <w:tcW w:w="480" w:type="dxa"/>
            <w:vAlign w:val="bottom"/>
          </w:tcPr>
          <w:p>
            <w:pPr>
              <w:spacing w:after="0"/>
              <w:rPr>
                <w:sz w:val="21"/>
                <w:szCs w:val="21"/>
                <w:color w:val="auto"/>
              </w:rPr>
            </w:pPr>
          </w:p>
        </w:tc>
      </w:tr>
      <w:tr>
        <w:trPr>
          <w:trHeight w:val="250"/>
        </w:trPr>
        <w:tc>
          <w:tcPr>
            <w:tcW w:w="79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Consolidated Statements of Comprehensive Earnings for the years ended December 31, 2013, 2012, and 2011</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57</w:t>
              </w:r>
            </w:hyperlink>
          </w:p>
        </w:tc>
        <w:tc>
          <w:tcPr>
            <w:tcW w:w="480" w:type="dxa"/>
            <w:vAlign w:val="bottom"/>
          </w:tcPr>
          <w:p>
            <w:pPr>
              <w:spacing w:after="0"/>
              <w:rPr>
                <w:sz w:val="21"/>
                <w:szCs w:val="21"/>
                <w:color w:val="auto"/>
              </w:rPr>
            </w:pPr>
          </w:p>
        </w:tc>
      </w:tr>
      <w:tr>
        <w:trPr>
          <w:trHeight w:val="250"/>
        </w:trPr>
        <w:tc>
          <w:tcPr>
            <w:tcW w:w="65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Equity for the years ended December 31, 2013, 2012, and 2011</w:t>
              </w:r>
            </w:hyperlink>
          </w:p>
        </w:tc>
        <w:tc>
          <w:tcPr>
            <w:tcW w:w="3660" w:type="dxa"/>
            <w:vAlign w:val="bottom"/>
            <w:gridSpan w:val="6"/>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58</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Consolidated Statements of Cash Flows for the years ended December 31, 2013, 2012, and 2011</w:t>
              </w:r>
            </w:hyperlink>
          </w:p>
        </w:tc>
        <w:tc>
          <w:tcPr>
            <w:tcW w:w="660" w:type="dxa"/>
            <w:vAlign w:val="bottom"/>
            <w:gridSpan w:val="2"/>
          </w:tcPr>
          <w:p>
            <w:pPr>
              <w:jc w:val="center"/>
              <w:ind w:left="399"/>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59</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60</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Fidelity National Financial, Inc.’s internal control over financial reporting as of December 31, 2013, based on criteria established in </w:t>
      </w:r>
      <w:r>
        <w:rPr>
          <w:rFonts w:ascii="Times New Roman" w:cs="Times New Roman" w:eastAsia="Times New Roman" w:hAnsi="Times New Roman"/>
          <w:sz w:val="18"/>
          <w:szCs w:val="18"/>
          <w:i w:val="1"/>
          <w:iCs w:val="1"/>
          <w:color w:val="auto"/>
        </w:rPr>
        <w:t xml:space="preserve">Internal Control - Integrated Framework (1992) </w:t>
      </w:r>
      <w:r>
        <w:rPr>
          <w:rFonts w:ascii="Times New Roman" w:cs="Times New Roman" w:eastAsia="Times New Roman" w:hAnsi="Times New Roman"/>
          <w:sz w:val="18"/>
          <w:szCs w:val="18"/>
          <w:color w:val="auto"/>
        </w:rPr>
        <w:t>issued by the Committee of Sponsoring Organizations of the Treadway Commission (COSO). Fidelity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In our opinion, Fidelity National Financial, Inc. maintained, in all material respects, effective internal control over financial reporting as of December 31, 2013,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the Consolidated Balance Sheets of Fidelity National Financial, Inc. and subsidiaries as of December 31, 2013 and 2012, and the related Consolidated Statements of Earnings, Comprehensive Earnings, Equity and Cash Flows for each of the years in the three-year period ended December 31, 2013, and our report dated February 28, 2014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Fidelity National Financial, Inc. and subsidiaries as of December 31, 2013 and 2012, and the related Consolidated Statements of Earnings, Comprehensive Earnings, Equity and Cash Flows for each of the years in the three-year period ended December 31, 2013. These Consolidated Financial Statements are the responsibility of the Company’s management. Our responsibility is to express an opinion on these Consolidated Financial Statements based on our audits.</w:t>
      </w:r>
    </w:p>
    <w:p>
      <w:pPr>
        <w:spacing w:after="0" w:line="8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Fidelity National Financial, Inc. and subsidiaries as of December 31, 2013 and 2012, and the results of their operations and their cash flows for each of the years in the three-year period ended December 31, 2013, in conformity with U.S. generally accepted accounting principles.</w:t>
      </w:r>
    </w:p>
    <w:p>
      <w:pPr>
        <w:spacing w:after="0" w:line="95"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Fidelity National Financial, Inc.’s internal control over financial reporting as of December 31, 2013, based on criteria established in </w:t>
      </w:r>
      <w:r>
        <w:rPr>
          <w:rFonts w:ascii="Times New Roman" w:cs="Times New Roman" w:eastAsia="Times New Roman" w:hAnsi="Times New Roman"/>
          <w:sz w:val="18"/>
          <w:szCs w:val="18"/>
          <w:i w:val="1"/>
          <w:iCs w:val="1"/>
          <w:color w:val="auto"/>
        </w:rPr>
        <w:t>Internal Control — Integrated Framework (1992)</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February 28, 2014 expressed an unqualified opinion on the effectiveness of the Company’s internal control over financial reporting.</w:t>
      </w:r>
    </w:p>
    <w:p>
      <w:pPr>
        <w:spacing w:after="0" w:line="3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KPMG LLP</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Fixed maturities available for sale, at fair value, at December 31, 2013 and 2012, includes pledged fixed maturities of $261 and $275, respectively,</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2,959</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3,140</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related to secured trust deposits</w:t>
            </w:r>
          </w:p>
        </w:tc>
        <w:tc>
          <w:tcPr>
            <w:tcW w:w="24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available for sale, at fair value</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Equity securities available for sale, at fair value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Investments in unconsolidated affiliates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392</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investments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Short-term investments</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3,791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4,053</w:t>
            </w:r>
          </w:p>
        </w:tc>
        <w:tc>
          <w:tcPr>
            <w:tcW w:w="0" w:type="dxa"/>
            <w:vAlign w:val="bottom"/>
          </w:tcPr>
          <w:p>
            <w:pPr>
              <w:spacing w:after="0"/>
              <w:rPr>
                <w:sz w:val="1"/>
                <w:szCs w:val="1"/>
                <w:color w:val="auto"/>
              </w:rPr>
            </w:pPr>
          </w:p>
        </w:tc>
      </w:tr>
      <w:tr>
        <w:trPr>
          <w:trHeight w:val="193"/>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December 31, 2013 and 2012, includes pledged cash of $339 and $266,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73"/>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Trade and notes receivables, net of allowance of $21 and $22 at December 31, 2013 and 2012, respectively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1,908</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678</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plants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370</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taxes receivable</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2"/>
        </w:trPr>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10,524</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34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Liabilities:</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Accounts payable and other accrued liabilities, at December 31, 2013 and 2012, includes accounts payable to related parties of $3 and $5,</w:t>
            </w:r>
          </w:p>
        </w:tc>
        <w:tc>
          <w:tcPr>
            <w:tcW w:w="24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1,291</w:t>
            </w: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w:t>
            </w:r>
          </w:p>
        </w:tc>
        <w:tc>
          <w:tcPr>
            <w:tcW w:w="24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taxes payable</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Notes payable</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1,344</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Reserve for title claim losses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1,748</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 trust deposits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588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Deferred tax liability</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4,982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5,154</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Equity:</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180"/>
              <w:spacing w:after="0" w:line="158" w:lineRule="exact"/>
              <w:rPr>
                <w:sz w:val="20"/>
                <w:szCs w:val="20"/>
                <w:color w:val="auto"/>
              </w:rPr>
            </w:pPr>
            <w:r>
              <w:rPr>
                <w:rFonts w:ascii="Times New Roman" w:cs="Times New Roman" w:eastAsia="Times New Roman" w:hAnsi="Times New Roman"/>
                <w:sz w:val="14"/>
                <w:szCs w:val="14"/>
                <w:color w:val="auto"/>
              </w:rPr>
              <w:t>Common stock, Class A, $0.0001 par value; authorized, 600,000,000 shares as of December 31, 2013 and 2012; issued 292,289,166 shares and</w:t>
            </w:r>
          </w:p>
        </w:tc>
        <w:tc>
          <w:tcPr>
            <w:tcW w:w="24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268,541,117 shares at December 31, 2013 and 2012, respectively</w:t>
            </w:r>
          </w:p>
        </w:tc>
        <w:tc>
          <w:tcPr>
            <w:tcW w:w="2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Preferred stock, $0.0001 par value; authorized, 50,000,000 shares; issued and outstanding, none</w:t>
            </w:r>
          </w:p>
        </w:tc>
        <w:tc>
          <w:tcPr>
            <w:tcW w:w="24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4,642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4,018</w:t>
            </w:r>
          </w:p>
        </w:tc>
        <w:tc>
          <w:tcPr>
            <w:tcW w:w="0" w:type="dxa"/>
            <w:vAlign w:val="bottom"/>
          </w:tcPr>
          <w:p>
            <w:pPr>
              <w:spacing w:after="0"/>
              <w:rPr>
                <w:sz w:val="1"/>
                <w:szCs w:val="1"/>
                <w:color w:val="auto"/>
              </w:rPr>
            </w:pPr>
          </w:p>
        </w:tc>
      </w:tr>
      <w:tr>
        <w:trPr>
          <w:trHeight w:val="265"/>
        </w:trPr>
        <w:tc>
          <w:tcPr>
            <w:tcW w:w="88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1,096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849</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earnings</w:t>
            </w: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treasury stock, 41,948,518 shares and 39,995,513 shares as of December 31, 2013 and 2012, respectively, at cost</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(658)</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5,068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4,268</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5,542</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4,749</w:t>
            </w:r>
          </w:p>
        </w:tc>
        <w:tc>
          <w:tcPr>
            <w:tcW w:w="0" w:type="dxa"/>
            <w:vAlign w:val="bottom"/>
          </w:tcPr>
          <w:p>
            <w:pPr>
              <w:spacing w:after="0"/>
              <w:rPr>
                <w:sz w:val="1"/>
                <w:szCs w:val="1"/>
                <w:color w:val="auto"/>
              </w:rPr>
            </w:pPr>
          </w:p>
        </w:tc>
      </w:tr>
      <w:tr>
        <w:trPr>
          <w:trHeight w:val="242"/>
        </w:trPr>
        <w:tc>
          <w:tcPr>
            <w:tcW w:w="88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10,524</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9,903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7" w:right="239" w:bottom="1440"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0" w:type="dxa"/>
            <w:vAlign w:val="bottom"/>
            <w:gridSpan w:val="6"/>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780" w:type="dxa"/>
            <w:vAlign w:val="bottom"/>
          </w:tcPr>
          <w:p>
            <w:pPr>
              <w:spacing w:after="0"/>
              <w:rPr>
                <w:sz w:val="17"/>
                <w:szCs w:val="17"/>
                <w:color w:val="auto"/>
              </w:rPr>
            </w:pP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Direct title insurance premiums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1,800</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1,732</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1,427</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Agency title insurance premiums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2,101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1,830</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Escrow, title-related and other fees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1,676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1,393</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Auto parts revenue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Restaurant revenue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and investment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143</w:t>
            </w:r>
          </w:p>
        </w:tc>
      </w:tr>
      <w:tr>
        <w:trPr>
          <w:trHeight w:val="265"/>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Realized gains and losses, net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5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8,565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7,165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4,800</w:t>
            </w:r>
          </w:p>
        </w:tc>
      </w:tr>
      <w:tr>
        <w:trPr>
          <w:trHeight w:val="24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Personnel costs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1,568</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Agent commissions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1,411</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operating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1,064</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Cost of auto parts revenue, includes $72 and $27 of depreciation and amortization in the years ended December 31, 2013 and 2012</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 of restaurant revenue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Provision for title claim losses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r>
      <w:tr>
        <w:trPr>
          <w:trHeight w:val="265"/>
        </w:trPr>
        <w:tc>
          <w:tcPr>
            <w:tcW w:w="7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57</w:t>
            </w:r>
          </w:p>
        </w:tc>
      </w:tr>
      <w:tr>
        <w:trPr>
          <w:trHeight w:val="250"/>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7,914</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6,330</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4,395</w:t>
            </w:r>
          </w:p>
        </w:tc>
      </w:tr>
      <w:tr>
        <w:trPr>
          <w:trHeight w:val="250"/>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from continuing operations before income taxes and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405</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w:t>
            </w:r>
          </w:p>
        </w:tc>
      </w:tr>
      <w:tr>
        <w:trPr>
          <w:trHeight w:val="250"/>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from continuing operations before equity in (loss) earnings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Equity in (loss) earnings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50"/>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284</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earnings from discontinued operations,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r>
      <w:tr>
        <w:trPr>
          <w:trHeight w:val="250"/>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Net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r>
      <w:tr>
        <w:trPr>
          <w:trHeight w:val="282"/>
        </w:trPr>
        <w:tc>
          <w:tcPr>
            <w:tcW w:w="77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369</w:t>
            </w:r>
          </w:p>
        </w:tc>
      </w:tr>
      <w:tr>
        <w:trPr>
          <w:trHeight w:val="224"/>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i w:val="1"/>
                <w:iCs w:val="1"/>
                <w:color w:val="auto"/>
              </w:rPr>
              <w:t>Basic</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Fidelity National Financial, Inc. common shareholders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Fidelity National Financial, Inc. common shareholders</w:t>
            </w:r>
          </w:p>
        </w:tc>
        <w:tc>
          <w:tcPr>
            <w:tcW w:w="26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0.43</w:t>
            </w:r>
          </w:p>
        </w:tc>
      </w:tr>
      <w:tr>
        <w:trPr>
          <w:trHeight w:val="242"/>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1.68</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 basic basis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219</w:t>
            </w:r>
          </w:p>
        </w:tc>
      </w:tr>
      <w:tr>
        <w:trPr>
          <w:trHeight w:val="224"/>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i w:val="1"/>
                <w:iCs w:val="1"/>
                <w:color w:val="auto"/>
              </w:rPr>
              <w:t>Diluted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Fidelity National Financial, Inc. common shareholders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r>
      <w:tr>
        <w:trPr>
          <w:trHeight w:val="270"/>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Fidelity National Financial, Inc. common shareholders</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0.05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0.43</w:t>
            </w:r>
          </w:p>
        </w:tc>
      </w:tr>
      <w:tr>
        <w:trPr>
          <w:trHeight w:val="282"/>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1.71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1.65</w:t>
            </w:r>
          </w:p>
        </w:tc>
      </w:tr>
      <w:tr>
        <w:trPr>
          <w:trHeight w:val="21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 average shares outstanding, diluted basis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223</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Dividends per share</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0.66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0.48</w:t>
            </w:r>
          </w:p>
        </w:tc>
      </w:tr>
      <w:tr>
        <w:trPr>
          <w:trHeight w:val="224"/>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Amounts attributable to Fidelity National Financial, Inc., common shareholders: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65"/>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from continuing operations, attributable to Fidelity National Financial, Inc. common shareholders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403</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w:t>
            </w:r>
          </w:p>
        </w:tc>
      </w:tr>
      <w:tr>
        <w:trPr>
          <w:trHeight w:val="270"/>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earnings from discontinued operations, attributable to Fidelity National Financial, Inc. common shareholders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95</w:t>
            </w:r>
          </w:p>
        </w:tc>
      </w:tr>
      <w:tr>
        <w:trPr>
          <w:trHeight w:val="242"/>
        </w:trPr>
        <w:tc>
          <w:tcPr>
            <w:tcW w:w="7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earnings attributable to Fidelity National Financial, Inc. common shareholders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402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369</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ectPr>
          <w:pgSz w:w="11900" w:h="16838" w:orient="portrait"/>
          <w:cols w:equalWidth="0" w:num="1">
            <w:col w:w="11420"/>
          </w:cols>
          <w:pgMar w:left="240" w:top="117"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17" w:right="239" w:bottom="1440" w:gutter="0" w:footer="0" w:header="0"/>
          <w:type w:val="continuous"/>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EARNINGS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earnings</w:t>
            </w:r>
          </w:p>
        </w:tc>
        <w:tc>
          <w:tcPr>
            <w:tcW w:w="760" w:type="dxa"/>
            <w:vAlign w:val="bottom"/>
            <w:tcBorders>
              <w:bottom w:val="single" w:sz="8" w:color="CCEEFF"/>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77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(loss) gain on investments and other financial instruments, net (excluding investments in</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3"/>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unconsolidated affiliates)</w:t>
            </w: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Unrealized (loss) gain relating to investments in unconsolidated affiliates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(loss) gain on foreign currency translation and cash flow hedging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Reclassification adjustments for change in unrealized gains and losses included in net earnings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Minimum pension liability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earnings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r>
      <w:tr>
        <w:trPr>
          <w:trHeight w:val="237"/>
        </w:trPr>
        <w:tc>
          <w:tcPr>
            <w:tcW w:w="7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Comprehensive earnings attributable to noncontrolling interests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earnings attributable to Fidelity National Financial Inc. common shareholders</w:t>
            </w: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349</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17"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Fidelity National Financial, Inc. Common Shareholders</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320" w:type="dxa"/>
            <w:vAlign w:val="bottom"/>
            <w:gridSpan w:val="5"/>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320" w:type="dxa"/>
            <w:vAlign w:val="bottom"/>
            <w:gridSpan w:val="5"/>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32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88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42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9"/>
                <w:szCs w:val="9"/>
                <w:color w:val="auto"/>
              </w:rPr>
            </w:pPr>
          </w:p>
        </w:tc>
        <w:tc>
          <w:tcPr>
            <w:tcW w:w="68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220"/>
              <w:spacing w:after="0" w:line="109"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20" w:type="dxa"/>
            <w:vAlign w:val="bottom"/>
          </w:tcPr>
          <w:p>
            <w:pPr>
              <w:spacing w:after="0"/>
              <w:rPr>
                <w:sz w:val="9"/>
                <w:szCs w:val="9"/>
                <w:color w:val="auto"/>
              </w:rPr>
            </w:pPr>
          </w:p>
        </w:tc>
        <w:tc>
          <w:tcPr>
            <w:tcW w:w="540" w:type="dxa"/>
            <w:vAlign w:val="bottom"/>
          </w:tcPr>
          <w:p>
            <w:pPr>
              <w:jc w:val="right"/>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6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7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Earnings (Loss)</w:t>
            </w: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1"/>
        </w:trPr>
        <w:tc>
          <w:tcPr>
            <w:tcW w:w="3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2010</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3,745</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3,444</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44"/>
        </w:trPr>
        <w:tc>
          <w:tcPr>
            <w:tcW w:w="38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Issuance of convertible notes, net of deferred taxes of $8 and issuance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costs of $1</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 benefit associated with the exercise of stock-based compensation</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 investments and</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44"/>
        </w:trPr>
        <w:tc>
          <w:tcPr>
            <w:tcW w:w="38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 loss on investments 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 foreign currency</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7"/>
              </w:rPr>
              <w:t>Other comprehensive earnings — minimum pension liability adjustment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7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379</w:t>
            </w:r>
          </w:p>
        </w:tc>
        <w:tc>
          <w:tcPr>
            <w:tcW w:w="0" w:type="dxa"/>
            <w:vAlign w:val="bottom"/>
          </w:tcPr>
          <w:p>
            <w:pPr>
              <w:spacing w:after="0"/>
              <w:rPr>
                <w:sz w:val="1"/>
                <w:szCs w:val="1"/>
                <w:color w:val="auto"/>
              </w:rPr>
            </w:pPr>
          </w:p>
        </w:tc>
      </w:tr>
      <w:tr>
        <w:trPr>
          <w:trHeight w:val="249"/>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December 31, 2011</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255</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3,799</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3,656</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of O'Charley's, Inc.</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154</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91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Tax benefit associated with the exercise of stock-based compensation</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38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 gain on investments and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5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gain on investments in</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gain on foreign currency</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7"/>
              </w:rPr>
              <w:t>Other comprehensive earnings — minimum pension liability adjustment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262"/>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Contributions to noncontrolling interests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Consolidation of previous minority-owned subsidiary</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462</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264"/>
        </w:trPr>
        <w:tc>
          <w:tcPr>
            <w:tcW w:w="38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607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612</w:t>
            </w:r>
          </w:p>
        </w:tc>
        <w:tc>
          <w:tcPr>
            <w:tcW w:w="0" w:type="dxa"/>
            <w:vAlign w:val="bottom"/>
          </w:tcPr>
          <w:p>
            <w:pPr>
              <w:spacing w:after="0"/>
              <w:rPr>
                <w:sz w:val="1"/>
                <w:szCs w:val="1"/>
                <w:color w:val="auto"/>
              </w:rPr>
            </w:pPr>
          </w:p>
        </w:tc>
      </w:tr>
      <w:tr>
        <w:trPr>
          <w:trHeight w:val="257"/>
        </w:trPr>
        <w:tc>
          <w:tcPr>
            <w:tcW w:w="3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Balance, December 31, 2012</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4,018</w:t>
            </w:r>
          </w:p>
        </w:tc>
        <w:tc>
          <w:tcPr>
            <w:tcW w:w="3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4,749</w:t>
            </w:r>
          </w:p>
        </w:tc>
        <w:tc>
          <w:tcPr>
            <w:tcW w:w="0" w:type="dxa"/>
            <w:vAlign w:val="bottom"/>
          </w:tcPr>
          <w:p>
            <w:pPr>
              <w:spacing w:after="0"/>
              <w:rPr>
                <w:sz w:val="1"/>
                <w:szCs w:val="1"/>
                <w:color w:val="auto"/>
              </w:rPr>
            </w:pPr>
          </w:p>
        </w:tc>
      </w:tr>
      <w:tr>
        <w:trPr>
          <w:trHeight w:val="262"/>
        </w:trPr>
        <w:tc>
          <w:tcPr>
            <w:tcW w:w="3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Equity offering</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511</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5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61</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61</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Treasury stock repurchased</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Tax benefit associated with the exercise of stock-based compensation</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restricted stock</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 investments and</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4"/>
        </w:trPr>
        <w:tc>
          <w:tcPr>
            <w:tcW w:w="388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Other comprehensive earnings — unrealized loss on investments in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Other comprehensive earnings — unrealized loss on foreign currency</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and cash flow hedging</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97"/>
              </w:rPr>
              <w:t>Other comprehensive earnings — minimum pension liability adjustment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30</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Shares withheld for taxes and in treasury</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Contributions to noncontrolling interests</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Consolidation of previous minority-owned subsidiary</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7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Dividends declared</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0" w:type="dxa"/>
            <w:vAlign w:val="bottom"/>
          </w:tcPr>
          <w:p>
            <w:pPr>
              <w:spacing w:after="0"/>
              <w:rPr>
                <w:sz w:val="1"/>
                <w:szCs w:val="1"/>
                <w:color w:val="auto"/>
              </w:rPr>
            </w:pPr>
          </w:p>
        </w:tc>
      </w:tr>
      <w:tr>
        <w:trPr>
          <w:trHeight w:val="262"/>
        </w:trPr>
        <w:tc>
          <w:tcPr>
            <w:tcW w:w="38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Subsidiary dividends paid to noncontrolling interests</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22"/>
                <w:szCs w:val="22"/>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22"/>
                <w:szCs w:val="22"/>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2"/>
                <w:szCs w:val="22"/>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2"/>
                <w:szCs w:val="22"/>
                <w:color w:val="auto"/>
              </w:rPr>
            </w:pPr>
          </w:p>
        </w:tc>
        <w:tc>
          <w:tcPr>
            <w:tcW w:w="9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272"/>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earnings</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419</w:t>
            </w:r>
          </w:p>
        </w:tc>
        <w:tc>
          <w:tcPr>
            <w:tcW w:w="0" w:type="dxa"/>
            <w:vAlign w:val="bottom"/>
          </w:tcPr>
          <w:p>
            <w:pPr>
              <w:spacing w:after="0"/>
              <w:rPr>
                <w:sz w:val="1"/>
                <w:szCs w:val="1"/>
                <w:color w:val="auto"/>
              </w:rPr>
            </w:pPr>
          </w:p>
        </w:tc>
      </w:tr>
      <w:tr>
        <w:trPr>
          <w:trHeight w:val="242"/>
        </w:trPr>
        <w:tc>
          <w:tcPr>
            <w:tcW w:w="3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Balance, December 31, 2013</w:t>
            </w:r>
          </w:p>
        </w:tc>
        <w:tc>
          <w:tcPr>
            <w:tcW w:w="5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292</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4,642</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1,096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5,542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See Notes to Consolidated Financial Statements.</w:t>
      </w:r>
    </w:p>
    <w:p>
      <w:pPr>
        <w:sectPr>
          <w:pgSz w:w="11900" w:h="16838" w:orient="portrait"/>
          <w:cols w:equalWidth="0" w:num="1">
            <w:col w:w="11420"/>
          </w:cols>
          <w:pgMar w:left="240" w:top="121" w:right="239" w:bottom="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9019"/>
          </w:cols>
          <w:pgMar w:left="1440" w:top="364" w:right="1440" w:bottom="1440" w:gutter="0" w:footer="0" w:header="0"/>
        </w:sectPr>
      </w:pPr>
    </w:p>
    <w:bookmarkStart w:id="61" w:name="page62"/>
    <w:bookmarkEnd w:id="61"/>
    <w:p>
      <w:pPr>
        <w:spacing w:after="0" w:line="6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earnings</w:t>
            </w: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612</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379</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76</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Equity in losses (earnings) of unconsolidated affiliates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(gain) loss on sales of investments and other assets, net</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consolidation of O'Charley's, Inc. and American Blue Ribbon Holdings, LLC</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Bargain purchase gain on O'Charley's, Inc.</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Gain on consolidation of Remy International, Inc.</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gain on sale of at-risk and flood insurance businesses</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cost</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Tax benefit associated with the exercise of stock-based compensation</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assets and liabilities, net of effects from acquisitions: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(increase) in pledged cash, pledged investments and secured trust deposits</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(increase) decrease in trade receivables</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(increase) in prepaid expenses and other assets</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75"/>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(decrease) increase in accounts payable, accrued liabilities, deferred revenue and other</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65"/>
        </w:trPr>
        <w:tc>
          <w:tcPr>
            <w:tcW w:w="77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Net decrease in reserve for title claim losses</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r>
      <w:tr>
        <w:trPr>
          <w:trHeight w:val="270"/>
        </w:trPr>
        <w:tc>
          <w:tcPr>
            <w:tcW w:w="7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Net change in income taxes</w:t>
            </w:r>
          </w:p>
        </w:tc>
        <w:tc>
          <w:tcPr>
            <w:tcW w:w="7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150</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110</w:t>
            </w:r>
          </w:p>
        </w:tc>
      </w:tr>
      <w:tr>
        <w:trPr>
          <w:trHeight w:val="25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investment securities available for sale</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739</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calls and maturities of investment securities available for sale</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549</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sales of other assets</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Additions to property and equipment and capitalized software</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Purchases of investment securities available for sale</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(1,299)</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other long-term investments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proceeds from (purchases of) short-term investment activities</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contributions to investments in unconsolidated affiliates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from unconsolidated affiliates</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other investing activities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the sale of flood insurance business</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sale of Sedgwick CMS</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O'Charley's, Inc. and American Blue Ribbon Holdings, LLC, net of cash acquired</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of J. Alexander's Corporation, net of cash acquired</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Acquisition of Remy International, Inc., net of cash acquired</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sale of at-risk insurance business</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Digital Insurance, Inc. net of cash acquired</w:t>
            </w:r>
          </w:p>
        </w:tc>
        <w:tc>
          <w:tcPr>
            <w:tcW w:w="740" w:type="dxa"/>
            <w:vAlign w:val="bottom"/>
          </w:tcPr>
          <w:p>
            <w:pPr>
              <w:spacing w:after="0"/>
              <w:rPr>
                <w:sz w:val="23"/>
                <w:szCs w:val="23"/>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acquisitions/disposals of businesses, net of cash acquired</w:t>
            </w:r>
          </w:p>
        </w:tc>
        <w:tc>
          <w:tcPr>
            <w:tcW w:w="7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7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164</w:t>
            </w:r>
          </w:p>
        </w:tc>
      </w:tr>
      <w:tr>
        <w:trPr>
          <w:trHeight w:val="255"/>
        </w:trPr>
        <w:tc>
          <w:tcPr>
            <w:tcW w:w="7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7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offering</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Borrowings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500</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service payments</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Additional investment in non-controlling interest</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sale of 4% ownership interest of Digital Insurance</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Make-whole call penalty on early extinguishment of debt</w:t>
            </w:r>
          </w:p>
        </w:tc>
        <w:tc>
          <w:tcPr>
            <w:tcW w:w="7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Debt issuance costs</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paid</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Subsidiary dividends paid to noncontrolling interest shareholders</w:t>
            </w:r>
          </w:p>
        </w:tc>
        <w:tc>
          <w:tcPr>
            <w:tcW w:w="740" w:type="dxa"/>
            <w:vAlign w:val="bottom"/>
          </w:tcPr>
          <w:p>
            <w:pPr>
              <w:spacing w:after="0"/>
              <w:rPr>
                <w:sz w:val="23"/>
                <w:szCs w:val="23"/>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75"/>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4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w:t>
            </w:r>
          </w:p>
        </w:tc>
      </w:tr>
      <w:tr>
        <w:trPr>
          <w:trHeight w:val="265"/>
        </w:trPr>
        <w:tc>
          <w:tcPr>
            <w:tcW w:w="77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 benefit associated with the exercise of stock-based compensation</w:t>
            </w:r>
          </w:p>
        </w:tc>
        <w:tc>
          <w:tcPr>
            <w:tcW w:w="740" w:type="dxa"/>
            <w:vAlign w:val="bottom"/>
          </w:tcPr>
          <w:p>
            <w:pPr>
              <w:spacing w:after="0"/>
              <w:rPr>
                <w:sz w:val="23"/>
                <w:szCs w:val="23"/>
                <w:color w:val="auto"/>
              </w:rPr>
            </w:pPr>
          </w:p>
        </w:tc>
        <w:tc>
          <w:tcPr>
            <w:tcW w:w="4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w:t>
            </w:r>
          </w:p>
        </w:tc>
      </w:tr>
      <w:tr>
        <w:trPr>
          <w:trHeight w:val="270"/>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7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265"/>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7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r>
    </w:tbl>
    <w:p>
      <w:pPr>
        <w:sectPr>
          <w:pgSz w:w="11900" w:h="16900" w:orient="portrait"/>
          <w:cols w:equalWidth="0" w:num="1">
            <w:col w:w="11420"/>
          </w:cols>
          <w:pgMar w:left="240" w:top="121" w:right="23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increase in cash and cash equivalents, excluding pledged cash related to secured trust deposits</w:t>
            </w:r>
          </w:p>
        </w:tc>
        <w:tc>
          <w:tcPr>
            <w:tcW w:w="4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362</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w:t>
            </w:r>
          </w:p>
        </w:tc>
      </w:tr>
      <w:tr>
        <w:trPr>
          <w:trHeight w:val="265"/>
        </w:trPr>
        <w:tc>
          <w:tcPr>
            <w:tcW w:w="7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excluding pledged cash related to secured trust deposits, at beginning of year</w:t>
            </w:r>
          </w:p>
        </w:tc>
        <w:tc>
          <w:tcPr>
            <w:tcW w:w="4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866</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435</w:t>
            </w:r>
          </w:p>
        </w:tc>
      </w:tr>
      <w:tr>
        <w:trPr>
          <w:trHeight w:val="242"/>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excluding pledged cash related to secured trust deposits, at end of year</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504</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40" w:right="23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A.</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leading provider of title insurance, technology and transaction services to the real estate and mortgage industries. We are the nation’s largest title insurance company through our title insurance underwriters - Fidelity National Title, Chicago Title, Commonwealth Land Title and Alamo Title - that collectively issue more title insurance policies than any other title company in the United States. We also provide industry-leading mortgage technology solutions and transaction services, including MSP®, the leading residential mortgage servicing technology platform in the U.S., through our majority-owned subsidiaries, Black Knight Financial Services, LLC ("Black Knight") and ServiceLink Holdings, LLC ("ServiceLink"). In addition, we own majority and minority equity investment stakes in a number of entities, including American Blue Ribbon Holdings, LLC ("ABRH"), J. Alexander’s, LLC ("J. Alexander's"), Remy International, Inc. ("Remy"), Ceridian HCM, Inc., Comdata Inc. (collectively "Ceridian") and Digital Insurance, Inc. ("Digital Insurance").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we have five reporting segments as follows: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FNF Core Operations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Fidelity National Title Group. </w:t>
      </w:r>
      <w:r>
        <w:rPr>
          <w:rFonts w:ascii="Times New Roman" w:cs="Times New Roman" w:eastAsia="Times New Roman" w:hAnsi="Times New Roman"/>
          <w:sz w:val="18"/>
          <w:szCs w:val="18"/>
          <w:color w:val="auto"/>
        </w:rPr>
        <w:t>This segment consists of the operations of our title insurance underwriters and related businesses. This segment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core title insurance and escrow and other title related services including collection and trust activities, trustee’s sales guarantees, recordings and reconveyances, and home warranty insurance.</w:t>
      </w:r>
    </w:p>
    <w:p>
      <w:pPr>
        <w:spacing w:after="0" w:line="119" w:lineRule="exact"/>
        <w:rPr>
          <w:rFonts w:ascii="Times New Roman" w:cs="Times New Roman" w:eastAsia="Times New Roman" w:hAnsi="Times New Roman"/>
          <w:sz w:val="18"/>
          <w:szCs w:val="18"/>
          <w:color w:val="auto"/>
        </w:rPr>
      </w:pPr>
    </w:p>
    <w:p>
      <w:pPr>
        <w:ind w:left="660" w:right="20" w:hanging="409"/>
        <w:spacing w:after="0" w:line="284"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FNF Corporate and Other. </w:t>
      </w:r>
      <w:r>
        <w:rPr>
          <w:rFonts w:ascii="Times New Roman" w:cs="Times New Roman" w:eastAsia="Times New Roman" w:hAnsi="Times New Roman"/>
          <w:sz w:val="18"/>
          <w:szCs w:val="18"/>
          <w:color w:val="auto"/>
        </w:rPr>
        <w:t>The FNF corporate and other segment consists of the operations of the parent holding company, certain other unallocated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overhead expenses, and other smaller real estate and insurance related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Portfolio Investment Companies</w:t>
      </w:r>
    </w:p>
    <w:p>
      <w:pPr>
        <w:spacing w:after="0" w:line="169" w:lineRule="exact"/>
        <w:rPr>
          <w:sz w:val="20"/>
          <w:szCs w:val="20"/>
          <w:color w:val="auto"/>
        </w:rPr>
      </w:pPr>
    </w:p>
    <w:p>
      <w:pPr>
        <w:jc w:val="both"/>
        <w:ind w:left="660" w:hanging="409"/>
        <w:spacing w:after="0" w:line="267"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Remy. </w:t>
      </w:r>
      <w:r>
        <w:rPr>
          <w:rFonts w:ascii="Times New Roman" w:cs="Times New Roman" w:eastAsia="Times New Roman" w:hAnsi="Times New Roman"/>
          <w:sz w:val="18"/>
          <w:szCs w:val="18"/>
          <w:color w:val="auto"/>
        </w:rPr>
        <w:t>This segment consists of the operations of Remy, in which we have a 51% ownership interest. Remy is a leading designer, manufacturer,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remanufacturer, marketer and distributor of aftermarket and original equipment electrical components for automobiles, light trucks, heavy-duty trucks and other vehicles.</w:t>
      </w:r>
    </w:p>
    <w:p>
      <w:pPr>
        <w:spacing w:after="0" w:line="119" w:lineRule="exact"/>
        <w:rPr>
          <w:rFonts w:ascii="Times New Roman" w:cs="Times New Roman" w:eastAsia="Times New Roman" w:hAnsi="Times New Roman"/>
          <w:sz w:val="18"/>
          <w:szCs w:val="18"/>
          <w:i w:val="1"/>
          <w:iCs w:val="1"/>
          <w:color w:val="auto"/>
        </w:rPr>
      </w:pPr>
    </w:p>
    <w:p>
      <w:pPr>
        <w:jc w:val="both"/>
        <w:ind w:left="660"/>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The Restaurant Group segment consists of the operations of ABRH, in which we have a 55% ownership interest. ABRH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 and operator of the O'Charley's, Ninety Nine Restaurants, Max &amp; Erma's, Village Inn and Bakers Square. This segment also includes J. Alexander's, which includes the Stoney River Legendary Steaks ("Stoney River") concept.</w:t>
      </w:r>
    </w:p>
    <w:p>
      <w:pPr>
        <w:spacing w:after="0" w:line="119" w:lineRule="exact"/>
        <w:rPr>
          <w:rFonts w:ascii="Times New Roman" w:cs="Times New Roman" w:eastAsia="Times New Roman" w:hAnsi="Times New Roman"/>
          <w:sz w:val="18"/>
          <w:szCs w:val="18"/>
          <w:i w:val="1"/>
          <w:iCs w:val="1"/>
          <w:color w:val="auto"/>
        </w:rPr>
      </w:pPr>
    </w:p>
    <w:p>
      <w:pPr>
        <w:ind w:left="660" w:hanging="409"/>
        <w:spacing w:after="0" w:line="284" w:lineRule="auto"/>
        <w:tabs>
          <w:tab w:leader="none" w:pos="66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Portfolio Company Corporate and Other. </w:t>
      </w:r>
      <w:r>
        <w:rPr>
          <w:rFonts w:ascii="Times New Roman" w:cs="Times New Roman" w:eastAsia="Times New Roman" w:hAnsi="Times New Roman"/>
          <w:sz w:val="18"/>
          <w:szCs w:val="18"/>
          <w:color w:val="auto"/>
        </w:rPr>
        <w:t>The Portfolio Company Corporate and Other segment primarily consists of our share in the operations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equity investments, including Ceridian, Digital Insurance and other smaller operations which are not title related.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2014 we announced our plans to form a new tracking stock for Fidelity National Financial Ventures (“FNFV”). As a result, we have decided to begin separately reporting the results of our core operations, which includes Fidelity National Title Group, Inc. (“FNT”), and the portfolio company investments which include Remy, the Restaurant Group, Digital Insurance and other smaller operations. The portfolio company investments will comprise FNFV in the future.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4" w:name="page65"/>
    <w:bookmarkEnd w:id="6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results from two closed J. Alexander's locations and a settlement services company closed in the second quarter of 2013 are reflected in the Consolidated Statements of Earnings as discontinued operations for all periods presented. Total revenues included in discontinued operations were $8 million, $36 million, and $41 million for the years ending December 31, 2013, 2012, and 2011, respectively. Pre-tax (loss) earnings included in discontinued operations were $(1) million for the year ended December 31, 2013 and $9 million for the years ending December 31, 2012, and 2011.</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Consolidated Statements of Earnings as discontinued operations. The at-risk insurance business sale resulted in a pre-tax loss of $15 million, which was recorded in the fourth quarter of 2011. Total revenues from the at-risk insurance business included in discontinued operations are $124 million, and $163 million for the years ending December 31, 2012 and 2011, respectively. Pre-tax earnings (loss) from the at-risk insurance business included in discontinued operations are $10 million and $(24) million for the years ending December 31, 2012 and 2011, respectively.</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31, 2011, we completed the sale of our flood insurance business to WRM America Holdings LLC (“WRM America”) for $135 million in cash and dividends, and a $75 million seller note. The seller note was paid in full during 2012. Accordingly, the results of this business through the date of sale for all periods presented are reflected in the Consolidated Statements of Earnings as discontinued operations. The flood insurance business sale resulted in a pre-tax gain of approximately $154 million ($95 million after tax), which was recorded in 2011. Total revenues from the flood business included in discontinued operations was $151 million for the year ending December 31, 2011. Pre-tax earnings from the flood business included in discontinued operations was $29 million for the year ending December 31, 2011.</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accreted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w:t>
      </w:r>
    </w:p>
    <w:p>
      <w:pPr>
        <w:spacing w:after="0" w:line="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long-term investments consist of structured notes and various cost-method investments. The structured notes are carried at fair value as of the balance sheet dates. Fair values are based on exit prices obtained from a broker-dealer. The cost-method investments are carried at historical cost.</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117" w:right="239" w:bottom="1440" w:gutter="0" w:footer="0" w:header="0"/>
        </w:sectPr>
      </w:pPr>
    </w:p>
    <w:bookmarkStart w:id="65" w:name="page66"/>
    <w:bookmarkEnd w:id="6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 in nature and involve uncertainties and significant judgment in the interpretation of current market data. We do not necessarily intend to dispose of or liquidate such instruments prior to maturity.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and Notes Receivables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reported in the Consolidated Balance Sheets for trade and notes receivables approximate their fair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completed annual goodwill impairment analyses in the fourth quarter of each respective year using a September 30 measurement date and as a result no goodwill impairments have been recorded. For the years ended December 31, 2013 and 2012, we determined there were no events or circumstances which indicated that the carrying value exceeded the fair value.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other intangible assets, not including goodwill, which consist primarily of customer relationships and contracts and 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considered intangible assets with indefinite lives and are reviewed for impairment at least annually. Debt issuance costs are amortized on a straight line basis over the contractual life of the related debt instrument.</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Remy segment, upon entering into new or extending existing contracts, we may be required to purchase certain cores and inventory from our customers at retail prices, or be obligated to provide certain agreed support. The excess of the prices paid for the cores and inventory over fair value, and the value of any agreed support, are recorded as contract intangibles and amortized as a reduction to auto parts revenue on a method to reflect the pattern of economic benefit consumed. Customer contract intangibles which are not paid to customers, are amortized and recorded in cost of auto parts revenue.</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recorded no impairment expense related to other intangible assets in 2013, 2012, or 2011.</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Title Plants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in the years ending December 31, 2013, 2012, and 2011 and identified and recorded impairment expense of $4 million, $13 million and $3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less depreciation. Depreciation is computed primarily using the straight-line method based on the estimated useful lives of the related assets: twenty to thirty years for buildings and three to seven years for furniture, fixtures and equipment. Leasehold improvements are amortized on a straight-line basis over the lesser of the term of</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17" w:right="239" w:bottom="1440" w:gutter="0" w:footer="0" w:header="0"/>
        </w:sectPr>
      </w:pPr>
    </w:p>
    <w:bookmarkStart w:id="66" w:name="page67"/>
    <w:bookmarkEnd w:id="6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lease or the estimated useful lives of such assets. Property and equipment are reviewed for impairment whenever events or circumstances indicate that the carrying amounts may not be recoverable.</w:t>
      </w:r>
    </w:p>
    <w:p>
      <w:pPr>
        <w:spacing w:after="0" w:line="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Remy. </w:t>
      </w:r>
      <w:r>
        <w:rPr>
          <w:rFonts w:ascii="Times New Roman" w:cs="Times New Roman" w:eastAsia="Times New Roman" w:hAnsi="Times New Roman"/>
          <w:sz w:val="18"/>
          <w:szCs w:val="18"/>
          <w:color w:val="auto"/>
        </w:rPr>
        <w:t>Property and equipment within our Remy segment are recorded at cost, less depreciation. Major expenditures that significantly extend the useful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or enhance the usability of the property, plant or equipment are capitalized. Depreciation is calculated primarily using the straight-line method over the estimated useful lives of the related assets (fifteen to forty years for buildings and 3 to 15 years for tooling, machinery and equipment). Capital leases and leasehold improvements are amortized on a straight-line basis over the shorter of the lease term or their estimated useful life.</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Property and equipment within our Restaurant Group segment are recorded at cost, less depreciation. Depreciation is computed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method over thirty years for buildings and improvements and three to twenty-five years for furniture, fixtures and equipment. Leasehold improvements are amortized over the lesser of the asset’s estimated useful life or the expected lease term, inclusive of renewal periods not to exceed twenty years. Equipment under capitalized leases is amortized on a straight-line basis to its expected residual value at the end of the lease term.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Title Claim Losses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 experience and also take into consideration other factors, including industry trends, claim loss history, current legal environment, geographic considerations and the type of policy written.</w:t>
      </w:r>
    </w:p>
    <w:p>
      <w:pPr>
        <w:spacing w:after="0" w:line="4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reserve for claim losses also includes reserves for losses arising from the escrow title-related and other fees relating to closing and disbursement functions due to fraud or operational error.</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Secured Trust Deposits</w:t>
      </w:r>
    </w:p>
    <w:p>
      <w:pPr>
        <w:spacing w:after="0" w:line="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$588 million and $528 million at December 31, 2013 and 2012, respectively, representing customers’ assets held by us and corresponding assets including cash and investments pledged as security for those trust balances.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Accounting</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Remy segment, remanufacturing is the process where failed or used components, commonly known as cores, are disassembled into subcomponents, cleaned, inspected, tested, combined with new subcomponents and reassembled into salable, finished products. With many customers, a deposit is charged for the core. Upon return of a core, we grant the customer a credit based on the core deposit value. Core deposits are excluded from auto parts revenue. We record a liability for core returns based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17" w:right="239" w:bottom="1440" w:gutter="0" w:footer="0" w:header="0"/>
        </w:sectPr>
      </w:pPr>
    </w:p>
    <w:bookmarkStart w:id="67" w:name="page68"/>
    <w:bookmarkEnd w:id="6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cores expected to be returned. This liability is recorded in Accounts payable and other accrued liabilities in the accompanying Consolidated Balance Sheets. The liability represents the difference between the core deposit value to be credited to the customer and the estimated core inventory value of the core to be returned. Revisions to these estimates are made periodically to consider current costs and customer return trends. Upon receipt of a core, we record inventory at lower of cost or fair market value. The value of a core declines over its estimated useful life (ranging from 4 to 30 years) and is devalued accordingly. Carrying value of the core inventory is evaluated by comparing current prices obtained from core brokers to carrying cost. The devaluation of core carrying value is reflected as a charge to Cost of auto parts revenue. Core inventory that is deemed to be obsolete or in excess of current and future projected demand is written down to the lower of cost or market and charged to Cost of auto parts revenue. Core inventories are classified as Prepaid expenses and other assets in the accompanying Consolidated Balance Sheets.</w:t>
      </w:r>
    </w:p>
    <w:p>
      <w:pPr>
        <w:spacing w:after="0" w:line="1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our Remy segment, when we enter into arrangements to purchase certain cores held in a customer’s inventory or when the customer is not charged a deposit for the core, we have the right to receive a core from the customer in return for every exchange unit supplied to them. We classify such rights as “Core return rights” in Prepaid expenses and other assets in the accompanying Consolidated Balance Sheets. The core return rights are valued based on the underlying core inventory values. Devaluation of these rights is charged to Cost of auto parts revenue. On a periodic basis, we settle with customers for cores that have not been returned.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Remy segment, we conduct research and development programs that are expected to contribute to future earnings. Such costs are included in Other operating expenses in the Consolidated Statements of Earnings. Customer-funded research and development expenses are recorded as an offset to research and development expense in Other operating expenses.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functional currency for our foreign operations is either the U.S. Dollar or the local currency, with the exception of our Remy subsidiaries in Hungary for which the Euro is the functional currency, since substantially all of their purchases and sales are denominated in Euro. For foreign operations where the local currency is the functional currency, the translation of foreign currencies into U.S. Dollars is performed for balance sheet accounts using exchange rates in effect at the balance sheet date and for revenue and expense accounts using a weighted average exchange rate during the period. The unrealized gains and losses resulting from the translation are included in Accumulated other comprehensive earnings in the Consolidated Financial Statements and are excluded from net earnings. Gains or losses resulting from foreign currency transactions are included in Realized gains and losses, net and are insignificant in 2013, 2012, and 2011. We evaluate our foreign subsidiaries’ functional currency on an ongoing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our Remy segment, in the normal course of business, our operations are exposed to continuing fluctuations in foreign currency values, interest rates and commodity prices that can affect the cost of operating, investing and financing. Accordingly, we address a portion of these risks through a controlled program of risk management that includes the use of derivative financial instruments. We have historically used derivative financial instruments for the purpose of hedging currency, interest rate and commodity exposures, which exist as a part of ongoing business operations.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policy, we do not engage in speculative or leveraged transactions, nor do we hold or issue derivative financial instruments for trading purposes. Our objective for holding derivatives is to minimize risks using the most effective and cost-efficient methods available. Management routinely reviews the effectiveness of the use of derivative financial instruments.</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all of our derivative instruments as either assets or liabilities at fair value. The accounting for changes in the fair value (i.e., gains or losses) of a derivative instrument depends on whether it has been designated, and is effective, as a hedge and further, on the type of hedging relationship. For those derivative instruments that are designated and qualify as hedging instruments, we designate the hedging instrument, based upon the exposure being hedged, as a fair value hedge, cash flow hedge or a hedge of a net investment in a foreign operation. Gains and losses related to a hedge are either recognized in earnings immediately to offset the gain or loss on the hedged item or are deferred and reported as a component of Accumulated other comprehensive earnings (loss) and subsequently recognized in earnings when the hedged item affects earnings. The change in fair value of the ineffective portion of a financial instrument that has been designated as a hedge, determined using the change in fair value method, is recognized in earnings immediately. The gain or loss related to derivative financial instruments that are not designated as hedges is recognized immediately in earnings.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our Remy segment, we provide certain warranties relating to quality and performance of our products. An allowance for the estimated future cost of product warranties and other defective product returns is based on management’s estimate of product failure rates and customer eligibility and is included in Accounts payable and other accrued liabilities in the Consolidated Balance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117" w:right="239" w:bottom="1440" w:gutter="0" w:footer="0" w:header="0"/>
        </w:sectPr>
      </w:pPr>
    </w:p>
    <w:bookmarkStart w:id="68" w:name="page69"/>
    <w:bookmarkEnd w:id="6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Sheet. If these factors differ from management’s estimates, revisions to the estimated warranty liability may be required. The specific terms and conditions of the warranties vary depending upon the customer and the product sold.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Fidelity National Title Group. </w:t>
      </w:r>
      <w:r>
        <w:rPr>
          <w:rFonts w:ascii="Times New Roman" w:cs="Times New Roman" w:eastAsia="Times New Roman" w:hAnsi="Times New Roman"/>
          <w:sz w:val="18"/>
          <w:szCs w:val="18"/>
          <w:color w:val="auto"/>
        </w:rPr>
        <w:t>Our direct title insurance premiums and escrow, title-related and other fees are recognized as revenue at the time of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70-80% reported within three months following closing, an additional 10-20% reported within the next three months and the remainder within seven to fifteen months. In addition to accruing these earned but unreported agency premiums, we also accrue agent commission expense, which was 76.1%, of agent premiums earned in 2013, 76.2% of agent premiums earned in 2012 and 77.1% of agent premiums earned in 2011. We also record a provision for claim losses at our average provision rate at the time we record the accrual for the premiums, which was 7.0% for 2013 and 2012 and 6.8% for 2011, and accruals for premium taxes and other expenses relating to our premium accrual. The resulting impact to pretax earnings in any period is less than 10% of the accrued premium amount. The impact of the change in the accrual for agency premiums and related expenses on our pretax earnings was a decrease of $7 million for the year ended December 31, 2013, less than $1 million for the year ended 2012 and an increase of $8 million for the year ended 2011. The amount due from our agents relating to this accrual, i.e., the agent premium less their contractual retained commission, was approximately $74 million and $90 million at December 31, 2013 and 2012, respectively, which represents agency premiums of approximately $364 million and $438 million at December 31, 2013 and 2012, respectively, and agent commissions of $290 million and $348 million at December 31, 2013 and 2012, respectively.</w:t>
      </w:r>
    </w:p>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Revenues from home warranty insurance policies are recognized over the life of the policy, which is one year. The unrecognized portion is recorded as deferred revenue in Accounts payable and other accrued liabilities in the Consolidated Balance Sheets.</w:t>
      </w:r>
    </w:p>
    <w:p>
      <w:pPr>
        <w:spacing w:after="0" w:line="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Remy. </w:t>
      </w:r>
      <w:r>
        <w:rPr>
          <w:rFonts w:ascii="Times New Roman" w:cs="Times New Roman" w:eastAsia="Times New Roman" w:hAnsi="Times New Roman"/>
          <w:sz w:val="18"/>
          <w:szCs w:val="18"/>
          <w:color w:val="auto"/>
        </w:rPr>
        <w:t>Revenue is recognized when persuasive evidence of an arrangement exists, delivery has occurred or services have been rendered, ownership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transferred, the seller’s price to the buyer is fixed and determinable and collectability is reasonably assured. Sales are recorded upon shipment of product to customers and transfer of title and risk of loss under standard commercial terms (typically, F.O.B. shipping point). We recognize shipping and handling costs as Costs of auto parts revenue with the related amounts billed to customers as sales. Accruals for sales returns, price protection and other allowances are provided at the time of shipment based upon past experience. Adjustments to such accruals are made as new information becomes available. We accrue for rebates, price protection and other customer sales allowances in accordance with specific customer arrangements. Such rebates are recorded as a reduction of Auto parts revenue.</w:t>
      </w:r>
    </w:p>
    <w:p>
      <w:pPr>
        <w:spacing w:after="0" w:line="4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Restaurant revenue on the Consolidated Statements of Earnings consists of restaurant sales and, to a lesser extent, franchise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revenue. Restaurant sales include food and beverage sales and are net of applicable state and local sales taxes and discounts.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Basic earnings per share is computed by dividing net earnings available to common stockholders by the weighted average number of common shares outstanding during the period. In periods when earnings are positive, diluted earnings per share is calculated by dividing net earnings available to common stockholders by the sum of the weighted average number of common shares outstanding and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options, warrants, restricted stock, and convertible notes which have been treated as common share equivalents for purposes of calculating diluted earnings per share for periods in which positive earnings have been reported.</w:t>
      </w:r>
    </w:p>
    <w:p>
      <w:pPr>
        <w:spacing w:after="0" w:line="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2013, 2012, and 2011, options to purchase 1 million shares, 4 million shares and 8 million shares, respectively, of our common stock were excluded from the computation of diluted earnings per share because they were anti-dilutive.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Related Parties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historically conducted business with Fidelity National Information Services ("FIS") and its subsidiaries.</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agreements that were in effect with FIS through December 31, 2013, is as follows:</w:t>
      </w:r>
    </w:p>
    <w:p>
      <w:pPr>
        <w:spacing w:after="0" w:line="9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(“IT”) and data processing services from FIS. These agreements govern IT support services provided to us by FIS, primarily consisting of infrastructure support and data center management. Subject to certain early termination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117" w:right="239" w:bottom="1440" w:gutter="0" w:footer="0" w:header="0"/>
        </w:sectPr>
      </w:pPr>
    </w:p>
    <w:bookmarkStart w:id="69" w:name="page70"/>
    <w:bookmarkEnd w:id="6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83"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provisions, the agreement expires on or about June 30, 2014 with an option to renew for one additional year. Certain subsidiaries of FIS have also provided technology consulting services to FNF during 2013.</w:t>
      </w:r>
    </w:p>
    <w:p>
      <w:pPr>
        <w:spacing w:after="0" w:line="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corporate support and cost-sharing services to FIS.</w:t>
      </w:r>
    </w:p>
    <w:p>
      <w:pPr>
        <w:spacing w:after="0" w:line="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detail of net revenues and expenses between us and FIS that were included in our results of operations for the periods presented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services and cost-sharing revenue</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Data processing expense</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expense</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 The net amounts due to FIS as a result of these agreements were $3 million and $5 million as of December 31, 2013 and 2012, respectively.</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2013 and 2012, we owned 1,303,860 and 1,603,860 shares of FIS common stock, respectively, which were purchased pursuant to an investment agreement between us and FIS dated March 31, 2009. During the fourth quarter of 2013, we sold 300,000 shares for a realized gain of $11 million. The fair value of this investment is $70 million and $56 million as of December 31, 2013 and 2012, respectively, and is recorded in Equity securities available for sale. Changes in fair value of the FIS stock are recorded as other comprehensive earnings.</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fixed maturities available for sale are FIS bonds with a fair value of $42 million and $53 million as of December 31, 2013 and 2012,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Reclassifications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reclassifications have been made in the 2012 and 2011 Consolidated Financial Statements to conform to classifications used in 2013.</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Acquisitions</w:t>
      </w:r>
    </w:p>
    <w:p>
      <w:pPr>
        <w:spacing w:after="0" w:line="6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and financial position of the entities acquired during any year are included in the Consolidated Financial Statements from and after the date of acquisition.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Merger with Lender Processing Services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13, 2014, Remy announced that they acquired substantially all of the assets of United Starters and Alternators Industries, Inc. ("USA Industries") pursuant to the terms and conditions of the Asset Purchase Agreement, effective as of January 13, 2014. USA Industries is a leading worldwide distributor of premium quality re-manufactured and new alternators, starters, constant velocity axles and disc brake calipers for the light-duty aftermarket. Total consideration paid was $41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 2014, we completed the purchase of Lender Processing Services, Inc. ("LPS"). The purchase consideration paid was $37.14 per share, of which $28.10 per share was paid in cash and the remaining $9.04 was paid in FNF common shares. The purchase consideration represented an exchange ratio of 0.28742 per share of LPS common stock. Total consideration paid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17" w:right="239" w:bottom="1440" w:gutter="0" w:footer="0" w:header="0"/>
        </w:sectPr>
      </w:pPr>
    </w:p>
    <w:bookmarkStart w:id="70" w:name="page71"/>
    <w:bookmarkEnd w:id="7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LPS was $3.4 billion, which consisted of $2,535 million in cash and $836 million in FNF common stock. In order to pay the stock component of the consideration, we issued 25,920,078 shares to the former LPS shareholders. We have not completed the initial purchase price allocation due to the timing of the acquisition. We plan to have the initial purchase price allocation recognized during the first quarter of 2014 and the final purchase price allocation completed during 2014.</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Subsequent to our announcement of the LPS acquisition, we formed a wholly-owned subsidiary, Black Knight Financial Services, Inc. (now known as Black Knight Holdings, Inc., "Black Knight"). Black Knight is the mortgage and finance industries' leading provider of integrated technology, data and analytics solutions, and transaction services. Black Knight has two operating segments, ServiceLink Holdings, LLC ("ServiceLink") and Black Knight Financial Services, LLC ("BKFS"). We retained a 65% ownership interest in each of the subsidiaries and issued the remaining 35% ownership interest to funds affiliated with Thomas H. Lee Partners, and certain related entities on January 3, 2014. Black Knight, through ServiceLink and BKFS, now owns and operates the former LPS businesses and our ServiceLink business. Fidelity National Title Group, BKFS and ServiceLink will be our core operating subsidiaries in the future.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Remy International, Inc.</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 million and cash acquired upon consolidation of Remy was $95 million. Goodwill has been recorded based on the amount that the purchase price exceeded the fair value of the net assets acquired. Our 47% equity method investment prior to consolidation of $179 million was included in Investments in unconsolidated affiliates on the Consolidated Balance Sheets. A realized gain of $79 million was recognized in 2012 for the difference between our basis in our equity method investment of Remy prior to consolidation and the fair value of our investment in Remy at August 14, 2012, the date we acquired control and began to consolidate its operations.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O'Charley's Inc. and Merger with ABRH</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2013, there were 312 company-owned restaurants in the O'Charley's group of companies and 214 company-owned restaurants in the ABRH group of companies. Total consideration paid was $122 million in cash, net of cash acquired of $35 million. Our investment in ABRH, prior to the merger, was $37 million and was included in Investments in unconsolidated affiliates on the Consolidated Balance Sheet. Our investment in O'Charley's prior to the tender offer of $14 million was included in Equity securities available for sale on the Consolidated Balance Sheet. We have consolidated the operations of ABRH with the O'Charley's group of companies, beginning on May 11, 2012.</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realized gain of $66 million, which is included in Realized gains and losses on the Consolidated Statement of Earnings, was recognized in 2012 for the difference between our basis in our equity method investment of ABRH prior to consolidation and the fair value of our investment in ABRH at the date of consolidation. The fair value of our investment in ABRH was estimated using relative market based comparable information. In regards to O'Charley's, we recognized a $48 million bargain purchase gain discussed further below, and a gain of $7 million for the difference in the basis of our holdings in O'Charley's common stock prior to consolidation and the fair value of O'Charley's common stock at the date of consolidation. As a result of the final valuation, we recognized and measured the identifiable assets acquired and liabilities assumed from the O'Charley's purchase at fair value. Upon completion of the fair value process, the net assets of O'Charley's received by FNF exceeded the purchase price resulting in a bargain purchase gain of $48 million, which is included in Realized gains and losses on the Consolidated Statement of Earnings for 2012. The bargain purchase gain was due to the release of a valuation allowance on O'Charley's net deferred tax assets. O'Charley's previously had recorded a valuation allowance on the deferred tax assets, due to its history of net losses and the low probability of being able to utilize these assets. We also recorded a $11 million increase to our Additional paid-in capital during 2012, related to the fair value of the non-controlling interest portion of our ownership in O'Charley's.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Insurance, Inc.</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2012, we acquired Digital Insurance, Inc. ("Digital Insurance"). Total consideration paid was $98 million in cash, net of cash acquired of $3 million. We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17" w:right="239" w:bottom="1440" w:gutter="0" w:footer="0" w:header="0"/>
        </w:sectPr>
      </w:pPr>
    </w:p>
    <w:bookmarkStart w:id="71" w:name="page72"/>
    <w:bookmarkEnd w:id="7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 Alexander's Corporation</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2012, we successfully completed a tender offer for the outstanding common stock of J. Alexander's Corporation, which later became J. Alexander's LLC, for $14.50 per share. Total consideration paid was $72 million in cash, net of cash acquired of $7 million. We have consolidated the operations of J. Alexander's beginning September 26, 2012. J. Alexander's operates 30 J. Alexander's restaurants in 12 states. On February 25, 2013, we merged Stoney River Legendary Steaks into J. Alexander's.</w:t>
      </w:r>
    </w:p>
    <w:p>
      <w:pPr>
        <w:spacing w:after="0" w:line="4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C.</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4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fair value hierarchy for those assets measured at fair value on a recurring basis as of December 31, 2013 and 2012, respectively:</w:t>
      </w:r>
    </w:p>
    <w:p>
      <w:pPr>
        <w:spacing w:after="0" w:line="10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378"/>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2" w:name="page73"/>
    <w:bookmarkEnd w:id="7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2"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4"/>
          <w:szCs w:val="14"/>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24765</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5"/>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6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72"/>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6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Level 2 fair value measures for fixed-maturities available for sale are provided by third-party pricing services. We utilize one firm for our taxable bond and preferred stock portfolio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50" w:lineRule="exact"/>
        <w:rPr>
          <w:sz w:val="20"/>
          <w:szCs w:val="20"/>
          <w:color w:val="auto"/>
        </w:rPr>
      </w:pPr>
    </w:p>
    <w:p>
      <w:pPr>
        <w:ind w:left="660" w:right="2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and agencies: These securities are valued based on data obtained for similar securities in active markets and from inter-dealer brokers.</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Preferred stocks are valued by calculating the appropriate spread over a comparable US Treasury security. Inputs include benchmark quotes and other relevant market data.</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Level 3 investments consist of structured notes that were purchased in the third quarter of 2009. The structured notes had a par value of $38 million at December 31, 2013 and 2012 and a fair value of $38 million and $41 million at December 31, 2013 and 2012, respectively. The structured notes are held for general investment purposes and represent one percent of our total</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17" w:right="239" w:bottom="1440" w:gutter="0" w:footer="0" w:header="0"/>
        </w:sectPr>
      </w:pPr>
    </w:p>
    <w:bookmarkStart w:id="73" w:name="page74"/>
    <w:bookmarkEnd w:id="7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 portfolio. The structured notes are classified as Other long-term investments and are measured in their entirety at fair value with changes in fair value recognized in earnings. The fair value of these instruments are the product of a proprietary valuation model utilized by the trading desk of the broker-dealer and contain assumptions relating to volatility, the level of interest rates, and the underlying value of the indexes, exchange-traded funds, and foreign currencies. We review the pricing methodologies for our Level 3 investments to ensure that they are reasonable and believe they represent an exit price as of December 31, 2013.</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changes in our investments that are classified as Level 3 for the years ended December 31, 2013 and 2012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2011</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gain (loss)</w:t>
            </w:r>
          </w:p>
        </w:tc>
        <w:tc>
          <w:tcPr>
            <w:tcW w:w="6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2012</w:t>
            </w:r>
          </w:p>
        </w:tc>
        <w:tc>
          <w:tcPr>
            <w:tcW w:w="6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43"/>
        </w:trPr>
        <w:tc>
          <w:tcPr>
            <w:tcW w:w="10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Realized loss</w:t>
            </w:r>
          </w:p>
        </w:tc>
        <w:tc>
          <w:tcPr>
            <w:tcW w:w="6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00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short-term investments, accounts receivable and notes receivable approximate fair value due to their short-term nature. The fair value of our notes payable is included in Note J.</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regarding the fair value of our investment portfolio is included in Note D.</w:t>
      </w:r>
    </w:p>
    <w:p>
      <w:pPr>
        <w:spacing w:after="0" w:line="3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D.</w:t>
      </w:r>
      <w:r>
        <w:rPr>
          <w:sz w:val="20"/>
          <w:szCs w:val="20"/>
          <w:color w:val="auto"/>
        </w:rPr>
        <w:tab/>
      </w:r>
      <w:r>
        <w:rPr>
          <w:rFonts w:ascii="Times New Roman" w:cs="Times New Roman" w:eastAsia="Times New Roman" w:hAnsi="Times New Roman"/>
          <w:sz w:val="18"/>
          <w:szCs w:val="18"/>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amounts and fair values of our available for sale securities at December 31, 2013 and 2012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investments available for sale:</w:t>
            </w:r>
          </w:p>
        </w:tc>
        <w:tc>
          <w:tcPr>
            <w:tcW w:w="1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3,106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3,246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4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2"/>
                <w:szCs w:val="12"/>
                <w:color w:val="auto"/>
              </w:rPr>
            </w:pPr>
          </w:p>
        </w:tc>
        <w:tc>
          <w:tcPr>
            <w:tcW w:w="8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center"/>
              <w:ind w:right="134"/>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investments available for sale:</w:t>
            </w:r>
          </w:p>
        </w:tc>
        <w:tc>
          <w:tcPr>
            <w:tcW w:w="1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3,310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3,495</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74" w:name="page75"/>
    <w:bookmarkEnd w:id="7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cost basis of fixed maturity securities available for sale includes an adjustment for amortized premium or discount since the date of purchase. At December 31, 2013 all of our mortgage-backed and asset-backed securities are rated AAA or better by Moody's Investors Service. The mortgage-backed and asset-backed securities are made up of $77 million of agency mortgage-backed securities, $27 million of collateralized mortgage obligations, and $5 million in asset-backed securities.</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net unrealized gains and losses on fixed maturities for the years ended December 31, 2013, 2012, and 2011 was $(58) million, $33 million, and $(10) million, respectively.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contractual maturities of our fixed maturity securities at December 31, 2013: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6"/>
              </w:rPr>
              <w:t>Maturity</w:t>
            </w:r>
          </w:p>
        </w:tc>
        <w:tc>
          <w:tcPr>
            <w:tcW w:w="6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100" w:type="dxa"/>
            <w:vAlign w:val="bottom"/>
          </w:tcPr>
          <w:p>
            <w:pPr>
              <w:jc w:val="right"/>
              <w:ind w:right="31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20" w:type="dxa"/>
            <w:vAlign w:val="bottom"/>
            <w:gridSpan w:val="2"/>
          </w:tcPr>
          <w:p>
            <w:pPr>
              <w:ind w:left="400"/>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7"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tcPr>
          <w:p>
            <w:pPr>
              <w:jc w:val="right"/>
              <w:ind w:right="294"/>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1,845</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2,959</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6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Subject to call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certain borrowers have the right to call or prepay obligations with or without call or prepayment penalties. Included above in amounts subject to call are $1,209 million and $1,236 million in amortized cost and fair value, respectively, of fixed maturity securities with make-whole call provisions as of December 31, 2013.</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Fixed maturity securities valued at approximately $129 million and $160 million were on deposit with various governmental authorities at December 31, 2013 and 2012, respectively, as required by law.</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Also included in fixed maturities available for sale are FIS bonds with a fair value of $42 million and $53 million as of December 31, 2013 and 2012, respectively.</w:t>
      </w:r>
    </w:p>
    <w:p>
      <w:pPr>
        <w:spacing w:after="0" w:line="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Equity securities are carried at fair value. The balance of equity securities includes an investment in FIS stock, which we purchased on October 1, 2009 pursuant to an investment agreement between us and FIS dated March 31, 2009 in connection with a merger between FIS and Metavante Technologies, Inc. As of December 31, 2013 and 2012, we owned 1,303,860 and 1,603,860 shares of FIS common stock. During the fourth quarter of 2013, we sold 300,000 shares for a realized gain of $11 million. The fair value of this investment is $70 million and $56 million as of December 31, 2013 and 2012, respectively. The change in unrealized gains (losses) on equity securities for the years ended December 31, 2013, 2012 and 2011 was a net increase (decrease) of $30 million, $12 million, and $(2) million, respectively.</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investments at December 31, 2013 and 2012 included investments in banks at a cost basis of $378 million and $409 million, respectively, and a fair value of $381 million and $433 million, respectively. There were no significant investments in trusts or insurance companies at December 31, 2013 or 2012.</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2013 and 2012 are as follows (in millions):</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tcPr>
          <w:p>
            <w:pPr>
              <w:jc w:val="right"/>
              <w:ind w:right="195"/>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States and political subdivisions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75" w:name="page76"/>
    <w:bookmarkEnd w:id="7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December 31, 2012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6"/>
                <w:szCs w:val="16"/>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2"/>
                <w:szCs w:val="12"/>
                <w:color w:val="auto"/>
              </w:rPr>
            </w:pPr>
          </w:p>
        </w:tc>
        <w:tc>
          <w:tcPr>
            <w:tcW w:w="700" w:type="dxa"/>
            <w:vAlign w:val="bottom"/>
          </w:tcPr>
          <w:p>
            <w:pPr>
              <w:jc w:val="right"/>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r>
      <w:tr>
        <w:trPr>
          <w:trHeight w:val="195"/>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6"/>
                <w:szCs w:val="16"/>
                <w:color w:val="auto"/>
              </w:rPr>
            </w:pPr>
          </w:p>
        </w:tc>
        <w:tc>
          <w:tcPr>
            <w:tcW w:w="7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Losses</w:t>
            </w: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substantial portion of our unrealized losses relate to preferred stock. These unrealized losses were primarily caused by market volatility. We expect to recover the entire amortized cost basis of our temporarily impaired preferred stock as we do not intend to sell these securities and we do not believe that we will be required to sell the preferred stock before recovery of the cost basis. For these reasons, we do not consider these securities other-than-temporarily impaired at December 31, 2013.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2013, 2012 and 2011, we incurred impairment charges relating to investments that were determined to be other-than-temporarily impaired, which resulted in impairment charges of $1 million, $3 million and $17 million, respectively. Impairment charges during all three years, related to fixed maturity securities primarily related to our conclusion that the credit risk of these holdings was high and the ability of the issuer to pay the full amount of the principal outstanding was unlikely.</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2013 we held no securities for which other-than-temporary impairments had been previously recognized and in 2012, we held $7 million in investments for which an other-than-temporary impairment had been previously recognized; all of the impairments related to credit losses.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117" w:right="239" w:bottom="1440" w:gutter="0" w:footer="0" w:header="0"/>
        </w:sectPr>
      </w:pPr>
    </w:p>
    <w:bookmarkStart w:id="76" w:name="page77"/>
    <w:bookmarkEnd w:id="7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realized gains and losses on investments and other assets and proceeds from the sale or maturity of investments and other assets for the years ending December 31, 2013, 2012, and 2011,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Debt extinguishment costs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2012</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45"/>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consolidation of O'Charley's and ABRH</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Bargain purchase gain on O'Charley's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consolidation of Remy</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early extinguishment of 5.25% bonds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6"/>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20" w:type="dxa"/>
            <w:vAlign w:val="bottom"/>
          </w:tcPr>
          <w:p>
            <w:pPr>
              <w:spacing w:after="0"/>
              <w:rPr>
                <w:sz w:val="12"/>
                <w:szCs w:val="12"/>
                <w:color w:val="auto"/>
              </w:rPr>
            </w:pPr>
          </w:p>
        </w:tc>
        <w:tc>
          <w:tcPr>
            <w:tcW w:w="7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Sale/Maturity</w:t>
            </w:r>
          </w:p>
        </w:tc>
        <w:tc>
          <w:tcPr>
            <w:tcW w:w="0" w:type="dxa"/>
            <w:vAlign w:val="bottom"/>
          </w:tcPr>
          <w:p>
            <w:pPr>
              <w:spacing w:after="0"/>
              <w:rPr>
                <w:sz w:val="1"/>
                <w:szCs w:val="1"/>
                <w:color w:val="auto"/>
              </w:rPr>
            </w:pPr>
          </w:p>
        </w:tc>
      </w:tr>
      <w:tr>
        <w:trPr>
          <w:trHeight w:val="245"/>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117" w:right="239" w:bottom="1440" w:gutter="0" w:footer="0" w:header="0"/>
        </w:sectPr>
      </w:pPr>
    </w:p>
    <w:bookmarkStart w:id="77" w:name="page78"/>
    <w:bookmarkEnd w:id="7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and investment income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8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660" w:type="dxa"/>
            <w:vAlign w:val="bottom"/>
          </w:tcPr>
          <w:p>
            <w:pPr>
              <w:spacing w:after="0"/>
              <w:rPr>
                <w:sz w:val="21"/>
                <w:szCs w:val="21"/>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130</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 and preferred stock available for sale</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Pr>
          <w:p>
            <w:pPr>
              <w:spacing w:after="0"/>
              <w:rPr>
                <w:sz w:val="21"/>
                <w:szCs w:val="21"/>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143</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Included in our other long-term investments are fixed-maturity structured notes purchased in the third quarter of 2009 and cost-method investments. The structured notes are carried at fair value (see Note C) and changes in the fair value of these structured notes are recorded as Realized gains and losses in the Consolidated Statements of Earnings. The carrying value of the structured notes was $38 million and $41 million as of December 31, 2013 and 2012, respectively. We recorded a loss of $3 million related to the structured notes in the year ended December 31, 2013, no gain or loss related to the structured notes in 2012, and a net loss of $4 million related to the structured notes in the 2011.</w:t>
      </w:r>
    </w:p>
    <w:p>
      <w:pPr>
        <w:spacing w:after="0" w:line="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are recorded using the equity method of accounting and as of December 31, 2013 and 2012 consisted of the following (in millions):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Ownership at</w:t>
            </w:r>
          </w:p>
        </w:tc>
        <w:tc>
          <w:tcPr>
            <w:tcW w:w="240" w:type="dxa"/>
            <w:vAlign w:val="bottom"/>
          </w:tcPr>
          <w:p>
            <w:pPr>
              <w:spacing w:after="0"/>
              <w:rPr>
                <w:sz w:val="13"/>
                <w:szCs w:val="13"/>
                <w:color w:val="auto"/>
              </w:rPr>
            </w:pPr>
          </w:p>
        </w:tc>
        <w:tc>
          <w:tcPr>
            <w:tcW w:w="7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5"/>
        </w:trPr>
        <w:tc>
          <w:tcPr>
            <w:tcW w:w="7540" w:type="dxa"/>
            <w:vAlign w:val="bottom"/>
          </w:tcPr>
          <w:p>
            <w:pPr>
              <w:spacing w:after="0"/>
              <w:rPr>
                <w:sz w:val="16"/>
                <w:szCs w:val="16"/>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Ceridian</w:t>
            </w: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5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various</w:t>
            </w:r>
          </w:p>
        </w:tc>
        <w:tc>
          <w:tcPr>
            <w:tcW w:w="2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2013, we purchased $31 million in Ceridian bonds which are included in Fixed maturity securities available for sale on the Consolidated Balance Sheets, and have a fair value of $36 million as of December 31, 2013.</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years ended December 31, 2013, 2012, and 2011, we recorded an aggregate of $(26) million, $10 million, and $10 million, respectively, in equity in (losses) earnings of unconsolidated affiliates. We account for our equity in Ceridian on a three-month lag. Accordingly, our net earnings for the year ended December 31, 2013, includes our equity in Ceridian’s earnings for the period from October 1, 2012 through September 30, 2013 and our net earnings for the year ended December 31, 2012, includes our equity in Ceridian’s earnings for the period from October 1, 2011 through September 30, 2012. In addition, we record our share of the other comprehensive earnings (loss) of unconsolidated affiliates. As of December 31, 2013, included within the Consolidated Statements of Equity, we had recorded accumulated other comprehensive losses of $67 million related to our investment in Ceridian, and none related to our other investments in unconsolidated affiliates.</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fourth quarter of 2013, Ceridian entered into a memorandum of understanding to resolve claims brought by a putative class of U.S. Fueling Merchants. Under the terms of the memorandum of understanding, which will need to be finalized in a definitive settlement agreement and approved by the Court, Ceridian has agreed to make a one-time cash payment of $100 million as part of a $130 million global settlement with other defendants in the lawsuit, and to provide certain prospective relief with respect to specific provisions in its merchant agreements. This settlement will provide Ceridian and affiliated companies with a broad release of claims and will limit their exposure to legal claims by merchants. We estimate our portion of the settlement to be approximately $32 million, which will be recorded by us in the first quarter of 2014 as a result of our three-month lag in accounting for the results of operations of Ceridian.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17" w:right="239" w:bottom="1440" w:gutter="0" w:footer="0" w:header="0"/>
        </w:sectPr>
      </w:pPr>
    </w:p>
    <w:bookmarkStart w:id="78" w:name="page79"/>
    <w:bookmarkEnd w:id="7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Summarized financial information for the periods included in our Consolidated Financial Statements for Ceridian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September 30, 2012</w:t>
            </w:r>
          </w:p>
        </w:tc>
      </w:tr>
      <w:tr>
        <w:trPr>
          <w:trHeight w:val="196"/>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4"/>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current assets before customer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1,209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funds</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4,630</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9,921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 before customer customer obligations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995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3,874</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obligations, less current portion</w:t>
            </w:r>
          </w:p>
        </w:tc>
        <w:tc>
          <w:tcPr>
            <w:tcW w:w="18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3,445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488</w:t>
            </w:r>
          </w:p>
        </w:tc>
      </w:tr>
      <w:tr>
        <w:trPr>
          <w:trHeight w:val="237"/>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7,767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8,802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1,119</w:t>
            </w:r>
          </w:p>
        </w:tc>
      </w:tr>
      <w:tr>
        <w:trPr>
          <w:trHeight w:val="257"/>
        </w:trPr>
        <w:tc>
          <w:tcPr>
            <w:tcW w:w="7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9,921</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489"/>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 from</w:t>
            </w:r>
          </w:p>
        </w:tc>
        <w:tc>
          <w:tcPr>
            <w:tcW w:w="180" w:type="dxa"/>
            <w:vAlign w:val="bottom"/>
          </w:tcPr>
          <w:p>
            <w:pPr>
              <w:spacing w:after="0"/>
              <w:rPr>
                <w:sz w:val="24"/>
                <w:szCs w:val="24"/>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Period from</w:t>
            </w: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October 1, 2012,</w:t>
            </w:r>
          </w:p>
        </w:tc>
        <w:tc>
          <w:tcPr>
            <w:tcW w:w="180" w:type="dxa"/>
            <w:vAlign w:val="bottom"/>
          </w:tcPr>
          <w:p>
            <w:pPr>
              <w:spacing w:after="0"/>
              <w:rPr>
                <w:sz w:val="12"/>
                <w:szCs w:val="12"/>
                <w:color w:val="auto"/>
              </w:rPr>
            </w:pPr>
          </w:p>
        </w:tc>
        <w:tc>
          <w:tcPr>
            <w:tcW w:w="1520" w:type="dxa"/>
            <w:vAlign w:val="bottom"/>
          </w:tcPr>
          <w:p>
            <w:pPr>
              <w:jc w:val="center"/>
              <w:ind w:right="114"/>
              <w:spacing w:after="0" w:line="149" w:lineRule="exact"/>
              <w:rPr>
                <w:sz w:val="20"/>
                <w:szCs w:val="20"/>
                <w:color w:val="auto"/>
              </w:rPr>
            </w:pPr>
            <w:r>
              <w:rPr>
                <w:rFonts w:ascii="Times New Roman" w:cs="Times New Roman" w:eastAsia="Times New Roman" w:hAnsi="Times New Roman"/>
                <w:sz w:val="14"/>
                <w:szCs w:val="14"/>
                <w:b w:val="1"/>
                <w:bCs w:val="1"/>
                <w:color w:val="auto"/>
              </w:rPr>
              <w:t>October 1, 2011,</w:t>
            </w:r>
          </w:p>
        </w:tc>
      </w:tr>
      <w:tr>
        <w:trPr>
          <w:trHeight w:val="149"/>
        </w:trPr>
        <w:tc>
          <w:tcPr>
            <w:tcW w:w="7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1520" w:type="dxa"/>
            <w:vAlign w:val="bottom"/>
          </w:tcPr>
          <w:p>
            <w:pPr>
              <w:jc w:val="center"/>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2013</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September 30, 2012</w:t>
            </w:r>
          </w:p>
        </w:tc>
      </w:tr>
      <w:tr>
        <w:trPr>
          <w:trHeight w:val="196"/>
        </w:trPr>
        <w:tc>
          <w:tcPr>
            <w:tcW w:w="7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gridSpan w:val="4"/>
          </w:tcPr>
          <w:p>
            <w:pPr>
              <w:jc w:val="right"/>
              <w:ind w:right="129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55"/>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1,507</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E.</w:t>
      </w:r>
      <w:r>
        <w:rPr>
          <w:sz w:val="20"/>
          <w:szCs w:val="20"/>
          <w:color w:val="auto"/>
        </w:rPr>
        <w:tab/>
      </w:r>
      <w:r>
        <w:rPr>
          <w:rFonts w:ascii="Times New Roman" w:cs="Times New Roman" w:eastAsia="Times New Roman" w:hAnsi="Times New Roman"/>
          <w:sz w:val="17"/>
          <w:szCs w:val="17"/>
          <w:b w:val="1"/>
          <w:bCs w:val="1"/>
          <w:color w:val="auto"/>
        </w:rPr>
        <w:t>Remy Derivative Financial Instruments and Concentration of Risk</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risks and derivative instruments were added as part of the consolidation of Remy on August 14, 2012.</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Remy manufactures and sells products primarily in North America, South America, Asia, Europe and Africa. As a result, financial results could be significantly affected by factors such as changes in foreign currency exchange rates or weak economic conditions in foreign markets in which Remy manufactures and sells products. Remy generally tries to use natural hedges within its foreign currency activities, including the matching of revenues and costs, to minimize foreign currency risk. Where natural hedges are not in place, Remy considers managing certain aspects of its foreign currency activities through the use of foreign exchange contracts. Remy primarily utilizes forward exchange contracts with maturities generally within eighteen months to hedge against currency rate fluctuations, all of which are designated as hedges.</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2013 and 2012, Remy had the following outstanding foreign currency contracts to hedge forecasted purchases and revenues (in millions):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659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South Korean Won Forward</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Mexican Peso Contracts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Brazilian Real Forward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Hungarian Forint Forward</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British Pound Forward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Currency denomination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1509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24765</wp:posOffset>
            </wp:positionV>
            <wp:extent cx="15093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2"/>
        </w:trPr>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w:t>
            </w:r>
          </w:p>
        </w:tc>
      </w:tr>
      <w:tr>
        <w:trPr>
          <w:trHeight w:val="270"/>
        </w:trPr>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w:t>
            </w:r>
          </w:p>
        </w:tc>
      </w:tr>
      <w:tr>
        <w:trPr>
          <w:trHeight w:val="270"/>
        </w:trPr>
        <w:tc>
          <w:tcPr>
            <w:tcW w:w="78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-5734685</wp:posOffset>
            </wp:positionH>
            <wp:positionV relativeFrom="paragraph">
              <wp:posOffset>-668020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-5734685</wp:posOffset>
            </wp:positionH>
            <wp:positionV relativeFrom="paragraph">
              <wp:posOffset>-325120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8320" w:space="720"/>
            <w:col w:w="2380"/>
          </w:cols>
          <w:pgMar w:left="240" w:top="117" w:right="2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Accumulated unrealized net gains of $2 million and $3 million were recorded in Accumulated other comprehensive earnings (loss) as of December 31, 2013 and 2012, respectively, related to these instruments. As of December 31, 2013, unrealized gains</w:t>
      </w:r>
    </w:p>
    <w:p>
      <w:pPr>
        <w:sectPr>
          <w:pgSz w:w="11900" w:h="16838" w:orient="portrait"/>
          <w:cols w:equalWidth="0" w:num="1">
            <w:col w:w="11420"/>
          </w:cols>
          <w:pgMar w:left="240" w:top="117" w:right="239" w:bottom="1440" w:gutter="0" w:footer="0" w:header="0"/>
          <w:type w:val="continuous"/>
        </w:sect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17" w:right="239" w:bottom="1440" w:gutter="0" w:footer="0" w:header="0"/>
          <w:type w:val="continuous"/>
        </w:sectPr>
      </w:pPr>
    </w:p>
    <w:bookmarkStart w:id="79" w:name="page80"/>
    <w:bookmarkEnd w:id="7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to these instruments of $3 million are expected to be reclassified to the Consolidated Statement of Earnings within the next 12 months. Any ineffectiveness during the years ended December 31, 2013 and 2012 was immaterial.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2010, Remy entered into an interest rate swap agreement in respect of 50% of the outstanding principal balance of its Term B Loan under which a variable LIBOR rate with a floor of 1.750% was swapped to a fixed rate of 3.345%. Due to the significant value of the terminated swaps which were rolled into this swap, this interest rate swap is an undesignated hedge and changes in the fair value are recorded as Interest expense in the accompanying Consolidated Statement of Earnings.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27, 2013, Remy terminated its undesignated Term B Loan interest rate swap and transferred the value into a new undesignated interest rate swap agreement of $72 million of the outstanding principal loan balance under which Remy will swap a variable LIBOR rate with a floor of 1.250% to a fixed rate of 4.050% with an effective date of December 30, 2016 and expiration date of December 31, 2019. The notional value of this interest rate swap is $72 million. Due to the significant value of the terminated swaps which were transferred into this new swap, this interest rate swap is an undesignated hedge and changes in the fair value are recorded as Interest expense in the accompanying Consolidated Statements of Earnings.</w:t>
      </w:r>
    </w:p>
    <w:p>
      <w:pPr>
        <w:spacing w:after="0" w:line="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27, 2013, Remy entered into a designated interest rate swap agreement for $72 million of the outstanding principal balance of its long term debt. Under the terms of the new interest rate swap agreement, Remy will swap a variable LIBOR rate with a floor of 1.250% to a fixed rate of 2.750% with an effective date of December 30, 2016 and expiration date of December 31, 2019. The notional value of this interest rate swap is $72 million. This interest rate swap has been designated as a cash flow hedging instrument. Accumulated unrealized net gains of $1 million, excluding the tax effect, were recorded in Accumulated other comprehensive earnings (loss) as of December 31, 2013, and there were none as of December 31, 2012. As of December 31, 2013, no gains are expected to be reclassified to the Condensed Consolidated Statement of Earnings within the next twelve months. Any ineffectiveness during the years ended December 31, 2013 and 2012 was immaterial.</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interest rate swaps reduce Remy's overall interest rate risk.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price risk</w:t>
      </w:r>
    </w:p>
    <w:p>
      <w:pPr>
        <w:spacing w:after="0" w:line="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Remy production processes are dependent upon the supply of certain components whose raw materials are exposed to price fluctuations on the open market. The primary purpose of Remy's commodity price forward contract activity is to manage the volatility associated with forecasted purchases. Remy monitors commodity price risk exposures regularly to maximize the overall effectiveness of commodity forward contracts. The principal raw material hedged is copper. Forward contracts are used to mitigate commodity price risk associated with raw materials, generally related to purchases forecast for up to fifteen months in the future. Additionally, Remy purchases certain commodities during the normal course of business which result in physical delivery and are excluded from hedge accounting.</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Remy had thirty-two commodity price hedge contracts outstanding at December 31, 2013, and thirty-six commodity price hedge contracts outstanding at December, 2012, with combined notional quantities of 6,368 and 6,566 metric tons of copper, respectively. These contracts mature within the next eighteen months. These contracts were designated as cash flow hedging instruments. Accumulated unrealized net losses of $1 million and less than $1 million, excluding the tax effect, were recorded in Accumulated other comprehensive earnings as of December 31, 2013 and 2012, respectively, related to these contracts. As of December 31, 2013, net unrealized losses related to these contracts of $1 million are expected to be reclassified to the accompanying Consolidated Statement of Earnings within the next 12 months. Hedging ineffectiveness during the year ended December 31, 2013 and 2012 was immaterial.</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Remy has entered into factoring agreements with various domestic and European financial institutions to sell their accounts receivable under nonrecourse agreements. These are treated as a sale. The transactions are accounted for as a reduction in accounts receivable as the agreements transfer effective control over and risk related to the receivables to the buyers. Remy does not service any domestic accounts after the factoring has occurred. Remy does not have any servicing assets or liabilities. Remy utilizes factoring arrangements as an integral part of financing. The cost of factoring such accounts receivable is reflected in the accompanying Consolidated Statement of Earnings as Interest expense. The cost of factoring such accounts receivable for the years ended December 31, 2013 and 2012 was $6 million and $2 million, respectively. Gross amounts factored under these facilities as of December 31, 2013 and 2012 were $241 million and $184 million,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Remy's derivative positions and any related material collateral under master netting agreements are presented on a gross basis.</w:t>
      </w:r>
    </w:p>
    <w:p>
      <w:pPr>
        <w:spacing w:after="0" w:line="9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derivatives designated as cash flow hedges, changes in the time value are excluded from the assessment of hedge effectiveness. Unrealized gains and losses associated with ineffective hedges, determined using the change in fair value method,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17" w:right="239" w:bottom="1440" w:gutter="0" w:footer="0" w:header="0"/>
        </w:sectPr>
      </w:pPr>
    </w:p>
    <w:bookmarkStart w:id="80" w:name="page81"/>
    <w:bookmarkEnd w:id="8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are recognized in the accompanying Consolidated Statement of Earnings. Derivative gains and losses included in Accumulated other comprehensive earnings for effective hedges are reclassified into the accompanying Consolidated Statement of Earnings upon recognition of the hedged transaction.</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derivative instrument designated initially, but no longer effective as a hedge, or initially not effective as a hedge, is recorded at fair value and the related gains and losses are recognized in the accompanying Consolidated Statement of Earnings. Remy's undesignated hedges are primarily foreign currency hedges as the entity with the derivative transaction does not bear the foreign currency risk, and Remy's interest rate swaps whose fair value at inception of the instrument due to the rollover of existing interest rate swaps resulted in ineffectiveness. All asset and liability derivatives are included in Prepaid expenses and other assets and Accounts payable and other accrued liabilities, respectively, on the Consolidated Balance Sheets.</w:t>
      </w:r>
    </w:p>
    <w:p>
      <w:pPr>
        <w:spacing w:after="0" w:line="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fair values of Remy's derivative instruments (in millions):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December 31, 2013</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December 31, 2012</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80" w:type="dxa"/>
            <w:vAlign w:val="bottom"/>
          </w:tcPr>
          <w:p>
            <w:pPr>
              <w:spacing w:after="0"/>
              <w:rPr>
                <w:sz w:val="12"/>
                <w:szCs w:val="12"/>
                <w:color w:val="auto"/>
              </w:rPr>
            </w:pPr>
          </w:p>
        </w:tc>
        <w:tc>
          <w:tcPr>
            <w:tcW w:w="960" w:type="dxa"/>
            <w:vAlign w:val="bottom"/>
          </w:tcPr>
          <w:p>
            <w:pPr>
              <w:jc w:val="right"/>
              <w:ind w:right="215"/>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195"/>
        </w:trPr>
        <w:tc>
          <w:tcPr>
            <w:tcW w:w="654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2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24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firstLine="388"/>
        <w:spacing w:after="0" w:line="261" w:lineRule="auto"/>
        <w:rPr>
          <w:sz w:val="20"/>
          <w:szCs w:val="20"/>
          <w:color w:val="auto"/>
        </w:rPr>
      </w:pPr>
      <w:r>
        <w:rPr>
          <w:rFonts w:ascii="Times New Roman" w:cs="Times New Roman" w:eastAsia="Times New Roman" w:hAnsi="Times New Roman"/>
          <w:sz w:val="18"/>
          <w:szCs w:val="18"/>
          <w:color w:val="auto"/>
        </w:rPr>
        <w:t>Gains and losses on Remy's derivative instruments, which are reclassified from Accumulated other comprehensive earnings (OCI) into earnings, are included in Cost of auto parts revenue for commodity and foreign currency contracts, and Interest expense for interest rate swap contracts on the accompanying Consolidated Statements of Earnings. The following table discloses the effect of Remy's derivative instruments for the year ended December 31, 2013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(loss) gain</w:t>
            </w:r>
          </w:p>
        </w:tc>
        <w:tc>
          <w:tcPr>
            <w:tcW w:w="180" w:type="dxa"/>
            <w:vAlign w:val="bottom"/>
          </w:tcPr>
          <w:p>
            <w:pPr>
              <w:spacing w:after="0"/>
              <w:rPr>
                <w:sz w:val="13"/>
                <w:szCs w:val="13"/>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 of (loss) gain</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OCI</w:t>
            </w:r>
          </w:p>
        </w:tc>
        <w:tc>
          <w:tcPr>
            <w:tcW w:w="18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(ineffective portion and</w:t>
            </w:r>
          </w:p>
        </w:tc>
        <w:tc>
          <w:tcPr>
            <w:tcW w:w="140" w:type="dxa"/>
            <w:vAlign w:val="bottom"/>
          </w:tcPr>
          <w:p>
            <w:pPr>
              <w:spacing w:after="0"/>
              <w:rPr>
                <w:sz w:val="12"/>
                <w:szCs w:val="12"/>
                <w:color w:val="auto"/>
              </w:rPr>
            </w:pPr>
          </w:p>
        </w:tc>
        <w:tc>
          <w:tcPr>
            <w:tcW w:w="14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into earnings (effective</w:t>
            </w:r>
          </w:p>
        </w:tc>
        <w:tc>
          <w:tcPr>
            <w:tcW w:w="180" w:type="dxa"/>
            <w:vAlign w:val="bottom"/>
          </w:tcPr>
          <w:p>
            <w:pPr>
              <w:spacing w:after="0"/>
              <w:rPr>
                <w:sz w:val="12"/>
                <w:szCs w:val="12"/>
                <w:color w:val="auto"/>
              </w:rPr>
            </w:pPr>
          </w:p>
        </w:tc>
        <w:tc>
          <w:tcPr>
            <w:tcW w:w="1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amount excluded from</w:t>
            </w:r>
          </w:p>
        </w:tc>
        <w:tc>
          <w:tcPr>
            <w:tcW w:w="1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80" w:type="dxa"/>
            <w:vAlign w:val="bottom"/>
          </w:tcPr>
          <w:p>
            <w:pPr>
              <w:spacing w:after="0"/>
              <w:rPr>
                <w:sz w:val="16"/>
                <w:szCs w:val="16"/>
                <w:color w:val="auto"/>
              </w:rPr>
            </w:pPr>
          </w:p>
        </w:tc>
        <w:tc>
          <w:tcPr>
            <w:tcW w:w="1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effectiveness testing)</w:t>
            </w:r>
          </w:p>
        </w:tc>
        <w:tc>
          <w:tcPr>
            <w:tcW w:w="160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cash flow hedging instruments: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40" w:type="dxa"/>
            <w:vAlign w:val="bottom"/>
          </w:tcPr>
          <w:p>
            <w:pPr>
              <w:spacing w:after="0"/>
              <w:rPr>
                <w:sz w:val="21"/>
                <w:szCs w:val="21"/>
                <w:color w:val="auto"/>
              </w:rPr>
            </w:pPr>
          </w:p>
        </w:tc>
        <w:tc>
          <w:tcPr>
            <w:tcW w:w="14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8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67"/>
        </w:trPr>
        <w:tc>
          <w:tcPr>
            <w:tcW w:w="4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1" w:name="page82"/>
    <w:bookmarkEnd w:id="8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discloses the effect of Remy's derivative instruments for the year ended December 31, 2012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80" w:type="dxa"/>
            <w:vAlign w:val="bottom"/>
          </w:tcPr>
          <w:p>
            <w:pPr>
              <w:spacing w:after="0"/>
              <w:rPr>
                <w:sz w:val="13"/>
                <w:szCs w:val="13"/>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 of gain</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earnings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OCI</w:t>
            </w:r>
          </w:p>
        </w:tc>
        <w:tc>
          <w:tcPr>
            <w:tcW w:w="180" w:type="dxa"/>
            <w:vAlign w:val="bottom"/>
          </w:tcPr>
          <w:p>
            <w:pPr>
              <w:spacing w:after="0"/>
              <w:rPr>
                <w:sz w:val="12"/>
                <w:szCs w:val="12"/>
                <w:color w:val="auto"/>
              </w:rPr>
            </w:pPr>
          </w:p>
        </w:tc>
        <w:tc>
          <w:tcPr>
            <w:tcW w:w="16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(ineffective portion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1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into earnings (effective</w:t>
            </w:r>
          </w:p>
        </w:tc>
        <w:tc>
          <w:tcPr>
            <w:tcW w:w="180" w:type="dxa"/>
            <w:vAlign w:val="bottom"/>
          </w:tcPr>
          <w:p>
            <w:pPr>
              <w:spacing w:after="0"/>
              <w:rPr>
                <w:sz w:val="12"/>
                <w:szCs w:val="12"/>
                <w:color w:val="auto"/>
              </w:rPr>
            </w:pPr>
          </w:p>
        </w:tc>
        <w:tc>
          <w:tcPr>
            <w:tcW w:w="1680" w:type="dxa"/>
            <w:vAlign w:val="bottom"/>
            <w:gridSpan w:val="2"/>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amount excluded from</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0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80" w:type="dxa"/>
            <w:vAlign w:val="bottom"/>
          </w:tcPr>
          <w:p>
            <w:pPr>
              <w:spacing w:after="0"/>
              <w:rPr>
                <w:sz w:val="16"/>
                <w:szCs w:val="16"/>
                <w:color w:val="auto"/>
              </w:rPr>
            </w:pPr>
          </w:p>
        </w:tc>
        <w:tc>
          <w:tcPr>
            <w:tcW w:w="1680" w:type="dxa"/>
            <w:vAlign w:val="bottom"/>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effectiveness testing)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recognized in earnings</w:t>
            </w:r>
          </w:p>
        </w:tc>
        <w:tc>
          <w:tcPr>
            <w:tcW w:w="0" w:type="dxa"/>
            <w:vAlign w:val="bottom"/>
          </w:tcPr>
          <w:p>
            <w:pPr>
              <w:spacing w:after="0"/>
              <w:rPr>
                <w:sz w:val="1"/>
                <w:szCs w:val="1"/>
                <w:color w:val="auto"/>
              </w:rPr>
            </w:pPr>
          </w:p>
        </w:tc>
      </w:tr>
      <w:tr>
        <w:trPr>
          <w:trHeight w:val="249"/>
        </w:trPr>
        <w:tc>
          <w:tcPr>
            <w:tcW w:w="43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designated as cash flow hedging instruments: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Commodity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21"/>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F.</w:t>
            </w:r>
          </w:p>
        </w:tc>
        <w:tc>
          <w:tcPr>
            <w:tcW w:w="3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3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102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4"/>
          </w:tcPr>
          <w:p>
            <w:pPr>
              <w:ind w:left="1500"/>
              <w:spacing w:after="0"/>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c>
          <w:tcPr>
            <w:tcW w:w="0" w:type="dxa"/>
            <w:vAlign w:val="bottom"/>
          </w:tcPr>
          <w:p>
            <w:pPr>
              <w:spacing w:after="0"/>
              <w:rPr>
                <w:sz w:val="1"/>
                <w:szCs w:val="1"/>
                <w:color w:val="auto"/>
              </w:rPr>
            </w:pPr>
          </w:p>
        </w:tc>
      </w:tr>
      <w:tr>
        <w:trPr>
          <w:trHeight w:val="191"/>
        </w:trPr>
        <w:tc>
          <w:tcPr>
            <w:tcW w:w="10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3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2"/>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3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Data processing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ind w:right="44"/>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2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w w:val="98"/>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2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gridSpan w:val="3"/>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on property and equipment was $117 million, $80 million, and $38 million for the years ended December 31, 2013, 2012, and 2011,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G.</w:t>
            </w:r>
          </w:p>
        </w:tc>
        <w:tc>
          <w:tcPr>
            <w:tcW w:w="28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Goodwill consists of the following:</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Fidelity National</w:t>
            </w:r>
          </w:p>
        </w:tc>
        <w:tc>
          <w:tcPr>
            <w:tcW w:w="1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FNF Corporate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Restaurant</w:t>
            </w: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Remy</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Title Group</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 (1)</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of assets</w:t>
            </w:r>
          </w:p>
        </w:tc>
        <w:tc>
          <w:tcPr>
            <w:tcW w:w="2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1,908</w:t>
            </w:r>
          </w:p>
        </w:tc>
        <w:tc>
          <w:tcPr>
            <w:tcW w:w="0" w:type="dxa"/>
            <w:vAlign w:val="bottom"/>
          </w:tcPr>
          <w:p>
            <w:pPr>
              <w:spacing w:after="0"/>
              <w:rPr>
                <w:sz w:val="1"/>
                <w:szCs w:val="1"/>
                <w:color w:val="auto"/>
              </w:rPr>
            </w:pPr>
          </w:p>
        </w:tc>
      </w:tr>
      <w:tr>
        <w:trPr>
          <w:trHeight w:val="243"/>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Goodwill acquired during the year</w:t>
            </w:r>
          </w:p>
        </w:tc>
        <w:tc>
          <w:tcPr>
            <w:tcW w:w="18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prior year acquisitions (2)</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4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2" w:name="page83"/>
    <w:bookmarkEnd w:id="8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ind w:firstLine="8"/>
        <w:spacing w:after="0" w:line="250" w:lineRule="auto"/>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2012, we acquired a controlling interest in Remy and the Restaurant Group. We also acquired Digital Insurance in our Corporate and Other Segment. See Note B "Acquisitions".</w:t>
      </w: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2013, we completed the final purchase price allocation for Digital Insurance, resulting in an adjustment to our purchased goodwill.</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H.</w:t>
            </w: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3"/>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r>
      <w:tr>
        <w:trPr>
          <w:trHeight w:val="255"/>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481</w:t>
            </w:r>
          </w:p>
        </w:tc>
      </w:tr>
      <w:tr>
        <w:trPr>
          <w:trHeight w:val="243"/>
        </w:trPr>
        <w:tc>
          <w:tcPr>
            <w:tcW w:w="8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Trademarks and tradenames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238</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7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766</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651</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 for amortizable intangible assets, which consist primarily of customer relationships, was $73 million, $34 million, and $17 million for the years ended December 31, 2013, 2012, and 2011, respectively. Other intangible assets primarily represent non-amortizable intangible assets such as trademarks and licenses. Estimated amortization expense for the next five years for assets owned at December 31, 2013, is $66 million in 2014, $60 million in 2015, $54 million in 2016, $42 million in 2017 and $38 million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20"/>
          </w:cols>
          <w:pgMar w:left="240" w:top="117"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780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78"/>
        </w:trPr>
        <w:tc>
          <w:tcPr>
            <w:tcW w:w="1300" w:type="dxa"/>
            <w:vAlign w:val="bottom"/>
          </w:tcPr>
          <w:p>
            <w:pPr>
              <w:spacing w:after="0"/>
              <w:rPr>
                <w:sz w:val="24"/>
                <w:szCs w:val="24"/>
                <w:color w:val="auto"/>
              </w:rPr>
            </w:pPr>
          </w:p>
        </w:tc>
        <w:tc>
          <w:tcPr>
            <w:tcW w:w="7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9"/>
        </w:trPr>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I.</w:t>
            </w:r>
          </w:p>
        </w:tc>
        <w:tc>
          <w:tcPr>
            <w:tcW w:w="7800" w:type="dxa"/>
            <w:vAlign w:val="bottom"/>
            <w:gridSpan w:val="2"/>
          </w:tcPr>
          <w:p>
            <w:pPr>
              <w:jc w:val="right"/>
              <w:ind w:right="4080"/>
              <w:spacing w:after="0"/>
              <w:rPr>
                <w:sz w:val="20"/>
                <w:szCs w:val="20"/>
                <w:color w:val="auto"/>
              </w:rPr>
            </w:pPr>
            <w:r>
              <w:rPr>
                <w:rFonts w:ascii="Times New Roman" w:cs="Times New Roman" w:eastAsia="Times New Roman" w:hAnsi="Times New Roman"/>
                <w:sz w:val="18"/>
                <w:szCs w:val="18"/>
                <w:b w:val="1"/>
                <w:bCs w:val="1"/>
                <w:color w:val="auto"/>
                <w:w w:val="99"/>
              </w:rPr>
              <w:t>Accounts Payable and Other Accrued Liabilities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91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liabilities consist of the following: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3"/>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196"/>
        </w:trPr>
        <w:tc>
          <w:tcPr>
            <w:tcW w:w="130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17"/>
                <w:szCs w:val="17"/>
                <w:color w:val="auto"/>
              </w:rPr>
            </w:pPr>
          </w:p>
        </w:tc>
      </w:tr>
      <w:tr>
        <w:trPr>
          <w:trHeight w:val="255"/>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benefits</w:t>
            </w: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r>
      <w:tr>
        <w:trPr>
          <w:trHeight w:val="243"/>
        </w:trPr>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Salaries and incentives</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246</w:t>
            </w: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rent</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recording fees and transfer taxes</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Accrued premium taxes</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8"/>
              </w:rPr>
              <w:t>Deferred revenue</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r>
      <w:tr>
        <w:trPr>
          <w:trHeight w:val="243"/>
        </w:trPr>
        <w:tc>
          <w:tcPr>
            <w:tcW w:w="9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w:t>
            </w:r>
          </w:p>
        </w:tc>
      </w:tr>
      <w:tr>
        <w:trPr>
          <w:trHeight w:val="27"/>
        </w:trPr>
        <w:tc>
          <w:tcPr>
            <w:tcW w:w="130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1,308</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J.</w:t>
            </w:r>
          </w:p>
        </w:tc>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9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Notes payable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0"/>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1"/>
                <w:szCs w:val="21"/>
                <w:color w:val="auto"/>
              </w:rPr>
            </w:pPr>
          </w:p>
        </w:tc>
      </w:tr>
      <w:tr>
        <w:trPr>
          <w:trHeight w:val="255"/>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300</w:t>
            </w:r>
          </w:p>
        </w:tc>
      </w:tr>
      <w:tr>
        <w:trPr>
          <w:trHeight w:val="225"/>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at December 31, 2013, due July 2018 with interest payable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monthly at LIBOR + 1.45% (1.62% at December 31, 2013)</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Remy Term B Loan, interest payable quarterly at LIBOR (floor of 1.75%) + 4.50%, due December 2016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259</w:t>
            </w:r>
          </w:p>
        </w:tc>
      </w:tr>
      <w:tr>
        <w:trPr>
          <w:trHeight w:val="225"/>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Remy Amended and Restated Term B Loan, interest payable quarterly at LIBOR (floor of 1.25%) + 3.00% (4.25% at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2013), due March 2020</w:t>
            </w:r>
          </w:p>
        </w:tc>
        <w:tc>
          <w:tcPr>
            <w:tcW w:w="2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9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Remy Revolving Credit Facility, unused portion of $73 at December 31, 2013, due September 2018 with interest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monthly at base rate 3.25% + base rate margin .50% (3.75% at December 31, 2013)</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Restaurant Group Term Loan, interest payable monthly at LIBOR + 3.75% (3.92% at December 31, 2013), due May 2017</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5"/>
        </w:trPr>
        <w:tc>
          <w:tcPr>
            <w:tcW w:w="9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Restaurant Group Revolving Credit Facility, unused portion of $62 at December 31, 2013, due May 2017 with interest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41"/>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payable monthly at base rate 3.25% + base rate margin 2.75% (6.00% at December 31, 2013)</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9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1,344</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2013, the estimated fair value of our long-term debt was approximately $1,555 million or $232 million higher than its carrying value. The fair value of our long-term debt at December 31, 2012 was approximately $1,504 million or $160 million higher than its estimated carrying value. The fair value of our unsecured notes payable was $1,214 million and $1,139 million as of December 31, 2013 and 2012, respectively. The fair values of our unsecured notes payable are based on established market prices for the securities on December 31, 2013 and 2012 and are considered Level 2 financial liabilities. The fair value of our Remy Term Loan was $267 million and $259 million, based on established market prices for the securities on December 31, 2013 and 2012, respectively, and is considered a Level 2 financial liability. The fair value of our Restaurant Group Term Loan</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117" w:right="239" w:bottom="1440" w:gutter="0" w:footer="0" w:header="0"/>
        </w:sectPr>
      </w:pPr>
    </w:p>
    <w:bookmarkStart w:id="84" w:name="page85"/>
    <w:bookmarkEnd w:id="8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was $53 million and $72 million, based on established market prices for the securities on December 31, 2013 and 2012 and is considered a Level 2 financial liability.</w:t>
      </w:r>
    </w:p>
    <w:p>
      <w:pPr>
        <w:spacing w:after="0" w:line="21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January 2, 2014, as a result of the LPS acquisition, we acquired $600 million aggregate principal amount of 5.75% Senior Notes due 2023, initially offered by Black Knight Infoserv, LLC (formerly LPS, "Black Knight Infoserv") on October 12, 2012 (the "Black Knight Senior Notes"). The Black Knight Senior Notes were registered under the Securities Act of 1933, and as amended, carry an interest rate of 5.75% and will mature on April 15, 2023. Interest will be paid semi-annually on the 15th day of April and October beginning April 15, 2013. The Black Knight Senior Notes are senior unsecured obligations and are guaranteed by certain of our subsidiaries that were formerly subsidiaries of LPS (the "Subsidiary Guarantors"), and by us as of January 2, 2014. At any time and from time to time, prior to October 15, 2015, Black Knight Infoserv may redeem up to a maximum of 35% of the 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w:t>
      </w:r>
    </w:p>
    <w:p>
      <w:pPr>
        <w:spacing w:after="0" w:line="11" w:lineRule="exact"/>
        <w:rPr>
          <w:sz w:val="20"/>
          <w:szCs w:val="20"/>
          <w:color w:val="auto"/>
        </w:rPr>
      </w:pPr>
    </w:p>
    <w:p>
      <w:pPr>
        <w:jc w:val="both"/>
        <w:ind w:firstLine="8"/>
        <w:spacing w:after="0" w:line="251" w:lineRule="auto"/>
        <w:tabs>
          <w:tab w:leader="none" w:pos="3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property or assets to Black Knight Infoserv or certain other subsidiaries, (f) 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(c),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Black Knight Infoserv has no independent assets or operations and the guarantees of the Subsidiary Guarantors are full and unconditional and joint and several. There are no significant restrictions on the ability of Black Knight Infoserv or any of the Subsidiary Guarantors to obtain funds from any of their subsidiaries.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cross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the Black Knight Infoserv or certain subsidiaries, then the principal of and accrued interest on the Black Knight Senior Notes then outstanding will accelerate immediately without any declaration or other act on the part of the trustee or any holder. Subsequent to year end,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subsequent purchased by us on February 24, 2014.</w:t>
      </w:r>
    </w:p>
    <w:p>
      <w:pPr>
        <w:spacing w:after="0" w:line="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2013, we entered into a bridge loan commitment letter (the “Bridge Loan Commitment Letter”) with Merrill Lynch, Pierce, Fenner &amp; Smith Incorporated, Bank of America, N.A. (“Bank of America”), J.P. Morgan Securities LLC and JP Morgan Chase Bank, N.A. The Bridge Loan Commitment Letter provides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17" w:right="239" w:bottom="1440" w:gutter="0" w:footer="0" w:header="0"/>
        </w:sectPr>
      </w:pPr>
    </w:p>
    <w:bookmarkStart w:id="85" w:name="page86"/>
    <w:bookmarkEnd w:id="8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evidenced the terms of the Bridge Facility. The Bridge Facility matured on the second business day following the funding thereof 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be substantially the same as the terms of the Amended Term Loan Agreement discussed below. Subsequent to year end, as part of the acquisition of LPS on January 2, 2014, the Bridge Facility was funded and subsequently repaid the following day,</w:t>
      </w:r>
    </w:p>
    <w:p>
      <w:pPr>
        <w:spacing w:after="0" w:line="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11, 2013, we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On October 27, 2013, we amended the Term Loan Agreement to permit us to incur the indebtedness in respect of the Bridge Facility and incorporate other technical changes to describe the structure of the LPS merger. Subsequent to year end, as part of the acquisition of LPS on January 2, 2014,the Term Loan Agreement was fully funded.</w:t>
      </w:r>
    </w:p>
    <w:p>
      <w:pPr>
        <w:spacing w:after="0" w:line="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June 25, 2013, we entered into an agreement to amend and restate our existing $800 million second amended and restated credit agreement (the “Existing Credit Agreement”), dated as of April 16, 2012 with Bank of America, N.A., as administrative agent (in such capacity, the “Administrative Agent”) and the other agents party thereto (the “Revolving Credit Facility”). Among other changes, the Revolving Credit Facility amends the Existing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Existing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an unused commitment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 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17" w:right="239" w:bottom="1440" w:gutter="0" w:footer="0" w:header="0"/>
        </w:sectPr>
      </w:pPr>
    </w:p>
    <w:bookmarkStart w:id="86" w:name="page87"/>
    <w:bookmarkEnd w:id="8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Existing Credit Agreement, except that the total debt to total capitalization ratio limit of 35% will increase to 37.5% for a period of one year after the closing of the LPS acquisition and the net worth test was reset. As of December 31, 2013, there was no outstanding balance under the Revolving Credit Facility.</w:t>
      </w:r>
    </w:p>
    <w:p>
      <w:pPr>
        <w:spacing w:after="0" w:line="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on October 24, 2013, we entered into amendments to amend the revolving credit facility to permit us to incur the indebtedness in respect of the Bridge Facility and incorporate other technical changes to describe the structure of the LPS merger. Subsequent to year end, as part of the acquisition of LPS on January 2, 2014, we borrowed $300 million under the Revolving Credit Facility.</w:t>
      </w:r>
    </w:p>
    <w:p>
      <w:pPr>
        <w:spacing w:after="0" w:line="6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5, 2013, Remy entered into a First Amendment to its existing five year Asset-Based Revolving Credit Facility (the "Remy Credit Facility" and "Remy Credit Facility First Amendment") to extend the maturity date of the Remy Credit Facility from December 17, 2015 to September 5, 2018 and reduce the interest rate. The Remy Credit Facility now bears interest at a defined Base Rate plus 0.50%-1.00% per year or, at Remy's election, at an applicable LIBOR Rate plus 1.50%-2.00% per year and is paid monthly. The Remy Credit Facility First Amendment maintains the current maximum availability at $95 million, which may be increased, under certain circumstances, by $20 million, though the actual amount that may be borrowed is based on the amount of collateral. The Remy Credit Facility is secured by substantially all domestic accounts receivable and inventory held by Remy. Remy will incur an unused commitment fee of 0.375% on the unused amount of commitments under the Remy Credit Facility First Amendment. At December 31, 2013, the Remy Credit Facility balance was zero. Based upon the collateral supporting the Remy Credit Facility, the amount borrowed, and the outstanding letters of credit of $3 million, there was additional availability for borrowing of $73 million on December 31, 2013. The Remy Credit Facility contains various restrictive covenants, which include, among other things: (i) a maximum leverage ratio, decreasing over the term of the facility; (ii) a minimum interest coverage ratio, increasing over the term of the facility; (iii) mandatory prepayments upon certain asset sales and debt issuances; (iv) requirements for minimum liquidity; and (v) limitations on the payment of dividends in excess of a specified amount.</w:t>
      </w:r>
    </w:p>
    <w:p>
      <w:pPr>
        <w:spacing w:after="0" w:line="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5, 2013, Remy entered into a $300 million Amended and Restated Term B Loan Credit Agreement ("Term B Amendment") to refinance the existing $287 million Term B Loan, extend the maturity from December 17, 2016 to March 5, 2020, and reduce the interest rate. The Term B Amendment now bears interest at LIBOR (subject to a floor of 1.25%) plus 3% per year, with an original issue discount of approximately $1 million. The Term B Amendment also contains an option to increase the borrowing provided certain conditions are satisfied, including maintaining a maximum leverage ratio. The Term B Amendment is secured by a first priority lien on the stock of Remy's subsidiaries and substantially all domestic assets other than accounts receivable and inventory pledged to the Remy Credit Facility. Principal payments in the amount of approximately $1 million are due at the end of each calendar quarter with termination and final payment no later than March 5, 2020. The Term B Amendment also includes covenants and events of default customary for a facility of this type, including a cross-default provision under which the lenders may declare the loan in default if Remy (i) fails to make a payment when due under any debt having a principal amount greater than $5 million or (ii) breaches any other covenant in any such debt as a result of which the holders of such debt are permitted to accelerate its maturity. Remy is in compliance with all covenants as of December 31, 2013. The Term B Loan is subject to an excess cash calculation which may require the payment of additional principal on an annual basis. At December 31, 2013, the average borrowing rate, including the impact of the interest rate swaps, was 4.25%.</w:t>
      </w:r>
    </w:p>
    <w:p>
      <w:pPr>
        <w:spacing w:after="0" w:line="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10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September 28, 2012, we used $242 million of the net proceeds of the issuance of the 5.50% notes to fund the repayment of the $237 million aggregate principal amount outstanding of our 5.25% unsecured notes, including less than $1 million of unpaid interest and a $5 million make-whole call penalty, as the 5.25% unsecured notes had a stated maturity of March 2013.</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17" w:right="239" w:bottom="1440" w:gutter="0" w:footer="0" w:header="0"/>
        </w:sectPr>
      </w:pPr>
    </w:p>
    <w:bookmarkStart w:id="87" w:name="page88"/>
    <w:bookmarkEnd w:id="8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31, 2012, ABRH entered into a credit agreement (the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ABRH Credit Facility is subject to affirmative, negative and financial covenants customary for financings of this type, including, among other things, limits on ABRH's creation of liens, sales of assets, incurrence of indebtedness, restricted payments, transactions with affiliates, and certain amendments. The covenants addressing restricted payments include certain limitations on the declaration or payment of dividends by ABRH to its parent, Fidelity Newport Holdings, LLC (“FNH”), and by FNH to its members, and one such limitation restricts the amount of dividends that ABRH can pay to its parent (and that FNH can in turn pay to its members) to $5 million in the aggregate (outside of certain other permitted dividend payments) in fiscal year 2012 (with varying amounts for subsequent years). The ABRH Credit Facility includes customary events of default for facilities of this type (with customary grace periods, as applicable), which include a cross-default provision whereby an event of default will be deemed to have occurred if (i) ABRH or any of its guarantors, which consists of FNH and certain of its subsidiaries, (together, the “Loan Parties”) or any of their subsidiaries default on any agreement with a third party of $2 million or more related to their indebtedness and such default (a) occurs at the final maturity of the obligations thereunder or (b) results in a right by such third party to accelerate such Loan Party's or its subsidiary's obligations or (ii) a default or an early termination occurs with respect to certain hedge agreements to which a Loan Party or its subsidiaries is a party involving an amount of $0.75 million or more. The ABRH Credit Facility provides that, upon the occurrence of an event of default, the ABRH Administrative Lender may (i) declare the principal of, and any and all accrued and unpaid interest and fees in respect of, the loans immediately due and payable, (ii) terminate loan commitments and (iii) exercise all other rights and remedies available to the ABRH Administrative Lender or the lenders under the loan documents. As of December 31, 2013, the balance of the term loan was $53 million and there was no outstanding balance on the revolving loan. ABRH had $18 million of outstanding letters of credit and $62 million of remaining borrowing capacity under our revolving credit facility as of December 31, 2013.</w:t>
      </w:r>
    </w:p>
    <w:p>
      <w:pPr>
        <w:spacing w:after="0" w:line="16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 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To date, no bond holders have submitted their bonds for conversion.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117" w:right="239" w:bottom="1440" w:gutter="0" w:footer="0" w:header="0"/>
        </w:sectPr>
      </w:pPr>
    </w:p>
    <w:bookmarkStart w:id="88" w:name="page89"/>
    <w:bookmarkEnd w:id="8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2010, Remy entered into a $300 million Term B Loan (“Term B”) facility. The Term B is secured by a first priority lien on the stock of Remy's subsidiaries and substantially all Remy domestic assets other than accounts receivable and inventory pledged to the Asset-Based Revolving Credit Facility ("Remy Credit Facility"), as described below. The Term B bears an interest rate of LIBOR (subject to a floor of 1.75%) plus 4.5% per annum. The Term B matures on December 17, 2016. Principal payments in the amount of $0.8 million are due at the end of each calendar quarter with termination and final payment no later than December 17, 2016. The Term B facility is subject to an excess cash calculation which may require the payment of additional principal on an annual basis. The Term B also includes events of default customary for a facility of this type, including a cross-default provision under which the lenders may declare the loan in default if we (i) fail to make a payment when due under any debt having a principal amount greater than $5 million or (ii) breach any other covenant in any such debt as a result of which the holders of such debt are permitted to accelerate its maturity. This facility was replaced on March 5, 2013 by the Term B Amendment noted above.</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Remy also has revolving credit facilities with four Korean banks with a total facility amount of approximately $17 million, of which $2 million is borrowed at average interest rates of 3.46% at December 31, 2013. In Hungary, there are two revolving credit facilities with two separate banks for a total facility amount of $4 million, of which nothing is borrowed at December 31, 2013.</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Gross principal maturities of notes payable at December 31, 2013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7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7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vMerge w:val="restart"/>
          </w:tcPr>
          <w:p>
            <w:pPr>
              <w:jc w:val="right"/>
              <w:ind w:right="4390"/>
              <w:spacing w:after="0"/>
              <w:rPr>
                <w:sz w:val="20"/>
                <w:szCs w:val="20"/>
                <w:color w:val="auto"/>
              </w:rPr>
            </w:pPr>
            <w:r>
              <w:rPr>
                <w:rFonts w:ascii="Times New Roman" w:cs="Times New Roman" w:eastAsia="Times New Roman" w:hAnsi="Times New Roman"/>
                <w:sz w:val="18"/>
                <w:szCs w:val="18"/>
                <w:color w:val="auto"/>
              </w:rPr>
              <w:t>85</w:t>
            </w: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89" w:name="page90"/>
    <w:bookmarkEnd w:id="8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K.</w:t>
            </w:r>
          </w:p>
        </w:tc>
        <w:tc>
          <w:tcPr>
            <w:tcW w:w="67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tax expense (benefit) on continuing operations consists of the following:</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Total income tax expense (benefit) was allocated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2"/>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Net earnings from 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expense (benefit) attributable to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gains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Unrealized gain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Reclassification adjustment for change in unrealized gains and losses included in 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Minimum pension liability adjustment</w:t>
            </w: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 expense (benefit) allocated to other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Additional paid-in capital, stock-based compensation</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Tax exempt interest income</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Release of valuation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Nontaxable investment gains</w:t>
            </w:r>
          </w:p>
        </w:tc>
        <w:tc>
          <w:tcPr>
            <w:tcW w:w="140" w:type="dxa"/>
            <w:vAlign w:val="bottom"/>
          </w:tcPr>
          <w:p>
            <w:pPr>
              <w:spacing w:after="0"/>
              <w:rPr>
                <w:sz w:val="21"/>
                <w:szCs w:val="21"/>
                <w:color w:val="auto"/>
              </w:rPr>
            </w:pPr>
          </w:p>
        </w:tc>
        <w:tc>
          <w:tcPr>
            <w:tcW w:w="112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6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Equity Investments</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Partnerships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Non-deductible expenses and other, net</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17" w:right="239" w:bottom="1440" w:gutter="0" w:footer="0" w:header="0"/>
          <w:type w:val="continuous"/>
        </w:sectPr>
      </w:pPr>
    </w:p>
    <w:bookmarkStart w:id="90" w:name="page91"/>
    <w:bookmarkEnd w:id="9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significant components of deferred tax assets and liabilities at December 31, 2013 and 2012 consist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w w:val="99"/>
              </w:rPr>
              <w:t>2012</w:t>
            </w:r>
          </w:p>
        </w:tc>
      </w:tr>
      <w:tr>
        <w:trPr>
          <w:trHeight w:val="196"/>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7"/>
                <w:szCs w:val="17"/>
                <w:color w:val="auto"/>
              </w:rPr>
            </w:pPr>
          </w:p>
        </w:tc>
      </w:tr>
      <w:tr>
        <w:trPr>
          <w:trHeight w:val="255"/>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Employee benefit accruals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Insurance reserve discounting</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credits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State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gross 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345</w:t>
            </w:r>
          </w:p>
        </w:tc>
      </w:tr>
      <w:tr>
        <w:trPr>
          <w:trHeight w:val="243"/>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r>
      <w:tr>
        <w:trPr>
          <w:trHeight w:val="237"/>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Title plant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goodwill and intangible assets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 reserve discounting</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Bad debts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Pension Plan</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deferred tax liability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57"/>
        </w:trPr>
        <w:tc>
          <w:tcPr>
            <w:tcW w:w="8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net deferred tax liability was $144 million and $123 million at December 31, 2013, and 2012, respectively. The significant changes in the deferred taxes are as follows: the deferred tax liability relating to insurance reserves decreased $16 million due primarily to a reduction in the claim reserves established for statutory and tax purposes. The deferred tax asset for Other investments increased by $22 million due to additional losses incurred by our investment in Ceridian. The deferred tax liability for investment securities decreased by $12 million due primarily to decreased unrealized investment gains. The deferred tax asset on pension plan decreased by $13 million due to minimum pension liability OCI adjustments. The deferred tax asset relating to net operating loss carryovers was reduced by $17 million due to net operating loss utilization by both FNF and Remy.</w:t>
      </w:r>
    </w:p>
    <w:p>
      <w:pPr>
        <w:spacing w:after="0" w:line="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2013 and 2012 we had a valuation allowance of $26 million and $27 million, respectively.</w:t>
      </w:r>
    </w:p>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December 31, 2013, we have net operating losses on a pretax basis of $248 million available to carryforward and offset future federal taxable income. Of the net operating losses $83 million are United States federal net operating losses arising from past acquisitions and are subject to an annual Internal Revenue Code Section 382 limitation. These losses will begin to expire in year 2025 and we fully anticipate utilizing these losses prior to expiration. Thus, no valuation allowance has been established. Of the net operating losses, $165 million relate to Remy, including $101 million of United States net operating losses and $64 million of non-United States net operating losses. These losses will begin to expire in year 2015 and we anticipate utilizing these losses prior to expiration after a valuation allowance of $7 million.</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December 31, 2013, we have $62 million of tax credits including $6 million of foreign tax credits, $40 million of general business credits from the O’Charley’s and J. Alexander’s acquisitions and $16 million of general business credits from Remy. We anticipate that these credits will be utilized prior to expiration after a valuation allowance of $3 million on the foreign tax credits, $10 million on the general business credits and $5 million on the Remy credits.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117" w:right="239" w:bottom="1440" w:gutter="0" w:footer="0" w:header="0"/>
        </w:sectPr>
      </w:pPr>
    </w:p>
    <w:bookmarkStart w:id="91" w:name="page92"/>
    <w:bookmarkEnd w:id="9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Tax benefits of $17 million, $31 million, and $6 million associated with the exercise of employee stock options and the vesting of restricted stock grants were allocated to equity for the years ended December 31, 2013, 2012, and 2011, respectively.</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Income taxes have not been presented for the difference between the tax basis and the financial statement carrying amount for our investment in Remy because the reported amount of the investment can be recovered tax-free.</w:t>
      </w:r>
    </w:p>
    <w:p>
      <w:pPr>
        <w:spacing w:after="0" w:line="4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2013 and 2012, we had approximately $15 million (including interest of $3 million) and $10 million (including interest of $2 million), respectively, of total gross unrecognized tax benefits that, if recognized, would favorably affect our income tax rate. These amounts are reported on a gross basis and do not reflect a federal tax benefit on state income taxes. We record interest and penalties related to income taxes as a component of income tax expense.</w:t>
      </w:r>
    </w:p>
    <w:p>
      <w:pPr>
        <w:spacing w:after="0" w:line="4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Internal Revenue Service (“IRS”) has selected us to participate in the Compliance Assurance Program that is a real-time audit. During 2013, the IRS completed its examination of the tax year ended 2012, which resulted in no additional tax. We are currently under audit by the Internal Revenue Service for the 2013 and 2014 tax years. We file income tax returns in various foreign and US state jurisdictions.</w:t>
      </w:r>
    </w:p>
    <w:p>
      <w:pPr>
        <w:spacing w:after="0" w:line="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L.</w:t>
      </w:r>
      <w:r>
        <w:rPr>
          <w:sz w:val="20"/>
          <w:szCs w:val="20"/>
          <w:color w:val="auto"/>
        </w:rPr>
        <w:tab/>
      </w:r>
      <w:r>
        <w:rPr>
          <w:rFonts w:ascii="Times New Roman" w:cs="Times New Roman" w:eastAsia="Times New Roman" w:hAnsi="Times New Roman"/>
          <w:sz w:val="17"/>
          <w:szCs w:val="17"/>
          <w:b w:val="1"/>
          <w:bCs w:val="1"/>
          <w:color w:val="auto"/>
        </w:rPr>
        <w:t>Summary of Reserve for Claim Losses</w:t>
      </w:r>
    </w:p>
    <w:p>
      <w:pPr>
        <w:spacing w:after="0" w:line="14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 summary of the reserve for claim losses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2011</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 loss provision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title claim loss provision (1)</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paid, net of recoupments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7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Prior years</w:t>
            </w: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title claims paid, net of recoupments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97"/>
        </w:trPr>
        <w:tc>
          <w:tcPr>
            <w:tcW w:w="7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Ending balance of claim loss reserve for title insurance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1,913</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title insurance claim losses as a percentage of title insurance premiums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provision for title claim losses in the 2012 period is a $11 million impairment recorded on an asset previously recouped as part of a claim settlement.</w:t>
      </w:r>
    </w:p>
    <w:p>
      <w:pPr>
        <w:spacing w:after="0" w:line="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in claim development on policy years 2005 - 2008, we believe there is an increased level of uncertainty attributable to these policy years. If actual claims loss development is worse than currently expected and is not offset by other positive factors, it is reasonably possible that we may record additional reserve strengthening in future periods.</w:t>
      </w:r>
    </w:p>
    <w:p>
      <w:pPr>
        <w:spacing w:after="0" w:line="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M.</w:t>
      </w:r>
      <w:r>
        <w:rPr>
          <w:sz w:val="20"/>
          <w:szCs w:val="20"/>
          <w:color w:val="auto"/>
        </w:rPr>
        <w:tab/>
      </w:r>
      <w:r>
        <w:rPr>
          <w:rFonts w:ascii="Times New Roman" w:cs="Times New Roman" w:eastAsia="Times New Roman" w:hAnsi="Times New Roman"/>
          <w:sz w:val="18"/>
          <w:szCs w:val="18"/>
          <w:b w:val="1"/>
          <w:bCs w:val="1"/>
          <w:color w:val="auto"/>
        </w:rPr>
        <w:t>Commitments and Contingencies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Regulatory Contingencies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those discussed below, depart from customary litigation incidental to our insurance business.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117" w:right="239" w:bottom="1440" w:gutter="0" w:footer="0" w:header="0"/>
        </w:sectPr>
      </w:pPr>
    </w:p>
    <w:bookmarkStart w:id="92" w:name="page93"/>
    <w:bookmarkEnd w:id="9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Remy is a defendant from time to time in various legal proceedings arising in the ordinary course of business, including claims relating to commercial transactions, product liability, safety, health, taxes, environmental and other matters.</w:t>
      </w:r>
    </w:p>
    <w:p>
      <w:pPr>
        <w:spacing w:after="0" w:line="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individual and purported class action claims alleging violation of federal and state wage and hour laws, and claims from guests or employees alleging illness, injury or other food quality, health or operational concerns.</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None of the amounts we have currently recorded is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 results of operations or cash flows.</w:t>
      </w:r>
    </w:p>
    <w:p>
      <w:pPr>
        <w:spacing w:after="0" w:line="4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Two class action complaints titled </w:t>
      </w:r>
      <w:r>
        <w:rPr>
          <w:rFonts w:ascii="Times New Roman" w:cs="Times New Roman" w:eastAsia="Times New Roman" w:hAnsi="Times New Roman"/>
          <w:sz w:val="18"/>
          <w:szCs w:val="18"/>
          <w:i w:val="1"/>
          <w:iCs w:val="1"/>
          <w:color w:val="auto"/>
        </w:rPr>
        <w:t>Chultem v. Ticor Title Insurance Co., Chicago Title and Trust, Co., and Fidelity National Financial, Inc.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Colella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Chicago Title Insurance Co. and Chicago Title and Trust Co. </w:t>
      </w:r>
      <w:r>
        <w:rPr>
          <w:rFonts w:ascii="Times New Roman" w:cs="Times New Roman" w:eastAsia="Times New Roman" w:hAnsi="Times New Roman"/>
          <w:sz w:val="18"/>
          <w:szCs w:val="18"/>
          <w:color w:val="auto"/>
        </w:rPr>
        <w:t>are pending in the Illinois state court against Chicago Title Insurance Company (“Chicago”),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Ticor Title Insurance Company (“Ticor”), Chicago Title and Trust Company, and Fidelity National Financial, Inc., their parent, (collectively “the Companies”). The Plaintiffs represent certified classes of all borrowers and sellers of residential real estate in Illinois who paid a premium for title insurance to Chicago and Ticor which was split with attorney agents for services which were performed in issuing the policies. The complaint alleges the Companies violated the Real Estate Settlement Procedures Act (RESPA) and by doing so violated the Illinois Title Insurance Act and the Illinois Consumer Fraud Act. The suit seeks compensatory damages in the amount of the premium split paid to the attorney agents, interest, punitive damages, a permanent injunction, attorney's fees and costs. Class certification was denied on May 26, 2009, but the plaintiffs appealed. The Court of Appeal reversed and the case was remanded to the trial court for certification and subsequent proceedings. During 2013 and continuing through February 2014, the case progressed. On February 7, 2014, the court entered an order in favor of us recognizing the U.S. Supreme Courts case </w:t>
      </w:r>
      <w:r>
        <w:rPr>
          <w:rFonts w:ascii="Times New Roman" w:cs="Times New Roman" w:eastAsia="Times New Roman" w:hAnsi="Times New Roman"/>
          <w:sz w:val="18"/>
          <w:szCs w:val="18"/>
          <w:u w:val="single" w:color="auto"/>
          <w:color w:val="auto"/>
        </w:rPr>
        <w:t>Freeman v. Quicken Loans</w:t>
      </w:r>
      <w:r>
        <w:rPr>
          <w:rFonts w:ascii="Times New Roman" w:cs="Times New Roman" w:eastAsia="Times New Roman" w:hAnsi="Times New Roman"/>
          <w:sz w:val="18"/>
          <w:szCs w:val="18"/>
          <w:color w:val="auto"/>
        </w:rPr>
        <w:t>, which determined that if a person with whom fees were split performed any service then there was no RESPA violation. The Plaintiff will have an opportunity to appeal the Court's decision. We intend to vigorously defend this action. We do not believe this case will have a material adverse impact on our operations or financial condition.</w:t>
      </w:r>
    </w:p>
    <w:p>
      <w:pPr>
        <w:spacing w:after="0" w:line="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Escrow Balances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$8.8 billion at December 31, 2013. As a result of holding these customers’ assets in escrow, we have ongoing programs for realizing economic benefits during the year through favorable borrowing and vendor arrangements with various banks. There were no investments or loans outstanding as of December 31, 2013 and 2012 related to these arrangements.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17"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8"/>
        </w:trPr>
        <w:tc>
          <w:tcPr>
            <w:tcW w:w="1028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59"/>
        </w:trPr>
        <w:tc>
          <w:tcPr>
            <w:tcW w:w="10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Future minimum operating lease payments are as follows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future minimum operating lease payments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926</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Rent expense incurred under operating leases during the years ended December 31, 2013, 2012 and 2011 was $196 million, $159 million, and $123 million, respectively. Rent expense in 2013, 2012, and 2011 includes abandoned lease charges related to office closures of $1 million, $2 million, and $1 million, respectively.</w:t>
      </w:r>
    </w:p>
    <w:p>
      <w:pPr>
        <w:spacing w:after="0" w:line="4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29, 2004 we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lessor financed the acquisition of the facilities through funding provided by third-party financial institutions. On June 27, 2011, we renewed and amended the synthetic lease for the facilities. The amended lease provides for a five year term ending June 27, 2016 and had an outstanding balance as of December 31, 2013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Restaurant Group Purchase Obligations</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2013 to determine the amount of the obligations.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 obligations of the Restaurant Group as of December 31, 2013 are as follows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0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N.</w:t>
      </w:r>
      <w:r>
        <w:rPr>
          <w:sz w:val="20"/>
          <w:szCs w:val="20"/>
          <w:color w:val="auto"/>
        </w:rPr>
        <w:tab/>
      </w:r>
      <w:r>
        <w:rPr>
          <w:rFonts w:ascii="Times New Roman" w:cs="Times New Roman" w:eastAsia="Times New Roman" w:hAnsi="Times New Roman"/>
          <w:sz w:val="17"/>
          <w:szCs w:val="17"/>
          <w:b w:val="1"/>
          <w:bCs w:val="1"/>
          <w:color w:val="auto"/>
        </w:rPr>
        <w:t>Regulation and Equity</w:t>
      </w:r>
    </w:p>
    <w:p>
      <w:pPr>
        <w:spacing w:after="0" w:line="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w:t>
      </w:r>
    </w:p>
    <w:p>
      <w:pPr>
        <w:spacing w:after="0" w:line="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Fidelity National</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17" w:right="239" w:bottom="1440" w:gutter="0" w:footer="0" w:header="0"/>
        </w:sectPr>
      </w:pPr>
    </w:p>
    <w:bookmarkStart w:id="94" w:name="page95"/>
    <w:bookmarkEnd w:id="94"/>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Group segment, of any laws or regulations that may become more restrictive in the future or if new restrictive laws will be enacted.</w:t>
      </w:r>
    </w:p>
    <w:p>
      <w:pPr>
        <w:spacing w:after="0" w:line="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2013, the combined statutory unearned premium reserve required and reported for our title insurers was $1,734 million. In addition to statutory unearned premium reserves, each of our insurers maintains reserves for known claims and surplus funds for policyholder protection and business operations.</w:t>
      </w:r>
    </w:p>
    <w:p>
      <w:pPr>
        <w:spacing w:after="0" w:line="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2013, $1,909 million of our net assets are restricted from dividend payments without prior approval from the Departments of Insurance. During 2014, our title insurers can pay or make distributions to us of approximately $308 million, without prior approval.</w:t>
      </w:r>
    </w:p>
    <w:p>
      <w:pPr>
        <w:spacing w:after="0" w:line="4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statutory capital and surplus of our title insurers was approximately $1,409 million and $1,381 million as of December 31, 2013 and 2012, respectively. The combined statutory net earnings (losses) of our title insurance subsidiaries were $352 million, $281 million, and $151 million for the years ended December 31, 2013, 2012, and 2011, respectively.</w:t>
      </w:r>
    </w:p>
    <w:p>
      <w:pPr>
        <w:spacing w:after="0" w:line="4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Times New Roman" w:cs="Times New Roman" w:eastAsia="Times New Roman" w:hAnsi="Times New Roman"/>
          <w:sz w:val="18"/>
          <w:szCs w:val="18"/>
          <w:i w:val="1"/>
          <w:iCs w:val="1"/>
          <w:color w:val="auto"/>
        </w:rPr>
        <w:t>) Accounting Practices and Procedures</w:t>
      </w:r>
      <w:r>
        <w:rPr>
          <w:rFonts w:ascii="Times New Roman" w:cs="Times New Roman" w:eastAsia="Times New Roman" w:hAnsi="Times New Roman"/>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2013 and 2012, respectively, was lower (higher) by approximately $205 million and $(4) million than if we had reported such amounts in accordance with NAIC SAP.</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Pursuant to statutory requirements of the various states in which our insurers are domiciled, such insurers must maintain certain levels of minimum</w:t>
      </w:r>
    </w:p>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and surplus. Required levels of minimum capital and surplus are not significant to the insurers individually or in the aggregate. Each of our insurers has complied with the minimum statutory requirements as of December 31, 2013.</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underwritten title companies are also subject to certain regulation by insurance regulatory or banking authorities, primarily relating to minimum net</w:t>
      </w:r>
    </w:p>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worth. Minimum net worth requirements for each underwritten title company is less than $1 million. These companies were in compliance with their respective minimum net worth requirements at December 31, 2013.</w:t>
      </w:r>
    </w:p>
    <w:p>
      <w:pPr>
        <w:spacing w:after="0" w:line="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Subsequent to year end, on January 2, 2014 as part of the LPS Acquisition, 25,920,078 shares of FNF common stock as consideration for the LPS Acquisition to the former shareholders of LPS.</w:t>
      </w:r>
    </w:p>
    <w:p>
      <w:pPr>
        <w:spacing w:after="0" w:line="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21, 2009, the Board of Directors approved a three-year stock repurchase program under which we could repurchase up to 15 million shares of our common stock through July 31, 2012. On January 27, 2011, our Board of Directors approved an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20"/>
          </w:cols>
          <w:pgMar w:left="240" w:top="117" w:right="239" w:bottom="1440" w:gutter="0" w:footer="0" w:header="0"/>
        </w:sectPr>
      </w:pPr>
    </w:p>
    <w:bookmarkStart w:id="95" w:name="page96"/>
    <w:bookmarkEnd w:id="95"/>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5 million shares that could have been repurchased under the program. This program expired July 31, 2012, and we repurchased a total of 16,528,512 shares for $243 million, or an average of $14.73 per share under this program.</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2013, we repurchased a total of 1,400,000 shares for $34 million, or an average of $24.14 per share under this program. Subsequent to year-end we did not repurchase any shares through market close on February 27, 2014. Since the original commencement of the plan adopted July 21, 2012, we have repurchased a total of 2,080,000 shares for $50 million, or an average of $23.90 per share, and there are 12,920,000 shares available to be repurchased under this program.</w:t>
      </w:r>
    </w:p>
    <w:p>
      <w:pPr>
        <w:spacing w:after="0" w:line="4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O.</w:t>
      </w:r>
      <w:r>
        <w:rPr>
          <w:sz w:val="20"/>
          <w:szCs w:val="20"/>
          <w:color w:val="auto"/>
        </w:rPr>
        <w:tab/>
      </w:r>
      <w:r>
        <w:rPr>
          <w:rFonts w:ascii="Times New Roman" w:cs="Times New Roman" w:eastAsia="Times New Roman" w:hAnsi="Times New Roman"/>
          <w:sz w:val="17"/>
          <w:szCs w:val="17"/>
          <w:b w:val="1"/>
          <w:bCs w:val="1"/>
          <w:color w:val="auto"/>
        </w:rPr>
        <w:t>Employee Benefit Plans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Plan</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three-year period ended December 31, 2013,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contributed $17 million, $14 million, and $13 million to the ESPPs in the years ended December 31, 2013, 2012, and 2011, respectively, in accordance with the employer’s matching contribution.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Profit Sharing Plan</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three-year period ended December 31, 2013, we have offered our employees the opportunity to participate in our 401(k) profit sharing plans (the “401(k) Plans”), qualified voluntary contributory savings plans which are available to substantially all of our employees. Eligible employees may contribute up to 40% of their pretax annual compensation, up to the amount allowed pursuant to the Internal Revenue Code. There was no employer match for the year ended December 31, 2011. Beginning in 2012, we initiated an employer match on the 401(k) plan whereby we matched $0.25 on each $1.00 contributed up to the first 6% of eligible earnings contributed to the Plan. Effective April 1, 2013, we increased the employer match from $0.25 to $0.375 on each $1.00 contributed up to the first 6% of eligible earnings contributed to the Plan. The employer match for the years ended December 31, 2013 and 2012 were $17 million and $11 million that was credited to the FNF Stock Fund in the FNF 401(k)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Plans</w:t>
      </w:r>
    </w:p>
    <w:p>
      <w:pPr>
        <w:spacing w:after="0" w:line="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2005, we established the FNT 2005 Omnibus Incentive Plan (the “Omnibus Plan”) authorizing the issuance of up to 8 million shares of common stock, subject to the terms of the Omnibus Plan. On October 23, 2006, the stockholders of FNF approved an amendment to increase the number of shares available for issuance under the Omnibus Plan by 16 million shares. The increase was in part to provide capacity for options and restricted stock to be issued to replace Old FNF options and restricted stock. On May 29, 2008 and May 25, 2011, the shareholders of FNF approved an amendment to increase the number of shares for issuance under the Omnibus Plan by 11 million shares and 6 million shares, respectively.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2013, there were 1,913,072 shares of restricted stock and 9,358,740 stock options outstanding under this plan. Awards granted are determined and approved by the Compensation Committee of the Board of Directors. Options vest over a 3 year period, and the exercise price for options granted equals the market price of the underlying stock on the grant date. Stock option grants of 3,712,416 shares, 769,693 shares, and 25,000 shares were made to various employees and directors in 2013, 2012, and 2011, respectively, and vest according to certain time based and operating performance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117" w:right="239" w:bottom="1440" w:gutter="0" w:footer="0" w:header="0"/>
        </w:sectPr>
      </w:pPr>
    </w:p>
    <w:bookmarkStart w:id="96" w:name="page97"/>
    <w:bookmarkEnd w:id="96"/>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 option transactions under the Omnibus Plan for 2011, 2012, and 2013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3"/>
                <w:szCs w:val="13"/>
                <w:color w:val="auto"/>
              </w:rPr>
            </w:pPr>
          </w:p>
        </w:tc>
        <w:tc>
          <w:tcPr>
            <w:tcW w:w="13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3"/>
                <w:szCs w:val="13"/>
                <w:color w:val="auto"/>
              </w:rPr>
            </w:pP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0" w:type="dxa"/>
            <w:vAlign w:val="bottom"/>
          </w:tcPr>
          <w:p>
            <w:pPr>
              <w:spacing w:after="0"/>
              <w:rPr>
                <w:sz w:val="1"/>
                <w:szCs w:val="1"/>
                <w:color w:val="auto"/>
              </w:rPr>
            </w:pPr>
          </w:p>
        </w:tc>
      </w:tr>
      <w:tr>
        <w:trPr>
          <w:trHeight w:val="195"/>
        </w:trPr>
        <w:tc>
          <w:tcPr>
            <w:tcW w:w="72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2010</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21,826,954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16,241,130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(1,068,934)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2011</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20,632,021</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18,704,618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769,693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(12,358,474)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2012</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8,967,074</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8,147,381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3,712,416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9,358,740</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5,180,504</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Restricted stock transactions under the Omnibus Plan in 2011, 2012, and 2013 are as follows: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2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6"/>
        </w:trPr>
        <w:tc>
          <w:tcPr>
            <w:tcW w:w="7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5"/>
        </w:trPr>
        <w:tc>
          <w:tcPr>
            <w:tcW w:w="7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42"/>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2010</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2,666,901</w:t>
            </w:r>
          </w:p>
        </w:tc>
        <w:tc>
          <w:tcPr>
            <w:tcW w:w="10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1,645,246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(1,253,058)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2011</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3,012,656</w:t>
            </w:r>
          </w:p>
        </w:tc>
        <w:tc>
          <w:tcPr>
            <w:tcW w:w="100" w:type="dxa"/>
            <w:vAlign w:val="bottom"/>
            <w:tcBorders>
              <w:top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(1,402,300)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2012</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2,924,738</w:t>
            </w:r>
          </w:p>
        </w:tc>
        <w:tc>
          <w:tcPr>
            <w:tcW w:w="100" w:type="dxa"/>
            <w:vAlign w:val="bottom"/>
            <w:tcBorders>
              <w:top w:val="single" w:sz="8" w:color="auto"/>
            </w:tcBorders>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Canceled</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(1,654,278)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December 31, 2013</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1,913,072</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22.68</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2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97" w:name="page98"/>
    <w:bookmarkEnd w:id="97"/>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related to stock options outstanding and exercisable as of December 31, 2013:</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Options Outstanding</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Range of</w:t>
            </w: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60" w:type="dxa"/>
            <w:vAlign w:val="bottom"/>
          </w:tcPr>
          <w:p>
            <w:pPr>
              <w:spacing w:after="0"/>
              <w:rPr>
                <w:sz w:val="23"/>
                <w:szCs w:val="23"/>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Intrinsic</w:t>
            </w:r>
          </w:p>
        </w:tc>
        <w:tc>
          <w:tcPr>
            <w:tcW w:w="1240" w:type="dxa"/>
            <w:vAlign w:val="bottom"/>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23"/>
                <w:szCs w:val="2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7"/>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Intrinsic</w:t>
            </w:r>
          </w:p>
        </w:tc>
      </w:tr>
      <w:tr>
        <w:trPr>
          <w:trHeight w:val="246"/>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1240" w:type="dxa"/>
            <w:vAlign w:val="bottom"/>
          </w:tcPr>
          <w:p>
            <w:pPr>
              <w:jc w:val="right"/>
              <w:ind w:right="315"/>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89"/>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2"/>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$0.00 — $7.09</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1,294,704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1,294,704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33</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$7.10 — $13.64</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1,891,704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1,891,704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$13.65 — $14.06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696,083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696,083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$14.07 — $18.14</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76,667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68,333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$18.15 — $20.92</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34,793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34,793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$20.93 — $22.59</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709,123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251,637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$22.60 — $27.90</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4,655,666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943,250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9,358,740</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5,180,504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account for stock-based compensation plans in accordance with the FASB standard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attributable to FNF Common Shareholders reflects stock-based compensation expense amounts of $30 million for the year ended December 31, 2013 and $23 million for the year ended December 31, 2012, and 27 million for the year ended December 31, 2011, which are included in personnel costs in the reported financial results of each period.</w:t>
      </w:r>
    </w:p>
    <w:p>
      <w:pPr>
        <w:spacing w:after="0" w:line="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risk free interest rates used in the calculation of compensation cost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2013, 2012, and 2011, we used risk free interest rates of 1.1%, 0.6%, and 1.0%, respectively; volatility factors for the expected market price of the common stock of 26%, 50%, and 53%, respectively; expected dividend yields of 2.6%, 2.8%, and 3.1%, respectively; and weighted average expected lives of 4.4 years, 4.6 years, and 4.7 years, respectively. The weighted average fair value of each option granted in the years ended December 31, 2013, 2012, and 2011, were $4.67, $7.58, and $5.56, respectively.</w:t>
      </w:r>
    </w:p>
    <w:p>
      <w:pPr>
        <w:spacing w:after="0" w:line="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At December 31, 2013, the total unrecognized compensation cost related to non-vested stock option grants and restricted stock grants is $60 million, which is expected to be recognized in pre-tax income over a weighted average period of 1.70 years.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Plans</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the FASB standard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pension asset (liability) included in Prepaid expenses and other assets and Accounts payable and other accrued liabilities as of December 31, 2013, and 2012 was $6 million and $(23) million, respectively. The discount rate used to determine the benefit obligation as of the years ending December 31, 2013 and 2012 was 4.12% and 3.24%, respectively. As of the years ending December 31, 2013 and 2012 the projected benefit obligation was $167 million and $185 million, respectively, and the fair value of plan assets was $173 million and $162 million, respectively. The net periodic expense included in the results of operations relating to these plans was $9 million, $10 million, and $9 million for the years ending December 31, 2013, 2012, and 2011, respectively.</w:t>
      </w:r>
    </w:p>
    <w:p>
      <w:pPr>
        <w:spacing w:after="0" w:line="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Remy sponsors multiple defined benefit pension plans that cover a significant portion of their U.S. employees and certain U.K. and Korea employees. The plans for U.S. employees were frozen in 2006. The net pension liability for Remy included in Accounts payable and other accrued liabilities as of December 31, 2013 and 2012 was $19 million and $32 million, respectively.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117" w:right="239" w:bottom="1440" w:gutter="0" w:footer="0" w:header="0"/>
        </w:sectPr>
      </w:pPr>
    </w:p>
    <w:bookmarkStart w:id="98" w:name="page99"/>
    <w:bookmarkEnd w:id="98"/>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discount rate used to determine the benefit obligation as of the year ending December 31, 2013 and 2012 was 4.73% and 3.85%, respectively, for the U.S. plan and 4.27% and 4.10%, respectively, for the non-U.S. plans. As of the year ending December 31, 2013 the projected benefit obligation was $79 million and the fair value of plan assets was $60 million. The net periodic expense included in the results of operations relating to these plans was $1 million for the year ending December 31, 2013.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Postretirement and Other Nonqualified Employee Benefit Plans</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Land Title Insurance Company and Lawyers Title Insurance Corporation, as well as United Capital 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$20 million and $24 million at December 31, 2013 and 2012, respectively. The net costs relating to these plans were immaterial for the years ended December 31, 2013, 2012, and 2011.</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P.</w:t>
      </w:r>
      <w:r>
        <w:rPr>
          <w:sz w:val="20"/>
          <w:szCs w:val="20"/>
          <w:color w:val="auto"/>
        </w:rPr>
        <w:tab/>
      </w:r>
      <w:r>
        <w:rPr>
          <w:rFonts w:ascii="Times New Roman" w:cs="Times New Roman" w:eastAsia="Times New Roman" w:hAnsi="Times New Roman"/>
          <w:sz w:val="17"/>
          <w:szCs w:val="17"/>
          <w:b w:val="1"/>
          <w:bCs w:val="1"/>
          <w:color w:val="auto"/>
        </w:rPr>
        <w:t>Supplementary Cash Flow Information</w:t>
      </w:r>
    </w:p>
    <w:p>
      <w:pPr>
        <w:spacing w:after="0" w:line="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interest and tax payments, as well as certain non-cash investing and financing activities.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50"/>
        </w:trPr>
        <w:tc>
          <w:tcPr>
            <w:tcW w:w="7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55"/>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paid during the year:</w:t>
            </w:r>
          </w:p>
        </w:tc>
        <w:tc>
          <w:tcPr>
            <w:tcW w:w="7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6"/>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Liabilities assumed in connection with acquisitions:</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 assets acquired</w:t>
            </w:r>
          </w:p>
        </w:tc>
        <w:tc>
          <w:tcPr>
            <w:tcW w:w="7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Total purchase price</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 assumed</w:t>
            </w:r>
          </w:p>
        </w:tc>
        <w:tc>
          <w:tcPr>
            <w:tcW w:w="7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Q.</w:t>
        <w:tab/>
        <w:t>Financial Instruments with Off-Balance Sheet Risk and Concentration of Risk</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Fidelity National Title Group</w:t>
      </w:r>
    </w:p>
    <w:p>
      <w:pPr>
        <w:spacing w:after="0" w:line="92" w:lineRule="exact"/>
        <w:rPr>
          <w:sz w:val="20"/>
          <w:szCs w:val="20"/>
          <w:color w:val="auto"/>
        </w:rPr>
      </w:pPr>
    </w:p>
    <w:p>
      <w:pPr>
        <w:jc w:val="both"/>
        <w:ind w:firstLine="369"/>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249"/>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California</w:t>
            </w:r>
          </w:p>
        </w:tc>
        <w:tc>
          <w:tcPr>
            <w:tcW w:w="14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15.2%</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Texas</w:t>
            </w: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
        </w:trPr>
        <w:tc>
          <w:tcPr>
            <w:tcW w:w="76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New York</w:t>
            </w:r>
          </w:p>
        </w:tc>
        <w:tc>
          <w:tcPr>
            <w:tcW w:w="146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Florida</w:t>
            </w: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7.6%</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Remy generates revenue in multiple geographic locations. Revenues are attributed to geographic locations based on the point of sale.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117" w:right="239" w:bottom="1440" w:gutter="0" w:footer="0" w:header="0"/>
        </w:sectPr>
      </w:pPr>
    </w:p>
    <w:bookmarkStart w:id="99" w:name="page100"/>
    <w:bookmarkEnd w:id="99"/>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about our Auto parts revenue in our Remy segment by region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49"/>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43"/>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8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3"/>
        </w:trPr>
        <w:tc>
          <w:tcPr>
            <w:tcW w:w="8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America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
        </w:trPr>
        <w:tc>
          <w:tcPr>
            <w:tcW w:w="88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8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88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primarily of cash equivalents, short-term investments, and trade receivables.</w:t>
      </w:r>
    </w:p>
    <w:p>
      <w:pPr>
        <w:spacing w:after="0" w:line="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Financial instruments at Remy, which potentially subject us to concentrations of credit risk, consist primarily of accounts receivable and cash investments. We require placement of cash in financial institutions evaluated as highly creditworthy.</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Remy customer base includes global light and commercial vehicle manufacturers and a large number of retailers, distributors and installers of automotive aftermarket parts. Remy's credit evaluation process and the geographical dispersion of sales transactions help to mitigate credit risk concentration. Remy conducts a significant amount of business with General Motors Corporation (“GM”), Hyundai Motor Company ("Hyundai") and three large automotive parts retailers. Auto parts revenue from these customers in the aggregate represented 48.3% and 50.1% for the year ended December 31, 2013 and 2012, respectively. GM represents Remy's largest customer and accounted for approximately 16.2% and 20.7% of Auto parts revenue for the year ended December 31, 2013 and 2012, respectively. Auto parts revenue from Hyundai accounted for approximately 10.4% of Remy's net sales for the year ended December 31, 2013.</w:t>
      </w:r>
    </w:p>
    <w:p>
      <w:pPr>
        <w:spacing w:after="0" w:line="18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Note R.</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Summarized financial information concerning our reportable segments is shown in the following tables. During the fourth quarter of 2013, we determined that the Corporate and Other segment would be split in order to differentiate operations and costs related to the Fidelity National Title Group segment from those associated with our Portfolio Company Investments. As a result, we reorganized our reporting segments to reflect this change. We have also provided information regarding the elimination of transactions between our FNF Core segments and our Portfolio Company Investments.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420"/>
          </w:cols>
          <w:pgMar w:left="240" w:top="117" w:right="239" w:bottom="1440" w:gutter="0" w:footer="0" w:header="0"/>
        </w:sectPr>
      </w:pPr>
    </w:p>
    <w:bookmarkStart w:id="100" w:name="page101"/>
    <w:bookmarkEnd w:id="100"/>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9"/>
              </w:rPr>
              <w:t>Portfolio</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Total Portfolio</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Company</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Fidelity National</w:t>
            </w:r>
          </w:p>
        </w:tc>
        <w:tc>
          <w:tcPr>
            <w:tcW w:w="10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FNF Corporate</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Title Group</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and Other</w:t>
            </w: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Total FNF Core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Other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Eliminations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4,152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4,152</w:t>
            </w:r>
          </w:p>
        </w:tc>
        <w:tc>
          <w:tcPr>
            <w:tcW w:w="0" w:type="dxa"/>
            <w:vAlign w:val="bottom"/>
          </w:tcPr>
          <w:p>
            <w:pPr>
              <w:spacing w:after="0"/>
              <w:rPr>
                <w:sz w:val="1"/>
                <w:szCs w:val="1"/>
                <w:color w:val="auto"/>
              </w:rPr>
            </w:pPr>
          </w:p>
        </w:tc>
      </w:tr>
      <w:tr>
        <w:trPr>
          <w:trHeight w:val="265"/>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1,650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1,737</w:t>
            </w: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 parts revenues</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1,127</w:t>
            </w:r>
          </w:p>
        </w:tc>
        <w:tc>
          <w:tcPr>
            <w:tcW w:w="0" w:type="dxa"/>
            <w:vAlign w:val="bottom"/>
          </w:tcPr>
          <w:p>
            <w:pPr>
              <w:spacing w:after="0"/>
              <w:rPr>
                <w:sz w:val="1"/>
                <w:szCs w:val="1"/>
                <w:color w:val="auto"/>
              </w:rPr>
            </w:pPr>
          </w:p>
        </w:tc>
      </w:tr>
      <w:tr>
        <w:trPr>
          <w:trHeight w:val="265"/>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1,408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1,408</w:t>
            </w: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5,749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5,802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8,424</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including realized gains and</w:t>
            </w:r>
          </w:p>
        </w:tc>
        <w:tc>
          <w:tcPr>
            <w:tcW w:w="14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141</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losses</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5,894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5,950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1,125</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1,407</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2,622</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8,565</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137</w:t>
            </w: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93</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Earnings (loss)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 before income taxes 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 earnings (loss) of</w:t>
            </w:r>
          </w:p>
        </w:tc>
        <w:tc>
          <w:tcPr>
            <w:tcW w:w="14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676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651</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205</w:t>
            </w:r>
          </w:p>
        </w:tc>
        <w:tc>
          <w:tcPr>
            <w:tcW w:w="0" w:type="dxa"/>
            <w:vAlign w:val="bottom"/>
          </w:tcPr>
          <w:p>
            <w:pPr>
              <w:spacing w:after="0"/>
              <w:rPr>
                <w:sz w:val="1"/>
                <w:szCs w:val="1"/>
                <w:color w:val="auto"/>
              </w:rPr>
            </w:pPr>
          </w:p>
        </w:tc>
      </w:tr>
      <w:tr>
        <w:trPr>
          <w:trHeight w:val="133"/>
        </w:trPr>
        <w:tc>
          <w:tcPr>
            <w:tcW w:w="218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Earnings (loss) from continuing</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 before equity in earnings</w:t>
            </w:r>
          </w:p>
        </w:tc>
        <w:tc>
          <w:tcPr>
            <w:tcW w:w="14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434</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446</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Equity in earnings (loss) of</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Earnings (loss) from continuing</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524</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438</w:t>
            </w:r>
          </w:p>
        </w:tc>
        <w:tc>
          <w:tcPr>
            <w:tcW w:w="120" w:type="dxa"/>
            <w:vAlign w:val="bottom"/>
          </w:tcPr>
          <w:p>
            <w:pPr>
              <w:spacing w:after="0"/>
              <w:rPr>
                <w:sz w:val="11"/>
                <w:szCs w:val="11"/>
                <w:color w:val="auto"/>
              </w:rPr>
            </w:pPr>
          </w:p>
        </w:tc>
        <w:tc>
          <w:tcPr>
            <w:tcW w:w="2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420</w:t>
            </w:r>
          </w:p>
        </w:tc>
        <w:tc>
          <w:tcPr>
            <w:tcW w:w="0" w:type="dxa"/>
            <w:vAlign w:val="bottom"/>
          </w:tcPr>
          <w:p>
            <w:pPr>
              <w:spacing w:after="0"/>
              <w:rPr>
                <w:sz w:val="1"/>
                <w:szCs w:val="1"/>
                <w:color w:val="auto"/>
              </w:rPr>
            </w:pPr>
          </w:p>
        </w:tc>
      </w:tr>
      <w:tr>
        <w:trPr>
          <w:trHeight w:val="225"/>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operations</w:t>
            </w:r>
          </w:p>
        </w:tc>
        <w:tc>
          <w:tcPr>
            <w:tcW w:w="1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6,757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8,022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1,255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663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699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10,524</w:t>
            </w: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420"/>
          </w:cols>
          <w:pgMar w:left="240" w:top="117" w:right="239" w:bottom="1440" w:gutter="0" w:footer="0" w:header="0"/>
        </w:sectPr>
      </w:pPr>
    </w:p>
    <w:bookmarkStart w:id="101" w:name="page102"/>
    <w:bookmarkEnd w:id="101"/>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and for the year ended December 31, 2012:</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5"/>
              </w:rPr>
              <w:t>Portfolio</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Total Portfolio</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3"/>
                <w:szCs w:val="13"/>
                <w:color w:val="auto"/>
                <w:w w:val="93"/>
              </w:rPr>
              <w:t>Fidelity</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4"/>
              </w:rPr>
              <w:t>Company</w:t>
            </w:r>
          </w:p>
        </w:tc>
        <w:tc>
          <w:tcPr>
            <w:tcW w:w="1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9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National Title</w:t>
            </w:r>
          </w:p>
        </w:tc>
        <w:tc>
          <w:tcPr>
            <w:tcW w:w="9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FNF Corporate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Total FNF</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7"/>
              </w:rPr>
              <w:t>Restaurant</w:t>
            </w:r>
          </w:p>
        </w:tc>
        <w:tc>
          <w:tcPr>
            <w:tcW w:w="1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6"/>
              </w:rPr>
              <w:t>Corporate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Group</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and Other</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Core</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color w:val="auto"/>
              </w:rPr>
              <w:t>Remy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Group</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and Other</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Investments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rPr>
              <w:t>Eliminations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3,833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3,833</w:t>
            </w:r>
          </w:p>
        </w:tc>
        <w:tc>
          <w:tcPr>
            <w:tcW w:w="0" w:type="dxa"/>
            <w:vAlign w:val="bottom"/>
          </w:tcPr>
          <w:p>
            <w:pPr>
              <w:spacing w:after="0"/>
              <w:rPr>
                <w:sz w:val="1"/>
                <w:szCs w:val="1"/>
                <w:color w:val="auto"/>
              </w:rPr>
            </w:pPr>
          </w:p>
        </w:tc>
      </w:tr>
      <w:tr>
        <w:trPr>
          <w:trHeight w:val="265"/>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60" w:type="dxa"/>
            <w:vAlign w:val="bottom"/>
          </w:tcPr>
          <w:p>
            <w:pPr>
              <w:spacing w:after="0"/>
              <w:rPr>
                <w:sz w:val="23"/>
                <w:szCs w:val="23"/>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1,613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1,661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3"/>
                <w:szCs w:val="23"/>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1,676</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 parts revenues</w:t>
            </w: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417</w:t>
            </w:r>
          </w:p>
        </w:tc>
        <w:tc>
          <w:tcPr>
            <w:tcW w:w="0" w:type="dxa"/>
            <w:vAlign w:val="bottom"/>
          </w:tcPr>
          <w:p>
            <w:pPr>
              <w:spacing w:after="0"/>
              <w:rPr>
                <w:sz w:val="1"/>
                <w:szCs w:val="1"/>
                <w:color w:val="auto"/>
              </w:rPr>
            </w:pPr>
          </w:p>
        </w:tc>
      </w:tr>
      <w:tr>
        <w:trPr>
          <w:trHeight w:val="265"/>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908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908</w:t>
            </w:r>
          </w:p>
        </w:tc>
        <w:tc>
          <w:tcPr>
            <w:tcW w:w="0" w:type="dxa"/>
            <w:vAlign w:val="bottom"/>
          </w:tcPr>
          <w:p>
            <w:pPr>
              <w:spacing w:after="0"/>
              <w:rPr>
                <w:sz w:val="1"/>
                <w:szCs w:val="1"/>
                <w:color w:val="auto"/>
              </w:rPr>
            </w:pPr>
          </w:p>
        </w:tc>
      </w:tr>
      <w:tr>
        <w:trPr>
          <w:trHeight w:val="25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5,446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5,494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1,340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6,834</w:t>
            </w:r>
          </w:p>
        </w:tc>
        <w:tc>
          <w:tcPr>
            <w:tcW w:w="0" w:type="dxa"/>
            <w:vAlign w:val="bottom"/>
          </w:tcPr>
          <w:p>
            <w:pPr>
              <w:spacing w:after="0"/>
              <w:rPr>
                <w:sz w:val="1"/>
                <w:szCs w:val="1"/>
                <w:color w:val="auto"/>
              </w:rPr>
            </w:pPr>
          </w:p>
        </w:tc>
      </w:tr>
      <w:tr>
        <w:trPr>
          <w:trHeight w:val="153"/>
        </w:trPr>
        <w:tc>
          <w:tcPr>
            <w:tcW w:w="29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Interest and investment income, including realized</w:t>
            </w:r>
          </w:p>
        </w:tc>
        <w:tc>
          <w:tcPr>
            <w:tcW w:w="160" w:type="dxa"/>
            <w:vAlign w:val="bottom"/>
          </w:tcPr>
          <w:p>
            <w:pPr>
              <w:spacing w:after="0"/>
              <w:rPr>
                <w:sz w:val="13"/>
                <w:szCs w:val="13"/>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137</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331</w:t>
            </w:r>
          </w:p>
        </w:tc>
        <w:tc>
          <w:tcPr>
            <w:tcW w:w="0" w:type="dxa"/>
            <w:vAlign w:val="bottom"/>
          </w:tcPr>
          <w:p>
            <w:pPr>
              <w:spacing w:after="0"/>
              <w:rPr>
                <w:sz w:val="1"/>
                <w:szCs w:val="1"/>
                <w:color w:val="auto"/>
              </w:rPr>
            </w:pPr>
          </w:p>
        </w:tc>
      </w:tr>
      <w:tr>
        <w:trPr>
          <w:trHeight w:val="193"/>
        </w:trPr>
        <w:tc>
          <w:tcPr>
            <w:tcW w:w="29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gains and losses</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5,586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5,631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497</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1,535</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7,165</w:t>
            </w:r>
          </w:p>
        </w:tc>
        <w:tc>
          <w:tcPr>
            <w:tcW w:w="0" w:type="dxa"/>
            <w:vAlign w:val="bottom"/>
          </w:tcPr>
          <w:p>
            <w:pPr>
              <w:spacing w:after="0"/>
              <w:rPr>
                <w:sz w:val="1"/>
                <w:szCs w:val="1"/>
                <w:color w:val="auto"/>
              </w:rPr>
            </w:pPr>
          </w:p>
        </w:tc>
      </w:tr>
      <w:tr>
        <w:trPr>
          <w:trHeight w:val="25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21"/>
                <w:szCs w:val="21"/>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1"/>
                <w:szCs w:val="21"/>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104</w:t>
            </w: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74</w:t>
            </w:r>
          </w:p>
        </w:tc>
        <w:tc>
          <w:tcPr>
            <w:tcW w:w="0" w:type="dxa"/>
            <w:vAlign w:val="bottom"/>
          </w:tcPr>
          <w:p>
            <w:pPr>
              <w:spacing w:after="0"/>
              <w:rPr>
                <w:sz w:val="1"/>
                <w:szCs w:val="1"/>
                <w:color w:val="auto"/>
              </w:rPr>
            </w:pPr>
          </w:p>
        </w:tc>
      </w:tr>
      <w:tr>
        <w:trPr>
          <w:trHeight w:val="153"/>
        </w:trPr>
        <w:tc>
          <w:tcPr>
            <w:tcW w:w="29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Earnings (loss) from continuing operations, before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income taxes and equity in earnings (loss) of</w:t>
            </w:r>
          </w:p>
        </w:tc>
        <w:tc>
          <w:tcPr>
            <w:tcW w:w="160" w:type="dxa"/>
            <w:vAlign w:val="bottom"/>
          </w:tcPr>
          <w:p>
            <w:pPr>
              <w:spacing w:after="0"/>
              <w:rPr>
                <w:sz w:val="12"/>
                <w:szCs w:val="12"/>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776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669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835</w:t>
            </w:r>
          </w:p>
        </w:tc>
        <w:tc>
          <w:tcPr>
            <w:tcW w:w="0" w:type="dxa"/>
            <w:vAlign w:val="bottom"/>
          </w:tcPr>
          <w:p>
            <w:pPr>
              <w:spacing w:after="0"/>
              <w:rPr>
                <w:sz w:val="1"/>
                <w:szCs w:val="1"/>
                <w:color w:val="auto"/>
              </w:rPr>
            </w:pPr>
          </w:p>
        </w:tc>
      </w:tr>
      <w:tr>
        <w:trPr>
          <w:trHeight w:val="193"/>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230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245</w:t>
            </w:r>
          </w:p>
        </w:tc>
        <w:tc>
          <w:tcPr>
            <w:tcW w:w="0" w:type="dxa"/>
            <w:vAlign w:val="bottom"/>
          </w:tcPr>
          <w:p>
            <w:pPr>
              <w:spacing w:after="0"/>
              <w:rPr>
                <w:sz w:val="1"/>
                <w:szCs w:val="1"/>
                <w:color w:val="auto"/>
              </w:rPr>
            </w:pPr>
          </w:p>
        </w:tc>
      </w:tr>
      <w:tr>
        <w:trPr>
          <w:trHeight w:val="133"/>
        </w:trPr>
        <w:tc>
          <w:tcPr>
            <w:tcW w:w="298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Earnings (loss) from continuing operations, before</w:t>
            </w: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 earnings (loss) of unconsolidated</w:t>
            </w:r>
          </w:p>
        </w:tc>
        <w:tc>
          <w:tcPr>
            <w:tcW w:w="160" w:type="dxa"/>
            <w:vAlign w:val="bottom"/>
          </w:tcPr>
          <w:p>
            <w:pPr>
              <w:spacing w:after="0"/>
              <w:rPr>
                <w:sz w:val="12"/>
                <w:szCs w:val="12"/>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494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590</w:t>
            </w:r>
          </w:p>
        </w:tc>
        <w:tc>
          <w:tcPr>
            <w:tcW w:w="0" w:type="dxa"/>
            <w:vAlign w:val="bottom"/>
          </w:tcPr>
          <w:p>
            <w:pPr>
              <w:spacing w:after="0"/>
              <w:rPr>
                <w:sz w:val="1"/>
                <w:szCs w:val="1"/>
                <w:color w:val="auto"/>
              </w:rPr>
            </w:pPr>
          </w:p>
        </w:tc>
      </w:tr>
      <w:tr>
        <w:trPr>
          <w:trHeight w:val="193"/>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affiliates</w:t>
            </w: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9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Equity in earnings (loss) of unconsolidated</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93"/>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affiliates</w:t>
            </w: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Earnings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444</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600</w:t>
            </w:r>
          </w:p>
        </w:tc>
        <w:tc>
          <w:tcPr>
            <w:tcW w:w="0" w:type="dxa"/>
            <w:vAlign w:val="bottom"/>
          </w:tcPr>
          <w:p>
            <w:pPr>
              <w:spacing w:after="0"/>
              <w:rPr>
                <w:sz w:val="1"/>
                <w:szCs w:val="1"/>
                <w:color w:val="auto"/>
              </w:rPr>
            </w:pPr>
          </w:p>
        </w:tc>
      </w:tr>
      <w:tr>
        <w:trPr>
          <w:trHeight w:val="224"/>
        </w:trPr>
        <w:tc>
          <w:tcPr>
            <w:tcW w:w="29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6,929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417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7,346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1,270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678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2,637</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9,903</w:t>
            </w:r>
          </w:p>
        </w:tc>
        <w:tc>
          <w:tcPr>
            <w:tcW w:w="0" w:type="dxa"/>
            <w:vAlign w:val="bottom"/>
          </w:tcPr>
          <w:p>
            <w:pPr>
              <w:spacing w:after="0"/>
              <w:rPr>
                <w:sz w:val="1"/>
                <w:szCs w:val="1"/>
                <w:color w:val="auto"/>
              </w:rPr>
            </w:pPr>
          </w:p>
        </w:tc>
      </w:tr>
      <w:tr>
        <w:trPr>
          <w:trHeight w:val="260"/>
        </w:trPr>
        <w:tc>
          <w:tcPr>
            <w:tcW w:w="29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117" w:right="239" w:bottom="1440" w:gutter="0" w:footer="0" w:header="0"/>
        </w:sectPr>
      </w:pPr>
    </w:p>
    <w:bookmarkStart w:id="102" w:name="page103"/>
    <w:bookmarkEnd w:id="102"/>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year ended December 31, 2011: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9"/>
              </w:rPr>
              <w:t>Portfolio</w:t>
            </w: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Total Portfolio</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color w:val="auto"/>
                <w:w w:val="98"/>
              </w:rPr>
              <w:t>Company</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0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Fidelity National</w:t>
            </w:r>
          </w:p>
        </w:tc>
        <w:tc>
          <w:tcPr>
            <w:tcW w:w="104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FNF Corporate</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6"/>
              </w:rPr>
              <w:t>Corporate</w:t>
            </w: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color w:val="auto"/>
              </w:rPr>
              <w:t>Title Group</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color w:val="auto"/>
                <w:w w:val="96"/>
              </w:rPr>
              <w:t>and Other</w:t>
            </w:r>
          </w:p>
        </w:tc>
        <w:tc>
          <w:tcPr>
            <w:tcW w:w="10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Total FNF Core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Remy</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color w:val="auto"/>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and Other</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Investments</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Eliminations</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1"/>
        </w:trPr>
        <w:tc>
          <w:tcPr>
            <w:tcW w:w="2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Title premiums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3,257</w:t>
            </w:r>
          </w:p>
        </w:tc>
        <w:tc>
          <w:tcPr>
            <w:tcW w:w="0" w:type="dxa"/>
            <w:vAlign w:val="bottom"/>
          </w:tcPr>
          <w:p>
            <w:pPr>
              <w:spacing w:after="0"/>
              <w:rPr>
                <w:sz w:val="1"/>
                <w:szCs w:val="1"/>
                <w:color w:val="auto"/>
              </w:rPr>
            </w:pPr>
          </w:p>
        </w:tc>
      </w:tr>
      <w:tr>
        <w:trPr>
          <w:trHeight w:val="265"/>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revenues</w:t>
            </w:r>
          </w:p>
        </w:tc>
        <w:tc>
          <w:tcPr>
            <w:tcW w:w="140" w:type="dxa"/>
            <w:vAlign w:val="bottom"/>
          </w:tcPr>
          <w:p>
            <w:pPr>
              <w:spacing w:after="0"/>
              <w:rPr>
                <w:sz w:val="23"/>
                <w:szCs w:val="23"/>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1,337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1,374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1,393</w:t>
            </w: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Auto parts revenues</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65"/>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Restaurant revenues</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 from external customers</w:t>
            </w: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4,594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4,631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4,650</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Interest and investment income,</w:t>
            </w:r>
          </w:p>
        </w:tc>
        <w:tc>
          <w:tcPr>
            <w:tcW w:w="140" w:type="dxa"/>
            <w:vAlign w:val="bottom"/>
          </w:tcPr>
          <w:p>
            <w:pPr>
              <w:spacing w:after="0"/>
              <w:rPr>
                <w:sz w:val="13"/>
                <w:szCs w:val="13"/>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149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151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150</w:t>
            </w:r>
          </w:p>
        </w:tc>
        <w:tc>
          <w:tcPr>
            <w:tcW w:w="0" w:type="dxa"/>
            <w:vAlign w:val="bottom"/>
          </w:tcPr>
          <w:p>
            <w:pPr>
              <w:spacing w:after="0"/>
              <w:rPr>
                <w:sz w:val="1"/>
                <w:szCs w:val="1"/>
                <w:color w:val="auto"/>
              </w:rPr>
            </w:pPr>
          </w:p>
        </w:tc>
      </w:tr>
      <w:tr>
        <w:trPr>
          <w:trHeight w:val="193"/>
        </w:trPr>
        <w:tc>
          <w:tcPr>
            <w:tcW w:w="2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including realized gains and losses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4,743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4,782</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4,800</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73</w:t>
            </w: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57</w:t>
            </w:r>
          </w:p>
        </w:tc>
        <w:tc>
          <w:tcPr>
            <w:tcW w:w="0" w:type="dxa"/>
            <w:vAlign w:val="bottom"/>
          </w:tcPr>
          <w:p>
            <w:pPr>
              <w:spacing w:after="0"/>
              <w:rPr>
                <w:sz w:val="1"/>
                <w:szCs w:val="1"/>
                <w:color w:val="auto"/>
              </w:rPr>
            </w:pPr>
          </w:p>
        </w:tc>
      </w:tr>
      <w:tr>
        <w:trPr>
          <w:trHeight w:val="153"/>
        </w:trPr>
        <w:tc>
          <w:tcPr>
            <w:tcW w:w="218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Earnings from continuing</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 before income taxes and</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 earnings (loss) of</w:t>
            </w:r>
          </w:p>
        </w:tc>
        <w:tc>
          <w:tcPr>
            <w:tcW w:w="14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521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405</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Income tax expense</w:t>
            </w: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129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131</w:t>
            </w:r>
          </w:p>
        </w:tc>
        <w:tc>
          <w:tcPr>
            <w:tcW w:w="0" w:type="dxa"/>
            <w:vAlign w:val="bottom"/>
          </w:tcPr>
          <w:p>
            <w:pPr>
              <w:spacing w:after="0"/>
              <w:rPr>
                <w:sz w:val="1"/>
                <w:szCs w:val="1"/>
                <w:color w:val="auto"/>
              </w:rPr>
            </w:pPr>
          </w:p>
        </w:tc>
      </w:tr>
      <w:tr>
        <w:trPr>
          <w:trHeight w:val="133"/>
        </w:trPr>
        <w:tc>
          <w:tcPr>
            <w:tcW w:w="2180" w:type="dxa"/>
            <w:vAlign w:val="bottom"/>
          </w:tcPr>
          <w:p>
            <w:pPr>
              <w:ind w:left="40"/>
              <w:spacing w:after="0" w:line="133" w:lineRule="exact"/>
              <w:rPr>
                <w:sz w:val="20"/>
                <w:szCs w:val="20"/>
                <w:color w:val="auto"/>
              </w:rPr>
            </w:pPr>
            <w:r>
              <w:rPr>
                <w:rFonts w:ascii="Times New Roman" w:cs="Times New Roman" w:eastAsia="Times New Roman" w:hAnsi="Times New Roman"/>
                <w:sz w:val="14"/>
                <w:szCs w:val="14"/>
                <w:color w:val="auto"/>
              </w:rPr>
              <w:t>Earnings from continuing</w:t>
            </w: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operations, before equity in earnings</w:t>
            </w:r>
          </w:p>
        </w:tc>
        <w:tc>
          <w:tcPr>
            <w:tcW w:w="140" w:type="dxa"/>
            <w:vAlign w:val="bottom"/>
          </w:tcPr>
          <w:p>
            <w:pPr>
              <w:spacing w:after="0"/>
              <w:rPr>
                <w:sz w:val="12"/>
                <w:szCs w:val="12"/>
                <w:color w:val="auto"/>
              </w:rPr>
            </w:pPr>
          </w:p>
        </w:tc>
        <w:tc>
          <w:tcPr>
            <w:tcW w:w="80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352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277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274</w:t>
            </w:r>
          </w:p>
        </w:tc>
        <w:tc>
          <w:tcPr>
            <w:tcW w:w="0" w:type="dxa"/>
            <w:vAlign w:val="bottom"/>
          </w:tcPr>
          <w:p>
            <w:pPr>
              <w:spacing w:after="0"/>
              <w:rPr>
                <w:sz w:val="1"/>
                <w:szCs w:val="1"/>
                <w:color w:val="auto"/>
              </w:rPr>
            </w:pPr>
          </w:p>
        </w:tc>
      </w:tr>
      <w:tr>
        <w:trPr>
          <w:trHeight w:val="193"/>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(loss) of unconsolidated affiliates</w:t>
            </w: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8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Equity in earnings (loss) of</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10</w:t>
            </w:r>
          </w:p>
        </w:tc>
        <w:tc>
          <w:tcPr>
            <w:tcW w:w="0" w:type="dxa"/>
            <w:vAlign w:val="bottom"/>
          </w:tcPr>
          <w:p>
            <w:pPr>
              <w:spacing w:after="0"/>
              <w:rPr>
                <w:sz w:val="1"/>
                <w:szCs w:val="1"/>
                <w:color w:val="auto"/>
              </w:rPr>
            </w:pPr>
          </w:p>
        </w:tc>
      </w:tr>
      <w:tr>
        <w:trPr>
          <w:trHeight w:val="193"/>
        </w:trPr>
        <w:tc>
          <w:tcPr>
            <w:tcW w:w="2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Earnings from continuing operations $</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281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284</w:t>
            </w:r>
          </w:p>
        </w:tc>
        <w:tc>
          <w:tcPr>
            <w:tcW w:w="0" w:type="dxa"/>
            <w:vAlign w:val="bottom"/>
          </w:tcPr>
          <w:p>
            <w:pPr>
              <w:spacing w:after="0"/>
              <w:rPr>
                <w:sz w:val="1"/>
                <w:szCs w:val="1"/>
                <w:color w:val="auto"/>
              </w:rPr>
            </w:pPr>
          </w:p>
        </w:tc>
      </w:tr>
      <w:tr>
        <w:trPr>
          <w:trHeight w:val="224"/>
        </w:trPr>
        <w:tc>
          <w:tcPr>
            <w:tcW w:w="21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Assets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6,540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6,864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998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7,862</w:t>
            </w:r>
          </w:p>
        </w:tc>
        <w:tc>
          <w:tcPr>
            <w:tcW w:w="0" w:type="dxa"/>
            <w:vAlign w:val="bottom"/>
          </w:tcPr>
          <w:p>
            <w:pPr>
              <w:spacing w:after="0"/>
              <w:rPr>
                <w:sz w:val="1"/>
                <w:szCs w:val="1"/>
                <w:color w:val="auto"/>
              </w:rPr>
            </w:pPr>
          </w:p>
        </w:tc>
      </w:tr>
      <w:tr>
        <w:trPr>
          <w:trHeight w:val="260"/>
        </w:trPr>
        <w:tc>
          <w:tcPr>
            <w:tcW w:w="21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22"/>
                <w:szCs w:val="22"/>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1,418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1,421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1,453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activities of the reportable segments include the following:</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FNF Core Operations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Fidelity National Title Group</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segment consists of the operations of our title insurance underwriters and related businesses. This segment provides core title insurance and escrow and other title related services including collection and trust activities, trustee’s sales guarantees, recordings and reconveyances, and home warranty insurance.</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FNF Corporate and Other</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FNF Corporate and Other segment consists of the operations of the parent holding company, certain other unallocated corporate overhead expenses, other smaller real estate and insurance related operations.</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Portfolio Company Investments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Remy</w:t>
      </w:r>
    </w:p>
    <w:p>
      <w:pPr>
        <w:spacing w:after="0" w:line="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segment consists of the operations of Remy, in which we have a 51% ownership interest. Remy is a leading designer, manufacturer, remanufacturer, marketer and distributor of aftermarket and original equipment electrical components for automobiles, light trucks, heavy-duty trucks and other vehicles.</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Restaurant Group</w:t>
      </w:r>
    </w:p>
    <w:p>
      <w:pPr>
        <w:spacing w:after="0" w:line="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includes the Stoney River Legendary Steaks concept.</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Portfolio Company Corporate and Other</w:t>
      </w:r>
    </w:p>
    <w:p>
      <w:pPr>
        <w:spacing w:after="0" w:line="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Portfolio Company Corporate and Other segment primarily consists of our share in the operations of certain equity investments, including Ceridian, Digital Insurance and other smaller operations which are not title related.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117" w:right="239" w:bottom="1440" w:gutter="0" w:footer="0" w:header="0"/>
        </w:sectPr>
      </w:pPr>
    </w:p>
    <w:bookmarkStart w:id="103" w:name="page104"/>
    <w:bookmarkEnd w:id="103"/>
    <w:p>
      <w:pPr>
        <w:ind w:left="3120"/>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S.</w:t>
      </w:r>
      <w:r>
        <w:rPr>
          <w:sz w:val="20"/>
          <w:szCs w:val="20"/>
          <w:color w:val="auto"/>
        </w:rPr>
        <w:tab/>
      </w:r>
      <w:r>
        <w:rPr>
          <w:rFonts w:ascii="Times New Roman" w:cs="Times New Roman" w:eastAsia="Times New Roman" w:hAnsi="Times New Roman"/>
          <w:sz w:val="18"/>
          <w:szCs w:val="18"/>
          <w:b w:val="1"/>
          <w:bCs w:val="1"/>
          <w:color w:val="auto"/>
        </w:rPr>
        <w:t>Recent Accounting Pronouncements</w:t>
      </w:r>
    </w:p>
    <w:p>
      <w:pPr>
        <w:spacing w:after="0" w:line="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2013, the FASB issued ASU No. 2013-11, </w:t>
      </w:r>
      <w:r>
        <w:rPr>
          <w:rFonts w:ascii="Times New Roman" w:cs="Times New Roman" w:eastAsia="Times New Roman" w:hAnsi="Times New Roman"/>
          <w:sz w:val="18"/>
          <w:szCs w:val="18"/>
          <w:i w:val="1"/>
          <w:iCs w:val="1"/>
          <w:color w:val="auto"/>
        </w:rPr>
        <w:t>Presentation of an Unrecognized Tax Benefit When a Net Operating Loss Carryforward, a Similar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 or a Tax Credit Carryforward Exists </w:t>
      </w:r>
      <w:r>
        <w:rPr>
          <w:rFonts w:ascii="Times New Roman" w:cs="Times New Roman" w:eastAsia="Times New Roman" w:hAnsi="Times New Roman"/>
          <w:sz w:val="18"/>
          <w:szCs w:val="18"/>
          <w:color w:val="auto"/>
        </w:rPr>
        <w:t>to provide guidance on the presentation of unrecognized tax benefits. ASU 2013-11 requires an entity to present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unrecognized tax benefit, or a portion of an unrecognized tax benefit, as a reduction to a deferred tax asset for a net operating loss carryforward, a similar tax loss, or a tax credit carryforward with certain limited exceptions. ASU 2013-11 is effective for annual reporting periods beginning on or after December 15, 2013 and interim periods within those annual periods with earlier adoption permitted. This guidance is effective January 1, 2014. ASU 2013-11 should be applied prospectively with retroactive application permitted. We will adopt this guidance in the first quarter of 2014 and are currently evaluating the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117" w:right="2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3" w:lineRule="exact"/>
        <w:rPr>
          <w:sz w:val="20"/>
          <w:szCs w:val="20"/>
          <w:color w:val="auto"/>
        </w:rPr>
      </w:pPr>
    </w:p>
    <w:p>
      <w:pPr>
        <w:ind w:firstLine="8"/>
        <w:spacing w:after="0" w:line="261" w:lineRule="auto"/>
        <w:tabs>
          <w:tab w:leader="none" w:pos="2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and communicated to management, including our principal executive and principal financial officers, as appropriate to allow timely decisions regarding required disclosure.</w:t>
      </w:r>
    </w:p>
    <w:p>
      <w:pPr>
        <w:spacing w:after="0" w:line="4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December 31, 2013 that have materially affected, or are reasonably likely to materially affect, our internal control over financial reporting.</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issued by the Committee of Sponsoring Organizations of the Treadway Commission 1992 framework (COSO). 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evaluation under this framework, our management concluded that our internal control over financial reporting was effective as of December 31, 2013. The effectiveness of our internal control over financial reporting as of December 31, 2013 has been audited by KPMG LLP, an independent registered public accounting firm, as stated in their report which is included herein.</w:t>
      </w:r>
    </w:p>
    <w:p>
      <w:pPr>
        <w:spacing w:after="0" w:line="200" w:lineRule="exact"/>
        <w:rPr>
          <w:sz w:val="20"/>
          <w:szCs w:val="20"/>
          <w:color w:val="auto"/>
        </w:rPr>
      </w:pPr>
    </w:p>
    <w:p>
      <w:pPr>
        <w:spacing w:after="0" w:line="22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Within 120 days after the close of our fiscal year, we intend to file with the Securities and Exchange Commission the matters required by these items.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i w:val="1"/>
          <w:iCs w:val="1"/>
          <w:color w:val="auto"/>
        </w:rPr>
        <w:t>Exhibits, Financial Statement Schedules and Reports on Form 8-K</w:t>
      </w:r>
    </w:p>
    <w:p>
      <w:pPr>
        <w:spacing w:after="0" w:line="92" w:lineRule="exact"/>
        <w:rPr>
          <w:sz w:val="20"/>
          <w:szCs w:val="20"/>
          <w:color w:val="auto"/>
        </w:rPr>
      </w:pPr>
    </w:p>
    <w:p>
      <w:pPr>
        <w:ind w:firstLine="332"/>
        <w:spacing w:after="0" w:line="284" w:lineRule="auto"/>
        <w:tabs>
          <w:tab w:leader="none" w:pos="58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following is a list of the Consolidated Financial Statements of Fidelity National Financial, Inc. and its subsidiaries included in Item 8 of Part II:</w:t>
      </w: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860" w:type="dxa"/>
            <w:vAlign w:val="bottom"/>
            <w:gridSpan w:val="9"/>
          </w:tcPr>
          <w:p>
            <w:pPr>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Report of Independent Registered Public Accounting Firm on Effectiveness of Internal Control over Financial Reporting</w:t>
              </w:r>
            </w:hyperlink>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53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680" w:type="dxa"/>
            <w:vAlign w:val="bottom"/>
            <w:gridSpan w:val="8"/>
          </w:tcPr>
          <w:p>
            <w:pPr>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Report of Independent Registered Public Accounting Firm on Financial Statements</w:t>
              </w:r>
            </w:hyperlink>
          </w:p>
        </w:tc>
        <w:tc>
          <w:tcPr>
            <w:tcW w:w="2180" w:type="dxa"/>
            <w:vAlign w:val="bottom"/>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5">
              <w:r>
                <w:rPr>
                  <w:rFonts w:ascii="Times New Roman" w:cs="Times New Roman" w:eastAsia="Times New Roman" w:hAnsi="Times New Roman"/>
                  <w:sz w:val="18"/>
                  <w:szCs w:val="18"/>
                  <w:color w:val="0000EE"/>
                </w:rPr>
                <w:t>54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80" w:type="dxa"/>
            <w:vAlign w:val="bottom"/>
            <w:gridSpan w:val="3"/>
          </w:tcPr>
          <w:p>
            <w:pPr>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Consolidated Balance Sheets as of December 31, 2013 and 2012</w:t>
              </w:r>
            </w:hyperlink>
          </w:p>
        </w:tc>
        <w:tc>
          <w:tcPr>
            <w:tcW w:w="4880" w:type="dxa"/>
            <w:vAlign w:val="bottom"/>
            <w:gridSpan w:val="6"/>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gridSpan w:val="5"/>
          </w:tcPr>
          <w:p>
            <w:pPr>
              <w:spacing w:after="0"/>
              <w:rPr>
                <w:rFonts w:ascii="Times New Roman" w:cs="Times New Roman" w:eastAsia="Times New Roman" w:hAnsi="Times New Roman"/>
                <w:sz w:val="18"/>
                <w:szCs w:val="18"/>
                <w:color w:val="0000EE"/>
                <w:w w:val="99"/>
              </w:rPr>
            </w:pPr>
            <w:hyperlink w:anchor="page57">
              <w:r>
                <w:rPr>
                  <w:rFonts w:ascii="Times New Roman" w:cs="Times New Roman" w:eastAsia="Times New Roman" w:hAnsi="Times New Roman"/>
                  <w:sz w:val="18"/>
                  <w:szCs w:val="18"/>
                  <w:color w:val="0000EE"/>
                  <w:w w:val="99"/>
                </w:rPr>
                <w:t>Consolidated Statements of Earnings for the years ended December 31, 2013, 2012 and 2011</w:t>
              </w:r>
            </w:hyperlink>
          </w:p>
        </w:tc>
        <w:tc>
          <w:tcPr>
            <w:tcW w:w="4160" w:type="dxa"/>
            <w:vAlign w:val="bottom"/>
            <w:gridSpan w:val="4"/>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0860" w:type="dxa"/>
            <w:vAlign w:val="bottom"/>
            <w:gridSpan w:val="9"/>
          </w:tcPr>
          <w:p>
            <w:pPr>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Consolidated Statements of Comprehensive Earnings for the years ended December 31, 2013, 2012 and 2011</w:t>
              </w:r>
            </w:hyperlink>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8">
              <w:r>
                <w:rPr>
                  <w:rFonts w:ascii="Times New Roman" w:cs="Times New Roman" w:eastAsia="Times New Roman" w:hAnsi="Times New Roman"/>
                  <w:sz w:val="18"/>
                  <w:szCs w:val="18"/>
                  <w:color w:val="0000EE"/>
                </w:rPr>
                <w:t>57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540" w:type="dxa"/>
            <w:vAlign w:val="bottom"/>
            <w:gridSpan w:val="4"/>
          </w:tcPr>
          <w:p>
            <w:pPr>
              <w:spacing w:after="0"/>
              <w:rPr>
                <w:rFonts w:ascii="Times New Roman" w:cs="Times New Roman" w:eastAsia="Times New Roman" w:hAnsi="Times New Roman"/>
                <w:sz w:val="18"/>
                <w:szCs w:val="18"/>
                <w:color w:val="0000EE"/>
                <w:w w:val="99"/>
              </w:rPr>
            </w:pPr>
            <w:hyperlink w:anchor="page59">
              <w:r>
                <w:rPr>
                  <w:rFonts w:ascii="Times New Roman" w:cs="Times New Roman" w:eastAsia="Times New Roman" w:hAnsi="Times New Roman"/>
                  <w:sz w:val="18"/>
                  <w:szCs w:val="18"/>
                  <w:color w:val="0000EE"/>
                  <w:w w:val="99"/>
                </w:rPr>
                <w:t>Consolidated Statements of Equity for the years ended December 31, 2013, 2012 and 2011</w:t>
              </w:r>
            </w:hyperlink>
          </w:p>
        </w:tc>
        <w:tc>
          <w:tcPr>
            <w:tcW w:w="1320" w:type="dxa"/>
            <w:vAlign w:val="bottom"/>
            <w:gridSpan w:val="3"/>
          </w:tcPr>
          <w:p>
            <w:pPr>
              <w:spacing w:after="0"/>
              <w:rPr>
                <w:sz w:val="21"/>
                <w:szCs w:val="21"/>
                <w:color w:val="auto"/>
              </w:rPr>
            </w:pPr>
          </w:p>
        </w:tc>
        <w:tc>
          <w:tcPr>
            <w:tcW w:w="3000" w:type="dxa"/>
            <w:vAlign w:val="bottom"/>
            <w:gridSpan w:val="2"/>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59">
              <w:r>
                <w:rPr>
                  <w:rFonts w:ascii="Times New Roman" w:cs="Times New Roman" w:eastAsia="Times New Roman" w:hAnsi="Times New Roman"/>
                  <w:sz w:val="18"/>
                  <w:szCs w:val="18"/>
                  <w:color w:val="0000EE"/>
                </w:rPr>
                <w:t>58</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6"/>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Consolidated Statements of Cash Flows for the years ended December 31, 2013, 2012 and 2011</w:t>
              </w:r>
            </w:hyperlink>
          </w:p>
        </w:tc>
        <w:tc>
          <w:tcPr>
            <w:tcW w:w="3960" w:type="dxa"/>
            <w:vAlign w:val="bottom"/>
            <w:gridSpan w:val="3"/>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6"/>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Notes to Consolidated Financial Statements</w:t>
              </w:r>
            </w:hyperlink>
          </w:p>
        </w:tc>
        <w:tc>
          <w:tcPr>
            <w:tcW w:w="3960" w:type="dxa"/>
            <w:vAlign w:val="bottom"/>
            <w:gridSpan w:val="3"/>
          </w:tcPr>
          <w:p>
            <w:pPr>
              <w:spacing w:after="0"/>
              <w:rPr>
                <w:sz w:val="21"/>
                <w:szCs w:val="21"/>
                <w:color w:val="auto"/>
              </w:rPr>
            </w:pPr>
          </w:p>
        </w:tc>
        <w:tc>
          <w:tcPr>
            <w:tcW w:w="500" w:type="dxa"/>
            <w:vAlign w:val="bottom"/>
            <w:gridSpan w:val="3"/>
          </w:tcPr>
          <w:p>
            <w:pPr>
              <w:jc w:val="right"/>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72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0860" w:type="dxa"/>
            <w:vAlign w:val="bottom"/>
            <w:gridSpan w:val="9"/>
          </w:tcPr>
          <w:p>
            <w:pPr>
              <w:ind w:left="300"/>
              <w:spacing w:after="0"/>
              <w:rPr>
                <w:sz w:val="20"/>
                <w:szCs w:val="20"/>
                <w:color w:val="auto"/>
              </w:rPr>
            </w:pPr>
            <w:r>
              <w:rPr>
                <w:rFonts w:ascii="Times New Roman" w:cs="Times New Roman" w:eastAsia="Times New Roman" w:hAnsi="Times New Roman"/>
                <w:sz w:val="18"/>
                <w:szCs w:val="18"/>
                <w:color w:val="auto"/>
              </w:rPr>
              <w:t xml:space="preserve">(a) (2) </w:t>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xml:space="preserve">  The following is a list of financial statement schedules filed as part of this annual report on Form 10-K: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08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 xml:space="preserve">Schedule II: </w:t>
            </w:r>
            <w:r>
              <w:rPr>
                <w:rFonts w:ascii="Times New Roman" w:cs="Times New Roman" w:eastAsia="Times New Roman" w:hAnsi="Times New Roman"/>
                <w:sz w:val="18"/>
                <w:szCs w:val="18"/>
                <w:color w:val="auto"/>
              </w:rPr>
              <w:t>Fidelity National Financial, Inc. (Parent Company Financial Statements)</w:t>
            </w:r>
          </w:p>
        </w:tc>
        <w:tc>
          <w:tcPr>
            <w:tcW w:w="220" w:type="dxa"/>
            <w:vAlign w:val="bottom"/>
          </w:tcPr>
          <w:p>
            <w:pPr>
              <w:spacing w:after="0"/>
              <w:rPr>
                <w:sz w:val="24"/>
                <w:szCs w:val="24"/>
                <w:color w:val="auto"/>
              </w:rPr>
            </w:pPr>
          </w:p>
        </w:tc>
        <w:tc>
          <w:tcPr>
            <w:tcW w:w="2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96"/>
              </w:rPr>
            </w:pPr>
            <w:hyperlink w:anchor="page111">
              <w:r>
                <w:rPr>
                  <w:rFonts w:ascii="Times New Roman" w:cs="Times New Roman" w:eastAsia="Times New Roman" w:hAnsi="Times New Roman"/>
                  <w:sz w:val="18"/>
                  <w:szCs w:val="18"/>
                  <w:color w:val="0000EE"/>
                  <w:w w:val="96"/>
                </w:rPr>
                <w:t>108</w:t>
              </w:r>
            </w:hyperlink>
          </w:p>
        </w:tc>
      </w:tr>
      <w:tr>
        <w:trPr>
          <w:trHeight w:val="250"/>
        </w:trPr>
        <w:tc>
          <w:tcPr>
            <w:tcW w:w="10860" w:type="dxa"/>
            <w:vAlign w:val="bottom"/>
            <w:gridSpan w:val="9"/>
          </w:tcPr>
          <w:p>
            <w:pPr>
              <w:spacing w:after="0"/>
              <w:rPr>
                <w:sz w:val="20"/>
                <w:szCs w:val="20"/>
                <w:color w:val="auto"/>
              </w:rPr>
            </w:pPr>
            <w:r>
              <w:rPr>
                <w:rFonts w:ascii="Times New Roman" w:cs="Times New Roman" w:eastAsia="Times New Roman" w:hAnsi="Times New Roman"/>
                <w:sz w:val="18"/>
                <w:szCs w:val="18"/>
                <w:i w:val="1"/>
                <w:iCs w:val="1"/>
                <w:color w:val="auto"/>
              </w:rPr>
              <w:t xml:space="preserve">Schedule V: </w:t>
            </w:r>
            <w:r>
              <w:rPr>
                <w:rFonts w:ascii="Times New Roman" w:cs="Times New Roman" w:eastAsia="Times New Roman" w:hAnsi="Times New Roman"/>
                <w:sz w:val="18"/>
                <w:szCs w:val="18"/>
                <w:color w:val="auto"/>
              </w:rPr>
              <w:t>Valuation and Qualifying Accounts</w:t>
            </w:r>
          </w:p>
        </w:tc>
        <w:tc>
          <w:tcPr>
            <w:tcW w:w="220" w:type="dxa"/>
            <w:vAlign w:val="bottom"/>
          </w:tcPr>
          <w:p>
            <w:pPr>
              <w:spacing w:after="0"/>
              <w:rPr>
                <w:sz w:val="21"/>
                <w:szCs w:val="21"/>
                <w:color w:val="auto"/>
              </w:rPr>
            </w:pPr>
          </w:p>
        </w:tc>
        <w:tc>
          <w:tcPr>
            <w:tcW w:w="2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96"/>
              </w:rPr>
            </w:pPr>
            <w:hyperlink w:anchor="page115">
              <w:r>
                <w:rPr>
                  <w:rFonts w:ascii="Times New Roman" w:cs="Times New Roman" w:eastAsia="Times New Roman" w:hAnsi="Times New Roman"/>
                  <w:sz w:val="18"/>
                  <w:szCs w:val="18"/>
                  <w:color w:val="0000EE"/>
                  <w:w w:val="96"/>
                </w:rPr>
                <w:t>112</w:t>
              </w:r>
            </w:hyperlink>
          </w:p>
        </w:tc>
      </w:tr>
    </w:tbl>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they are not applicable or not required, or because the required information is included in the Consolidated Financial Statements or notes thereto.</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00"/>
          </w:cols>
          <w:pgMar w:left="240" w:top="121" w:right="25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(3) The following exhibits are incorporated by reference or are set forth on pages to this Form 10-K:</w:t>
      </w:r>
    </w:p>
    <w:p>
      <w:pPr>
        <w:spacing w:after="0" w:line="260"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13"/>
                <w:szCs w:val="13"/>
                <w:color w:val="auto"/>
              </w:rPr>
            </w:pPr>
          </w:p>
        </w:tc>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2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September 18, 2006 (incorporated by reference to Annex A to the Registrant’s Schedule 14C filed on September 19, 2006 (the “Information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Statement”))</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as of May 28, 2013, among Fidelity National Financial, Inc., Lion Merger Sub, Inc. and Lender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Processing Services, Inc. (incorporated by reference to Exhibit 2.1 to Fidelity National Financial, Inc.’s Current Report on Form 8-K,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May 28, 2013)</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the Registrant (incorporated by reference to Exhibit 3.1 to the Registrant's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Registration Statement on Form S-3 filed June 3, 2011)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Bylaws of the Registrant, as adopted on September 26, 2005 (incorporated by reference to Exhibit 3.2 to the Registrant’s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Quarterly Report on Form 10-Q for the quarter ended September 30, 2013)</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Indenture between the Registrant and The Bank of New York Trust Company, N.A., dated December 8, 2005, relating to the 5.25% notes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referred to below (incorporated by reference to Exhibit 4.1 to the Registrant’s Annual Report on Form 10-K for the year ended December 31,</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2005)</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May 5, 2010, relating to the 6.60% notes referred to below (incorporated by reference to Exhibit 4.1 to the Registrant's Current Report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8-K filed on May 5, 2010)</w:t>
            </w:r>
          </w:p>
        </w:tc>
        <w:tc>
          <w:tcPr>
            <w:tcW w:w="0" w:type="dxa"/>
            <w:vAlign w:val="bottom"/>
          </w:tcPr>
          <w:p>
            <w:pPr>
              <w:spacing w:after="0"/>
              <w:rPr>
                <w:sz w:val="1"/>
                <w:szCs w:val="1"/>
                <w:color w:val="auto"/>
              </w:rPr>
            </w:pPr>
          </w:p>
        </w:tc>
      </w:tr>
      <w:tr>
        <w:trPr>
          <w:trHeight w:val="468"/>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468"/>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4.25% Convertible Note due August 2018 (incorporated by reference to Exhibit 4.5 to the Registrant's Current Report on Form 8-K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filed on August 2, 2011)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the Registrant’s Common Stock Certificate (incorporated by reference to Exhibit 4.5 to the Registrant’s Annual Report on Form 10-K</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the year ended December 31, 2006 (the “2006 Annual Report”)</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and Restatement Agreement dated as of April 16, 2012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certain agents and other lenders party thereto, dated as of September 12, 2006 (incorporated by reference to Exhibit 10.1 to the Registrant’s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Current Report on Form 8-K filed on April 19, 2012)</w:t>
            </w:r>
          </w:p>
        </w:tc>
        <w:tc>
          <w:tcPr>
            <w:tcW w:w="0" w:type="dxa"/>
            <w:vAlign w:val="bottom"/>
          </w:tcPr>
          <w:p>
            <w:pPr>
              <w:spacing w:after="0"/>
              <w:rPr>
                <w:sz w:val="1"/>
                <w:szCs w:val="1"/>
                <w:color w:val="auto"/>
              </w:rPr>
            </w:pPr>
          </w:p>
        </w:tc>
      </w:tr>
      <w:tr>
        <w:trPr>
          <w:trHeight w:val="468"/>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and Restatement Agreement dated as of March 5, 2010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certain agents and other lenders party thereto (incorporated by reference to Exhibit 10.1 to the Registrant’s Current Report on Form 8-K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March 10, 2010)</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to Appendix A to the Registrant’s Schedule 14A filed on April 12, 2013)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Bridge Loan Commitment Letter (incorporated by reference to Exhibit 10.1 to the Registrant’s Current Report on Form 8-K filed on October 24,</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Revolving Credit Facility (incorporated by reference to Exhibit 10.2 to the Registrant’s Current Report on Form 8-K filed on October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24, 2014)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Amended Term Loan Agreement (incorporated by reference to Exhibit 10.3 to the Registrant’s Current Report on Form 8-K filed on October 24,</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National Financial, Inc., the lenders party thereto, Bank of America, N.A., as administrative agent, and the other agents party thereto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(incorporated by reference to Registrant’s Current Report on Form 8-K filed on July 12, 2013)</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July 12, 2013)</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Fidelity National Title Group, Inc. Employee Stock Purchase Plan, effective as of September 26, 2005 (incorporated by reference to Exhibit 10.2</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 the Registrant’s Quarterly Report on Form 10-Q for the quarter ended September 30, 2013) (1)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ectPr>
          <w:pgSz w:w="11900" w:h="16838" w:orient="portrait"/>
          <w:cols w:equalWidth="0" w:num="1">
            <w:col w:w="11400"/>
          </w:cols>
          <w:pgMar w:left="240" w:top="121" w:right="259" w:bottom="1440" w:gutter="0" w:footer="0" w:header="0"/>
          <w:type w:val="continuous"/>
        </w:sectPr>
      </w:pPr>
    </w:p>
    <w:bookmarkStart w:id="107" w:name="page108"/>
    <w:bookmarkEnd w:id="10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13"/>
                <w:szCs w:val="13"/>
                <w:color w:val="auto"/>
              </w:rPr>
            </w:pPr>
          </w:p>
        </w:tc>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(incorporated by reference to Exhibit 10.5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2013 Awards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Award Agreement under Amended and Restated Fidelity National Financial, Inc. 2005 Omnibus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November 2013 Awards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October 2012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October 2011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2011)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2010 awards (incorporated by reference to Exhibit 10.7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2010)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2009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FIS’s Form 8-K, filed on October 27, 2006)</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July 1, 2012 to Amended and Restated Employment Agreement between the Registrant and Brent B. Bickett, effective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July 2, 2008. (incorporated by reference to Exhibit 10.7 to Registrant’s Current Report on Form 8-K filed on July 3,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BKFS 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Foley, II, effective as of July 2, 2008 (incorporated by reference to Exhibit 10.8 to Registrant’s Current Report on Form 8-K filed on January 15,</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BKFS II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Foley, II, effective as of July 2, 2008 (incorporated by reference to Exhibit 10.9 to Registrant’s Current Report on Form 8-K filed on January 15,</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the Registrant and William P. Foley, II,</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July 2, 2008 (incorporated by reference to Registrant’s Current Report on Form 8-K filed on January 15, 2014)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Amended and Restated Employment Agreement between the Registrant and William P. Foley, II, effective as of July 2, 2008(1)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to Exhibit 10.14 to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400"/>
          </w:cols>
          <w:pgMar w:left="240" w:top="121" w:right="25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tcPr>
          <w:p>
            <w:pPr>
              <w:spacing w:after="0"/>
              <w:rPr>
                <w:sz w:val="13"/>
                <w:szCs w:val="13"/>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2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 2011)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quarter ended March 31, 2013)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quarter ended March 31, 2013)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1350</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1350</w:t>
            </w: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15(c) of Form 10-K</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w:t>
      </w:r>
    </w:p>
    <w:p>
      <w:pPr>
        <w:sectPr>
          <w:pgSz w:w="11900" w:h="16838" w:orient="portrait"/>
          <w:cols w:equalWidth="0" w:num="1">
            <w:col w:w="11400"/>
          </w:cols>
          <w:pgMar w:left="240" w:top="121" w:right="25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61" w:lineRule="exact"/>
        <w:rPr>
          <w:sz w:val="20"/>
          <w:szCs w:val="20"/>
          <w:color w:val="auto"/>
        </w:rPr>
      </w:pPr>
    </w:p>
    <w:p>
      <w:pPr>
        <w:ind w:left="6320"/>
        <w:spacing w:after="0"/>
        <w:tabs>
          <w:tab w:leader="none" w:pos="7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35560</wp:posOffset>
            </wp:positionV>
            <wp:extent cx="23755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9"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66" w:lineRule="exact"/>
        <w:rPr>
          <w:sz w:val="20"/>
          <w:szCs w:val="20"/>
          <w:color w:val="auto"/>
        </w:rPr>
      </w:pPr>
    </w:p>
    <w:p>
      <w:pPr>
        <w:ind w:left="40" w:right="68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460" w:type="dxa"/>
            <w:vAlign w:val="bottom"/>
          </w:tcPr>
          <w:p>
            <w:pPr>
              <w:spacing w:after="0"/>
              <w:rPr>
                <w:sz w:val="13"/>
                <w:szCs w:val="13"/>
                <w:color w:val="auto"/>
              </w:rPr>
            </w:pP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Raymond R. Quirk</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Raymond R. Quirk</w:t>
            </w:r>
          </w:p>
        </w:tc>
        <w:tc>
          <w:tcPr>
            <w:tcW w:w="518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Anthony J. Park</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Anthony J. Park</w:t>
            </w:r>
          </w:p>
        </w:tc>
        <w:tc>
          <w:tcPr>
            <w:tcW w:w="5180" w:type="dxa"/>
            <w:vAlign w:val="bottom"/>
            <w:gridSpan w:val="3"/>
          </w:tcPr>
          <w:p>
            <w:pPr>
              <w:jc w:val="center"/>
              <w:ind w:left="231"/>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William P. Foley, II</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 and Executive Chairman of the Board</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Douglas K. Ammerman</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Willie D. Davis</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Thomas M. Hagerty</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Daniel D. (Ron) Lane</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Richard N. Massey</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John D. Rood</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Peter O. Shea, Jr.</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Cary H. Thompson</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Frank P. Willey</w:t>
            </w:r>
          </w:p>
        </w:tc>
        <w:tc>
          <w:tcPr>
            <w:tcW w:w="5180" w:type="dxa"/>
            <w:vAlign w:val="bottom"/>
            <w:gridSpan w:val="3"/>
          </w:tcPr>
          <w:p>
            <w:pPr>
              <w:jc w:val="center"/>
              <w:ind w:left="251"/>
              <w:spacing w:after="0"/>
              <w:rPr>
                <w:sz w:val="20"/>
                <w:szCs w:val="20"/>
                <w:color w:val="auto"/>
              </w:rPr>
            </w:pPr>
            <w:r>
              <w:rPr>
                <w:rFonts w:ascii="Times New Roman" w:cs="Times New Roman" w:eastAsia="Times New Roman" w:hAnsi="Times New Roman"/>
                <w:sz w:val="18"/>
                <w:szCs w:val="18"/>
                <w:color w:val="auto"/>
                <w:w w:val="99"/>
              </w:rPr>
              <w:t>Director</w:t>
            </w:r>
          </w:p>
        </w:tc>
        <w:tc>
          <w:tcPr>
            <w:tcW w:w="2060" w:type="dxa"/>
            <w:vAlign w:val="bottom"/>
            <w:gridSpan w:val="3"/>
          </w:tcPr>
          <w:p>
            <w:pPr>
              <w:jc w:val="center"/>
              <w:ind w:left="631"/>
              <w:spacing w:after="0"/>
              <w:rPr>
                <w:sz w:val="20"/>
                <w:szCs w:val="20"/>
                <w:color w:val="auto"/>
              </w:rPr>
            </w:pPr>
            <w:r>
              <w:rPr>
                <w:rFonts w:ascii="Times New Roman" w:cs="Times New Roman" w:eastAsia="Times New Roman" w:hAnsi="Times New Roman"/>
                <w:sz w:val="18"/>
                <w:szCs w:val="18"/>
                <w:color w:val="auto"/>
              </w:rPr>
              <w:t>February 28, 2014</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420"/>
          </w:cols>
          <w:pgMar w:left="240" w:top="121" w:right="239" w:bottom="1440" w:gutter="0" w:footer="0" w:header="0"/>
          <w:type w:val="continuous"/>
        </w:sectPr>
      </w:pPr>
    </w:p>
    <w:bookmarkStart w:id="110" w:name="page111"/>
    <w:bookmarkEnd w:id="1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112"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Under date of February 28, 2014, we reported on the Consolidated Balance Sheets of Fidelity National Financial, Inc. and subsidiaries as of December 31, 2013 and 2012, and the related Consolidated Statements of Earnings, Comprehensive Earnings, Equity and Cash Flows for each of the years in the three-year period ended December 31, 2013, as contained in the Annual Report on Form 10-K for the year 2013.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3"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10"/>
        </w:trPr>
        <w:tc>
          <w:tcPr>
            <w:tcW w:w="8660" w:type="dxa"/>
            <w:vAlign w:val="bottom"/>
          </w:tcPr>
          <w:p>
            <w:pPr>
              <w:jc w:val="center"/>
              <w:ind w:left="2691"/>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8"/>
        </w:trPr>
        <w:tc>
          <w:tcPr>
            <w:tcW w:w="8660" w:type="dxa"/>
            <w:vAlign w:val="bottom"/>
          </w:tcPr>
          <w:p>
            <w:pPr>
              <w:jc w:val="center"/>
              <w:ind w:left="2671"/>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32"/>
        </w:trPr>
        <w:tc>
          <w:tcPr>
            <w:tcW w:w="8660" w:type="dxa"/>
            <w:vAlign w:val="bottom"/>
          </w:tcPr>
          <w:p>
            <w:pPr>
              <w:jc w:val="center"/>
              <w:ind w:left="2671"/>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333"/>
        </w:trPr>
        <w:tc>
          <w:tcPr>
            <w:tcW w:w="8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64"/>
        </w:trPr>
        <w:tc>
          <w:tcPr>
            <w:tcW w:w="86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Pr>
          <w:p>
            <w:pPr>
              <w:spacing w:after="0"/>
              <w:rPr>
                <w:sz w:val="22"/>
                <w:szCs w:val="22"/>
                <w:color w:val="auto"/>
              </w:rPr>
            </w:pPr>
          </w:p>
        </w:tc>
      </w:tr>
      <w:tr>
        <w:trPr>
          <w:trHeight w:val="191"/>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r>
      <w:tr>
        <w:trPr>
          <w:trHeight w:val="208"/>
        </w:trPr>
        <w:tc>
          <w:tcPr>
            <w:tcW w:w="8660" w:type="dxa"/>
            <w:vAlign w:val="bottom"/>
          </w:tcPr>
          <w:p>
            <w:pPr>
              <w:ind w:left="53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5"/>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2"/>
                <w:szCs w:val="22"/>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securities available for sale, at fair value</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receivable</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and amounts due from subsidiaries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5,199</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intangibles, net</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297"/>
        </w:trPr>
        <w:tc>
          <w:tcPr>
            <w:tcW w:w="86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tcPr>
          <w:p>
            <w:pPr>
              <w:spacing w:after="0"/>
              <w:rPr>
                <w:sz w:val="24"/>
                <w:szCs w:val="24"/>
                <w:color w:val="auto"/>
              </w:rPr>
            </w:pPr>
          </w:p>
        </w:tc>
      </w:tr>
      <w:tr>
        <w:trPr>
          <w:trHeight w:val="163"/>
        </w:trPr>
        <w:tc>
          <w:tcPr>
            <w:tcW w:w="8660" w:type="dxa"/>
            <w:vAlign w:val="bottom"/>
            <w:shd w:val="clear" w:color="auto" w:fill="CCEEFF"/>
          </w:tcPr>
          <w:p>
            <w:pPr>
              <w:ind w:left="4700"/>
              <w:spacing w:after="0" w:line="153"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980</w:t>
            </w:r>
          </w:p>
        </w:tc>
        <w:tc>
          <w:tcPr>
            <w:tcW w:w="200" w:type="dxa"/>
            <w:vAlign w:val="bottom"/>
          </w:tcPr>
          <w:p>
            <w:pPr>
              <w:spacing w:after="0"/>
              <w:rPr>
                <w:sz w:val="21"/>
                <w:szCs w:val="2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1,263</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25"/>
        </w:trPr>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Class A, $0.0001 par value; authorized, 600,000,000 shares as of December 31, 2013 and 2012; issued</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r>
      <w:tr>
        <w:trPr>
          <w:trHeight w:val="241"/>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292,289,166 shares and 268,541,117 shares at December 31, 2013 and 2012,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Preferred stock, $0.0001 par value; authorized 50,000,000 shares, issued and outstanding, none</w:t>
            </w: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4,018</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200" w:type="dxa"/>
            <w:vAlign w:val="bottom"/>
          </w:tcPr>
          <w:p>
            <w:pPr>
              <w:spacing w:after="0"/>
              <w:rPr>
                <w:sz w:val="21"/>
                <w:szCs w:val="2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treasury stock, 41,948,518 shares and 39,995,513 shares as of December 31, 2013 and 2012, respectively, at cost</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21"/>
                <w:szCs w:val="2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 of Fidelity National Financial, Inc.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21"/>
                <w:szCs w:val="21"/>
                <w:color w:val="auto"/>
              </w:rPr>
            </w:pPr>
          </w:p>
        </w:tc>
      </w:tr>
      <w:tr>
        <w:trPr>
          <w:trHeight w:val="243"/>
        </w:trPr>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tcPr>
          <w:p>
            <w:pPr>
              <w:spacing w:after="0"/>
              <w:rPr>
                <w:sz w:val="21"/>
                <w:szCs w:val="21"/>
                <w:color w:val="auto"/>
              </w:rPr>
            </w:pPr>
          </w:p>
        </w:tc>
      </w:tr>
      <w:tr>
        <w:trPr>
          <w:trHeight w:val="27"/>
        </w:trPr>
        <w:tc>
          <w:tcPr>
            <w:tcW w:w="8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4,749</w:t>
            </w:r>
          </w:p>
        </w:tc>
        <w:tc>
          <w:tcPr>
            <w:tcW w:w="200" w:type="dxa"/>
            <w:vAlign w:val="bottom"/>
          </w:tcPr>
          <w:p>
            <w:pPr>
              <w:spacing w:after="0"/>
              <w:rPr>
                <w:sz w:val="22"/>
                <w:szCs w:val="22"/>
                <w:color w:val="auto"/>
              </w:rPr>
            </w:pPr>
          </w:p>
        </w:tc>
      </w:tr>
      <w:tr>
        <w:trPr>
          <w:trHeight w:val="257"/>
        </w:trPr>
        <w:tc>
          <w:tcPr>
            <w:tcW w:w="8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tcPr>
          <w:p>
            <w:pPr>
              <w:spacing w:after="0"/>
              <w:rPr>
                <w:sz w:val="22"/>
                <w:szCs w:val="22"/>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Accompanying 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121" w:right="2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10"/>
        </w:trPr>
        <w:tc>
          <w:tcPr>
            <w:tcW w:w="7440" w:type="dxa"/>
            <w:vAlign w:val="bottom"/>
          </w:tcPr>
          <w:p>
            <w:pPr>
              <w:jc w:val="center"/>
              <w:ind w:left="3911"/>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8"/>
        </w:trPr>
        <w:tc>
          <w:tcPr>
            <w:tcW w:w="7440" w:type="dxa"/>
            <w:vAlign w:val="bottom"/>
          </w:tcPr>
          <w:p>
            <w:pPr>
              <w:jc w:val="center"/>
              <w:ind w:left="3891"/>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Times New Roman" w:cs="Times New Roman" w:eastAsia="Times New Roman" w:hAnsi="Times New Roman"/>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3"/>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840" w:type="dxa"/>
            <w:vAlign w:val="bottom"/>
          </w:tcPr>
          <w:p>
            <w:pPr>
              <w:spacing w:after="0"/>
              <w:rPr>
                <w:sz w:val="17"/>
                <w:szCs w:val="17"/>
                <w:color w:val="auto"/>
              </w:rPr>
            </w:pPr>
          </w:p>
        </w:tc>
      </w:tr>
      <w:tr>
        <w:trPr>
          <w:trHeight w:val="275"/>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fees and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earnings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(Losses) earnings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453</w:t>
            </w:r>
          </w:p>
        </w:tc>
      </w:tr>
      <w:tr>
        <w:trPr>
          <w:trHeight w:val="23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Earnings before earnings attributable to noncontrolling interest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basic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51"/>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 diluted basis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r>
      <w:tr>
        <w:trPr>
          <w:trHeight w:val="237"/>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 (deficit),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Dividends declared</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w:t>
            </w:r>
          </w:p>
        </w:tc>
      </w:tr>
      <w:tr>
        <w:trPr>
          <w:trHeight w:val="257"/>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earnings,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373</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Accompanying Report of Independent Registered Public Accounting Firm</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r>
      <w:tr>
        <w:trPr>
          <w:trHeight w:val="410"/>
        </w:trPr>
        <w:tc>
          <w:tcPr>
            <w:tcW w:w="8120" w:type="dxa"/>
            <w:vAlign w:val="bottom"/>
          </w:tcPr>
          <w:p>
            <w:pPr>
              <w:jc w:val="center"/>
              <w:ind w:left="3231"/>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8120" w:type="dxa"/>
            <w:vAlign w:val="bottom"/>
          </w:tcPr>
          <w:p>
            <w:pPr>
              <w:jc w:val="center"/>
              <w:ind w:left="3211"/>
              <w:spacing w:after="0"/>
              <w:rPr>
                <w:sz w:val="20"/>
                <w:szCs w:val="20"/>
                <w:color w:val="auto"/>
              </w:rPr>
            </w:pPr>
            <w:r>
              <w:rPr>
                <w:rFonts w:ascii="Times New Roman" w:cs="Times New Roman" w:eastAsia="Times New Roman" w:hAnsi="Times New Roman"/>
                <w:sz w:val="18"/>
                <w:szCs w:val="18"/>
                <w:b w:val="1"/>
                <w:bCs w:val="1"/>
                <w:color w:val="auto"/>
                <w:w w:val="98"/>
              </w:rPr>
              <w:t>(Parent Company)</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8120" w:type="dxa"/>
            <w:vAlign w:val="bottom"/>
          </w:tcPr>
          <w:p>
            <w:pPr>
              <w:jc w:val="center"/>
              <w:ind w:left="3211"/>
              <w:spacing w:after="0"/>
              <w:rPr>
                <w:sz w:val="20"/>
                <w:szCs w:val="20"/>
                <w:color w:val="auto"/>
              </w:rPr>
            </w:pPr>
            <w:r>
              <w:rPr>
                <w:rFonts w:ascii="Times New Roman" w:cs="Times New Roman" w:eastAsia="Times New Roman" w:hAnsi="Times New Roman"/>
                <w:sz w:val="18"/>
                <w:szCs w:val="18"/>
                <w:b w:val="1"/>
                <w:bCs w:val="1"/>
                <w:color w:val="auto"/>
                <w:w w:val="99"/>
              </w:rPr>
              <w:t>STATEMENTS OF CASH FLOWS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3"/>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2012</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75"/>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earnings of subsidiaries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Losses on sales of investments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benefit associated with the exercise of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(increase) decrease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increase (decrease) in accounts payable and other accrued liabilities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r>
      <w:tr>
        <w:trPr>
          <w:trHeight w:val="259"/>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proceeds (purchases) of investments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 to notes receivable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additions to investments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purchases of property, equipment and other assets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Proceeds from the sale of Sedgwick CMS</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r>
      <w:tr>
        <w:trPr>
          <w:trHeight w:val="237"/>
        </w:trPr>
        <w:tc>
          <w:tcPr>
            <w:tcW w:w="8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offering</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Borrowings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service payments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Make-whole call penalty on early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issuance costs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Dividends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benefit associated with the exercise of 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borrowings and dividends from subsidiaries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at beginning of year</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at end of year</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121" w:right="23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9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2012 presentation to conform to the classifications used in 2013.</w:t>
      </w:r>
    </w:p>
    <w:p>
      <w:pPr>
        <w:spacing w:after="0" w:line="37" w:lineRule="exact"/>
        <w:rPr>
          <w:sz w:val="20"/>
          <w:szCs w:val="20"/>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Notes payable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2012</w:t>
            </w:r>
          </w:p>
        </w:tc>
      </w:tr>
      <w:tr>
        <w:trPr>
          <w:trHeight w:val="250"/>
        </w:trPr>
        <w:tc>
          <w:tcPr>
            <w:tcW w:w="90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21"/>
                <w:szCs w:val="21"/>
                <w:color w:val="auto"/>
              </w:rPr>
            </w:pPr>
          </w:p>
        </w:tc>
      </w:tr>
      <w:tr>
        <w:trPr>
          <w:trHeight w:val="255"/>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5.50%, due September 2022</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398</w:t>
            </w:r>
          </w:p>
        </w:tc>
      </w:tr>
      <w:tr>
        <w:trPr>
          <w:trHeight w:val="243"/>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Unsecured convertible notes, net of discount, interest payable semi-annually at 4.25%, due August 2018</w:t>
            </w:r>
          </w:p>
        </w:tc>
        <w:tc>
          <w:tcPr>
            <w:tcW w:w="740" w:type="dxa"/>
            <w:vAlign w:val="bottom"/>
          </w:tcPr>
          <w:p>
            <w:pPr>
              <w:spacing w:after="0"/>
              <w:rPr>
                <w:sz w:val="21"/>
                <w:szCs w:val="21"/>
                <w:color w:val="auto"/>
              </w:rPr>
            </w:pPr>
          </w:p>
        </w:tc>
        <w:tc>
          <w:tcPr>
            <w:tcW w:w="4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96"/>
              </w:rPr>
              <w:t>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9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Unsecured notes, net of discount, interest payable semi-annually at 6.60%, due May 2017</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300</w:t>
            </w:r>
          </w:p>
        </w:tc>
      </w:tr>
      <w:tr>
        <w:trPr>
          <w:trHeight w:val="225"/>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 unsecured, unused portion of $800 at December 31, 2013, due April 2016 with interest payable</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4"/>
        </w:trPr>
        <w:tc>
          <w:tcPr>
            <w:tcW w:w="9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monthly at LIBOR + 1.45%</w:t>
            </w:r>
          </w:p>
        </w:tc>
        <w:tc>
          <w:tcPr>
            <w:tcW w:w="74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96"/>
              </w:rPr>
              <w:t>983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980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2011</w:t>
            </w:r>
          </w:p>
        </w:tc>
      </w:tr>
      <w:tr>
        <w:trPr>
          <w:trHeight w:val="191"/>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(received)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65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payments (refunds)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242</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109</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w:t>
            </w:r>
          </w:p>
        </w:tc>
      </w:tr>
    </w:tbl>
    <w:p>
      <w:pPr>
        <w:spacing w:after="0" w:line="86"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Dividends Received</w:t>
      </w:r>
    </w:p>
    <w:p>
      <w:pPr>
        <w:spacing w:after="0" w:line="94" w:lineRule="exact"/>
        <w:rPr>
          <w:sz w:val="20"/>
          <w:szCs w:val="20"/>
          <w:color w:val="auto"/>
        </w:rPr>
      </w:pPr>
    </w:p>
    <w:p>
      <w:pPr>
        <w:ind w:right="20" w:firstLine="270"/>
        <w:spacing w:after="0" w:line="282" w:lineRule="auto"/>
        <w:rPr>
          <w:sz w:val="20"/>
          <w:szCs w:val="20"/>
          <w:color w:val="auto"/>
        </w:rPr>
      </w:pPr>
      <w:r>
        <w:rPr>
          <w:rFonts w:ascii="Times New Roman" w:cs="Times New Roman" w:eastAsia="Times New Roman" w:hAnsi="Times New Roman"/>
          <w:sz w:val="18"/>
          <w:szCs w:val="18"/>
          <w:color w:val="auto"/>
        </w:rPr>
        <w:t>We have received cash dividends from subsidiaries and affiliates of $0.1 billion, $0.2 billion, and $0.2 billion during the years ended December 31, 2013, 2012, and 2011,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20"/>
          </w:cols>
          <w:pgMar w:left="240" w:top="121" w:right="23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2013, 2012 and 2011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Column E</w:t>
            </w:r>
          </w:p>
        </w:tc>
      </w:tr>
      <w:tr>
        <w:trPr>
          <w:trHeight w:val="259"/>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6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Charge to</w:t>
            </w: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Balance at</w:t>
            </w:r>
          </w:p>
        </w:tc>
      </w:tr>
      <w:tr>
        <w:trPr>
          <w:trHeight w:val="240"/>
        </w:trPr>
        <w:tc>
          <w:tcPr>
            <w:tcW w:w="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424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160" w:type="dxa"/>
            <w:vAlign w:val="bottom"/>
          </w:tcPr>
          <w:p>
            <w:pPr>
              <w:spacing w:after="0"/>
              <w:rPr>
                <w:sz w:val="20"/>
                <w:szCs w:val="20"/>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Costs and</w:t>
            </w:r>
          </w:p>
        </w:tc>
        <w:tc>
          <w:tcPr>
            <w:tcW w:w="70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20"/>
                <w:szCs w:val="20"/>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Deduction</w:t>
            </w:r>
          </w:p>
        </w:tc>
        <w:tc>
          <w:tcPr>
            <w:tcW w:w="180" w:type="dxa"/>
            <w:vAlign w:val="bottom"/>
          </w:tcPr>
          <w:p>
            <w:pPr>
              <w:spacing w:after="0"/>
              <w:rPr>
                <w:sz w:val="20"/>
                <w:szCs w:val="20"/>
                <w:color w:val="auto"/>
              </w:rPr>
            </w:pPr>
          </w:p>
        </w:tc>
        <w:tc>
          <w:tcPr>
            <w:tcW w:w="9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End of</w:t>
            </w:r>
          </w:p>
        </w:tc>
      </w:tr>
      <w:tr>
        <w:trPr>
          <w:trHeight w:val="286"/>
        </w:trPr>
        <w:tc>
          <w:tcPr>
            <w:tcW w:w="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7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(Described)</w:t>
            </w:r>
          </w:p>
        </w:tc>
        <w:tc>
          <w:tcPr>
            <w:tcW w:w="24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(Described)</w:t>
            </w:r>
          </w:p>
        </w:tc>
        <w:tc>
          <w:tcPr>
            <w:tcW w:w="180" w:type="dxa"/>
            <w:vAlign w:val="bottom"/>
          </w:tcPr>
          <w:p>
            <w:pPr>
              <w:spacing w:after="0"/>
              <w:rPr>
                <w:sz w:val="24"/>
                <w:szCs w:val="24"/>
                <w:color w:val="auto"/>
              </w:rPr>
            </w:pPr>
          </w:p>
        </w:tc>
        <w:tc>
          <w:tcPr>
            <w:tcW w:w="9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5"/>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claim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1,748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70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1,636</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December 31, 2012:</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claim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7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1,748</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2011:</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claim losses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2,270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700" w:type="dxa"/>
            <w:vAlign w:val="bottom"/>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(59) (2)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1,913</w:t>
            </w:r>
          </w:p>
        </w:tc>
      </w:tr>
      <w:tr>
        <w:trPr>
          <w:trHeight w:val="243"/>
        </w:trPr>
        <w:tc>
          <w:tcPr>
            <w:tcW w:w="4800" w:type="dxa"/>
            <w:vAlign w:val="bottom"/>
            <w:gridSpan w:val="3"/>
          </w:tcPr>
          <w:p>
            <w:pPr>
              <w:jc w:val="right"/>
              <w:ind w:right="2280"/>
              <w:spacing w:after="0"/>
              <w:rPr>
                <w:sz w:val="20"/>
                <w:szCs w:val="20"/>
                <w:color w:val="auto"/>
              </w:rPr>
            </w:pPr>
            <w:r>
              <w:rPr>
                <w:rFonts w:ascii="Times New Roman" w:cs="Times New Roman" w:eastAsia="Times New Roman" w:hAnsi="Times New Roman"/>
                <w:sz w:val="18"/>
                <w:szCs w:val="18"/>
                <w:color w:val="auto"/>
                <w:w w:val="99"/>
              </w:rPr>
              <w:t>____________________________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payments of claim losses, net of recoupments.</w:t>
      </w:r>
    </w:p>
    <w:p>
      <w:pPr>
        <w:spacing w:after="0" w:line="9"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decrease to the reserve for claim losses as a result of discontinued operations related to our agreement to sell our at-risk insurance business. See Note A under "Discontinued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5800" w:type="dxa"/>
            <w:vAlign w:val="bottom"/>
            <w:gridSpan w:val="2"/>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02"/>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1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60"/>
        </w:trPr>
        <w:tc>
          <w:tcPr>
            <w:tcW w:w="50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5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960" w:hanging="598"/>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Securities Exchange and Distribution Agreement between Old FNF and the Registrant, dated as of June 25, 2006, as amended and restated as of September 18, 2006 (incorporated by reference to Annex A to the Registrant’s Schedule 14C filed on September 19, 2006 (the “Information Statement”))</w:t>
      </w:r>
    </w:p>
    <w:p>
      <w:pPr>
        <w:spacing w:after="0" w:line="14" w:lineRule="exact"/>
        <w:rPr>
          <w:sz w:val="20"/>
          <w:szCs w:val="20"/>
          <w:color w:val="auto"/>
        </w:rPr>
      </w:pPr>
    </w:p>
    <w:p>
      <w:pPr>
        <w:jc w:val="both"/>
        <w:ind w:left="960" w:hanging="598"/>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Agreement and Plan of Merger, dated as of May 28, 2013, among Fidelity National Financial, Inc., Lion Merger Sub, Inc. and Lender Processing Services, Inc. (incorporated by reference to Exhibit 2.1 to Fidelity National Financial, Inc.’s Current Report on Form 8-K, filed on May 28, 2013)</w:t>
      </w:r>
    </w:p>
    <w:p>
      <w:pPr>
        <w:spacing w:after="0" w:line="14" w:lineRule="exact"/>
        <w:rPr>
          <w:sz w:val="20"/>
          <w:szCs w:val="20"/>
          <w:color w:val="auto"/>
        </w:rPr>
      </w:pPr>
    </w:p>
    <w:p>
      <w:pPr>
        <w:jc w:val="both"/>
        <w:ind w:left="960" w:right="2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Form of Amended and Restated Certificate of Incorporation of the Registrant (incorporated by reference to Exhibit 3.1 to the Registrant's Registration Statement on Form S-3 filed June 3, 2011)</w:t>
      </w:r>
    </w:p>
    <w:p>
      <w:pPr>
        <w:spacing w:after="0" w:line="2" w:lineRule="exact"/>
        <w:rPr>
          <w:sz w:val="20"/>
          <w:szCs w:val="20"/>
          <w:color w:val="auto"/>
        </w:rPr>
      </w:pPr>
    </w:p>
    <w:p>
      <w:pPr>
        <w:jc w:val="both"/>
        <w:ind w:left="960" w:right="2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Amended and Restated Bylaws of the Registrant, as adopted on September 26, 2005 (incorporated by reference to Exhibit 3.2 to the Registrant’s Quarterly Report on Form 10-Q for the quarter ended September 30, 2013)</w:t>
      </w:r>
    </w:p>
    <w:p>
      <w:pPr>
        <w:spacing w:after="0" w:line="2" w:lineRule="exact"/>
        <w:rPr>
          <w:sz w:val="20"/>
          <w:szCs w:val="20"/>
          <w:color w:val="auto"/>
        </w:rPr>
      </w:pPr>
    </w:p>
    <w:p>
      <w:pPr>
        <w:jc w:val="both"/>
        <w:ind w:left="960" w:hanging="598"/>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Supplemental Indenture, dated as of January 2, 2014, among Lender Processing Services, Inc., Fidelity National Financial, Inc., Black Knight Lending Solutions, Inc. and U.S. Bank National Association, as trustee (incorporated by reference to Exhibit 3.2 to the Registrant’s Quarterly Report on Form 10-Q for the quarter ended September 30, 2013)</w:t>
      </w:r>
    </w:p>
    <w:p>
      <w:pPr>
        <w:spacing w:after="0" w:line="14" w:lineRule="exact"/>
        <w:rPr>
          <w:sz w:val="20"/>
          <w:szCs w:val="20"/>
          <w:color w:val="auto"/>
        </w:rPr>
      </w:pPr>
    </w:p>
    <w:p>
      <w:pPr>
        <w:jc w:val="both"/>
        <w:ind w:left="960" w:hanging="598"/>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Indenture between the Registrant and The Bank of New York Trust Company, N.A., dated December 8, 2005, relating to the 5.25% notes referred to below (incorporated by reference to Exhibit 4.1 to the Registrant’s Annual Report on Form 10-K for the year ended December 31, 2005)</w:t>
      </w:r>
    </w:p>
    <w:p>
      <w:pPr>
        <w:spacing w:after="0" w:line="14" w:lineRule="exact"/>
        <w:rPr>
          <w:sz w:val="20"/>
          <w:szCs w:val="20"/>
          <w:color w:val="auto"/>
        </w:rPr>
      </w:pPr>
    </w:p>
    <w:p>
      <w:pPr>
        <w:jc w:val="both"/>
        <w:ind w:left="960" w:right="2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First Supplemental Indenture between the Registrant and the Bank of New York Trust Company, N.A., dated as of January 6, 2006 (incorporated by reference to Exhibit 4.1 to the Registrant’s Current Report on Form 8-K filed on January 24, 2006)</w:t>
      </w:r>
    </w:p>
    <w:p>
      <w:pPr>
        <w:spacing w:after="0" w:line="2" w:lineRule="exact"/>
        <w:rPr>
          <w:sz w:val="20"/>
          <w:szCs w:val="20"/>
          <w:color w:val="auto"/>
        </w:rPr>
      </w:pPr>
    </w:p>
    <w:p>
      <w:pPr>
        <w:jc w:val="both"/>
        <w:ind w:left="960" w:right="20" w:hanging="598"/>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Second Supplemental Indenture, dated May 5, 2010, between the Registrant and The Bank of New York Mellon Trust Company, N.A., dated as of May 5, 2010, relating to the 6.60% notes referred to below (incorporated by reference to Exhibit 4.1 to the Registrant's Current Report on Form 8-K filed on May 5, 2010)</w:t>
      </w:r>
    </w:p>
    <w:p>
      <w:pPr>
        <w:spacing w:after="0" w:line="230" w:lineRule="exact"/>
        <w:rPr>
          <w:sz w:val="20"/>
          <w:szCs w:val="20"/>
          <w:color w:val="auto"/>
        </w:rPr>
      </w:pPr>
    </w:p>
    <w:p>
      <w:pPr>
        <w:jc w:val="both"/>
        <w:ind w:left="96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Form of Subordinated Indenture between the Registrant and the Bank of New York Trust Company, N.A. (incorporated by reference to Exhibit 4.2 (A) to the Registrant’s Registration Statement on Form S-3 filed on November 14, 2007)</w:t>
      </w:r>
    </w:p>
    <w:p>
      <w:pPr>
        <w:spacing w:after="0" w:line="2" w:lineRule="exact"/>
        <w:rPr>
          <w:sz w:val="20"/>
          <w:szCs w:val="20"/>
          <w:color w:val="auto"/>
        </w:rPr>
      </w:pPr>
    </w:p>
    <w:p>
      <w:pPr>
        <w:ind w:left="360"/>
        <w:spacing w:after="0"/>
        <w:tabs>
          <w:tab w:leader="none" w:pos="9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color w:val="auto"/>
        </w:rPr>
        <w:t>Form of 6.60% Note due 2017 (incorporated by reference to Exhibit 4.3 to the Registrant's Current Report on Form 8-K filed on May 5, 2010)</w:t>
      </w:r>
    </w:p>
    <w:p>
      <w:pPr>
        <w:spacing w:after="0" w:line="279" w:lineRule="exact"/>
        <w:rPr>
          <w:sz w:val="20"/>
          <w:szCs w:val="20"/>
          <w:color w:val="auto"/>
        </w:rPr>
      </w:pPr>
    </w:p>
    <w:p>
      <w:pPr>
        <w:jc w:val="both"/>
        <w:ind w:left="960" w:right="2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Form of 4.25% Convertible Note due August 2018 (incorporated by reference to Exhibit 4.5 to the Registrant's Current Report on Form 8-K filed on August 2, 2011)</w:t>
      </w:r>
    </w:p>
    <w:p>
      <w:pPr>
        <w:spacing w:after="0" w:line="2" w:lineRule="exact"/>
        <w:rPr>
          <w:sz w:val="20"/>
          <w:szCs w:val="20"/>
          <w:color w:val="auto"/>
        </w:rPr>
      </w:pPr>
    </w:p>
    <w:p>
      <w:pPr>
        <w:jc w:val="both"/>
        <w:ind w:left="960" w:right="20" w:hanging="598"/>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Form of the Registrant’s Common Stock Certificate (incorporated by reference to Exhibit 4.5 to the Registrant’s Annual Report on Form 10-K for the year ended December 31, 2006 (the “2006 Annual Report”)</w:t>
      </w:r>
    </w:p>
    <w:p>
      <w:pPr>
        <w:spacing w:after="0" w:line="2" w:lineRule="exact"/>
        <w:rPr>
          <w:sz w:val="20"/>
          <w:szCs w:val="20"/>
          <w:color w:val="auto"/>
        </w:rPr>
      </w:pPr>
    </w:p>
    <w:p>
      <w:pPr>
        <w:jc w:val="both"/>
        <w:ind w:left="960" w:right="20" w:hanging="64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Amendment and Restatement Agreement dated as of April 16, 2012 to the Credit Agreement among the Registrant, Bank of America, N.A., and certain agents and other lenders party thereto, dated as of September 12, 2006 (incorporated by reference to Exhibit 10.1 to the Registrant’s Current Report on Form 8-K filed on April 19, 2012)</w:t>
      </w:r>
    </w:p>
    <w:p>
      <w:pPr>
        <w:spacing w:after="0" w:line="230" w:lineRule="exact"/>
        <w:rPr>
          <w:sz w:val="20"/>
          <w:szCs w:val="20"/>
          <w:color w:val="auto"/>
        </w:rPr>
      </w:pPr>
    </w:p>
    <w:p>
      <w:pPr>
        <w:jc w:val="both"/>
        <w:ind w:left="960" w:right="20" w:hanging="64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color w:val="auto"/>
        </w:rPr>
        <w:t>Amendment and Restatement Agreement dated as of March 5, 2010 to the Credit Agreement among the Registrant, Bank of America, N.A., and certain agents and other lenders party thereto (incorporated by reference to Exhibit 10.1 to the Registrant’s Current Report on Form 8-K filed on March 10, 2010)</w:t>
      </w:r>
    </w:p>
    <w:p>
      <w:pPr>
        <w:spacing w:after="0" w:line="14" w:lineRule="exact"/>
        <w:rPr>
          <w:sz w:val="20"/>
          <w:szCs w:val="20"/>
          <w:color w:val="auto"/>
        </w:rPr>
      </w:pPr>
    </w:p>
    <w:p>
      <w:pPr>
        <w:jc w:val="both"/>
        <w:ind w:left="960" w:right="20" w:hanging="643"/>
        <w:spacing w:after="0" w:line="281" w:lineRule="auto"/>
        <w:tabs>
          <w:tab w:leader="none" w:pos="94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color w:val="auto"/>
        </w:rPr>
        <w:t>Amended and Restated Fidelity National Financial, Inc. 2005 Omnibus Incentive Plan, effective as of September 26, 2005 (incorporated by reference to Appendix A to the Registrant’s Schedule 14A filed on April 12, 2013) (1)</w:t>
      </w:r>
    </w:p>
    <w:p>
      <w:pPr>
        <w:spacing w:after="0" w:line="2"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Bridge Loan Commitment Letter (incorporated by reference to Exhibit 10.1 to the Registrant’s Current Report on Form 8-K filed on October 24,</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2014)</w:t>
      </w:r>
    </w:p>
    <w:p>
      <w:pPr>
        <w:spacing w:after="0" w:line="45"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8"/>
          <w:szCs w:val="18"/>
          <w:color w:val="auto"/>
        </w:rPr>
        <w:t>Amended Revolving Credit Facility (incorporated by reference to Exhibit 10.2 to the Registrant’s Current Report on Form 8-K filed on October</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24, 2014)</w:t>
      </w:r>
    </w:p>
    <w:p>
      <w:pPr>
        <w:spacing w:after="0" w:line="45"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Amended Term Loan Agreement (incorporated by reference to Exhibit 10.3 to the Registrant’s Current Report on Form 8-K filed on October 24,</w:t>
      </w:r>
    </w:p>
    <w:p>
      <w:pPr>
        <w:spacing w:after="0" w:line="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2014)</w:t>
      </w:r>
    </w:p>
    <w:p>
      <w:pPr>
        <w:spacing w:after="0" w:line="45" w:lineRule="exact"/>
        <w:rPr>
          <w:sz w:val="20"/>
          <w:szCs w:val="20"/>
          <w:color w:val="auto"/>
        </w:rPr>
      </w:pPr>
    </w:p>
    <w:p>
      <w:pPr>
        <w:jc w:val="both"/>
        <w:ind w:left="960" w:hanging="64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color w:val="auto"/>
        </w:rPr>
        <w:t>Amendment, dated as of June 25, 2013, to the Second Amended and Restated Credit Agreement, dated as of April 16, 2012, among Fidelity National Financial, Inc., the lenders party thereto, Bank of America, N.A., as administrative agent, and the other agents party thereto (incorporated by reference to Registrant’s Current Report on Form 8-K filed on July 12, 2013)</w:t>
      </w:r>
    </w:p>
    <w:p>
      <w:pPr>
        <w:spacing w:after="0" w:line="14" w:lineRule="exact"/>
        <w:rPr>
          <w:sz w:val="20"/>
          <w:szCs w:val="20"/>
          <w:color w:val="auto"/>
        </w:rPr>
      </w:pPr>
    </w:p>
    <w:p>
      <w:pPr>
        <w:jc w:val="both"/>
        <w:ind w:left="960" w:right="20" w:hanging="643"/>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10.8</w:t>
      </w:r>
      <w:r>
        <w:rPr>
          <w:sz w:val="20"/>
          <w:szCs w:val="20"/>
          <w:color w:val="auto"/>
        </w:rPr>
        <w:tab/>
      </w:r>
      <w:r>
        <w:rPr>
          <w:rFonts w:ascii="Times New Roman" w:cs="Times New Roman" w:eastAsia="Times New Roman" w:hAnsi="Times New Roman"/>
          <w:sz w:val="18"/>
          <w:szCs w:val="18"/>
          <w:color w:val="auto"/>
        </w:rPr>
        <w:t>Term Loan Credit Agreement, dated as of July 11, 2013, among Fidelity National Financial, Inc., the lenders party thereto, Bank of America, N.A., as administrative agent, and the other agents party thereto (incorporated by reference to Registrant’s Current Report on Form 8-K filed on July 12, 2013)</w:t>
      </w:r>
    </w:p>
    <w:p>
      <w:pPr>
        <w:spacing w:after="0" w:line="14" w:lineRule="exact"/>
        <w:rPr>
          <w:sz w:val="20"/>
          <w:szCs w:val="20"/>
          <w:color w:val="auto"/>
        </w:rPr>
      </w:pPr>
    </w:p>
    <w:p>
      <w:pPr>
        <w:jc w:val="both"/>
        <w:ind w:left="960" w:right="20" w:hanging="643"/>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color w:val="auto"/>
        </w:rPr>
        <w:t>Fidelity National Title Group, Inc. Employee Stock Purchase Plan, effective as of September 26, 2005 (incorporated by reference to Exhibit 10.2 to the Registrant’s Quarterly Report on Form 10-Q for the quarter ended September 30, 2013) (1)</w:t>
      </w:r>
    </w:p>
    <w:p>
      <w:pPr>
        <w:sectPr>
          <w:pgSz w:w="11900" w:h="16838" w:orient="portrait"/>
          <w:cols w:equalWidth="0" w:num="1">
            <w:col w:w="11400"/>
          </w:cols>
          <w:pgMar w:left="240" w:top="121" w:right="259" w:bottom="1440" w:gutter="0" w:footer="0" w:header="0"/>
        </w:sect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400"/>
          </w:cols>
          <w:pgMar w:left="240" w:top="121" w:right="259" w:bottom="1440" w:gutter="0" w:footer="0" w:header="0"/>
          <w:type w:val="continuous"/>
        </w:sectPr>
      </w:pPr>
    </w:p>
    <w:bookmarkStart w:id="117" w:name="page118"/>
    <w:bookmarkEnd w:id="1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tcPr>
          <w:p>
            <w:pPr>
              <w:spacing w:after="0"/>
              <w:rPr>
                <w:sz w:val="13"/>
                <w:szCs w:val="13"/>
                <w:color w:val="auto"/>
              </w:rPr>
            </w:pPr>
          </w:p>
        </w:tc>
        <w:tc>
          <w:tcPr>
            <w:tcW w:w="5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60"/>
        </w:trPr>
        <w:tc>
          <w:tcPr>
            <w:tcW w:w="6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(incorporated by reference to Exhibit 10.5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2013 Awards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Award Agreement under Amended and Restated Fidelity National Financial, Inc. 2005 Omnibus Incentive Plan</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 November 2013 Awards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October 2012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October 2011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2011)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2010 awards (incorporated by reference to Exhibit 10.7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2010)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10.16</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2005 Omnibus Incentive Plan for November 2009 awards (incorporated by reference to Exhibit 10.6 to the Registrant's Annual Report on Form</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10-K for the year ended 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FIS’s Form 8-K, filed on October 27, 2006)</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July 1, 2012 to Amended and Restated Employment Agreement between the Registrant and Brent B. Bickett, effective as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July 2, 2008. (incorporated by reference to Exhibit 10.7 to Registrant’s Current Report on Form 8-K filed on July 3,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BKFS 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Foley, II, effective as of July 2, 2008 (incorporated by reference to Exhibit 10.8 to Registrant’s Current Report on Form 8-K filed on January 15,</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BKFS II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Foley, II, effective as of July 2, 2008 (incorporated by reference to Exhibit 10.9 to Registrant’s Current Report on Form 8-K filed on January 15,</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2014) (1)</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August 27, 2013 to Amended and Restated Employment Agreement between the Registrant and William P. Foley, II,</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July 2, 2008 (incorporated by reference to Registrant’s Current Report on Form 8-K filed on January 15, 2014)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10.27</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Amended and Restated Employment Agreement between the Registrant and William P. Foley, II, effective as of July 2, 2008(1) (incorporated by</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reference to Exhibit 10.14 to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10.28</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400"/>
          </w:cols>
          <w:pgMar w:left="240" w:top="121" w:right="259" w:bottom="1440" w:gutter="0" w:footer="0" w:header="0"/>
          <w:type w:val="continuous"/>
        </w:sectPr>
      </w:pPr>
    </w:p>
    <w:bookmarkStart w:id="118" w:name="page119"/>
    <w:bookmarkEnd w:id="1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3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tcPr>
          <w:p>
            <w:pPr>
              <w:spacing w:after="0"/>
              <w:rPr>
                <w:sz w:val="13"/>
                <w:szCs w:val="13"/>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2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10.29</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 2009)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10.30</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 2011)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10.33</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quarter ended March 31, 2013) (1)</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10.35</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the quarter ended March 31, 2013) (1)</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1350</w:t>
            </w:r>
          </w:p>
        </w:tc>
        <w:tc>
          <w:tcPr>
            <w:tcW w:w="0" w:type="dxa"/>
            <w:vAlign w:val="bottom"/>
          </w:tcPr>
          <w:p>
            <w:pPr>
              <w:spacing w:after="0"/>
              <w:rPr>
                <w:sz w:val="1"/>
                <w:szCs w:val="1"/>
                <w:color w:val="auto"/>
              </w:rPr>
            </w:pPr>
          </w:p>
        </w:tc>
      </w:tr>
      <w:tr>
        <w:trPr>
          <w:trHeight w:val="252"/>
        </w:trPr>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Section 1350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or compensatory plan or arrangement required to be filed as an exhibit to this report pursuant to Item 15(c) of Form 10-K</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121" w:right="2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Restricted Stock Grant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(the “Grantee”) have been granted the following award of restricted Common Stock (the “Restricted Stock”) of Fidelity National Financial, Inc. (the “Company”), par value $0.0001 per share (the “Shares”), pursuant to the Fidelity National Financial, Inc. (f/k/a Fidelity National Title Group, Inc.) Amended and Restated 2005 Omnibus Incentive Plan (the “Plan”):</w:t>
      </w:r>
    </w:p>
    <w:p>
      <w:pPr>
        <w:sectPr>
          <w:pgSz w:w="11900" w:h="16838" w:orient="portrait"/>
          <w:cols w:equalWidth="0" w:num="1">
            <w:col w:w="11420"/>
          </w:cols>
          <w:pgMar w:left="240" w:top="576" w:right="2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11" w:lineRule="exact"/>
        <w:rPr>
          <w:sz w:val="20"/>
          <w:szCs w:val="20"/>
          <w:color w:val="auto"/>
        </w:rPr>
      </w:pPr>
    </w:p>
    <w:p>
      <w:pPr>
        <w:sectPr>
          <w:pgSz w:w="11900" w:h="16838" w:orient="portrait"/>
          <w:cols w:equalWidth="0" w:num="2">
            <w:col w:w="1660" w:space="720"/>
            <w:col w:w="904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Restricted Stock Granted: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[xxx]</w:t>
      </w:r>
    </w:p>
    <w:p>
      <w:pPr>
        <w:spacing w:after="0" w:line="211" w:lineRule="exact"/>
        <w:rPr>
          <w:sz w:val="20"/>
          <w:szCs w:val="20"/>
          <w:color w:val="auto"/>
        </w:rPr>
      </w:pPr>
    </w:p>
    <w:p>
      <w:pPr>
        <w:sectPr>
          <w:pgSz w:w="11900" w:h="16838" w:orient="portrait"/>
          <w:cols w:equalWidth="0" w:num="2">
            <w:col w:w="3420" w:space="360"/>
            <w:col w:w="764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Effective Date of Grant: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21, 2013</w:t>
      </w:r>
    </w:p>
    <w:p>
      <w:pPr>
        <w:spacing w:after="0" w:line="200" w:lineRule="exact"/>
        <w:rPr>
          <w:sz w:val="20"/>
          <w:szCs w:val="20"/>
          <w:color w:val="auto"/>
        </w:rPr>
      </w:pPr>
    </w:p>
    <w:p>
      <w:pPr>
        <w:sectPr>
          <w:pgSz w:w="11900" w:h="16838" w:orient="portrait"/>
          <w:cols w:equalWidth="0" w:num="2">
            <w:col w:w="1920" w:space="720"/>
            <w:col w:w="8780"/>
          </w:cols>
          <w:pgMar w:left="240" w:top="576"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Vesting and Period of Restriction: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A</w:t>
      </w:r>
    </w:p>
    <w:p>
      <w:pPr>
        <w:spacing w:after="0" w:line="200" w:lineRule="exact"/>
        <w:rPr>
          <w:sz w:val="20"/>
          <w:szCs w:val="20"/>
          <w:color w:val="auto"/>
        </w:rPr>
      </w:pPr>
    </w:p>
    <w:p>
      <w:pPr>
        <w:sectPr>
          <w:pgSz w:w="11900" w:h="16838" w:orient="portrait"/>
          <w:cols w:equalWidth="0" w:num="2">
            <w:col w:w="2440" w:space="720"/>
            <w:col w:w="8260"/>
          </w:cols>
          <w:pgMar w:left="240" w:top="576" w:right="239" w:bottom="1440" w:gutter="0" w:footer="0" w:header="0"/>
          <w:type w:val="continuous"/>
        </w:sectPr>
      </w:pPr>
    </w:p>
    <w:p>
      <w:pPr>
        <w:spacing w:after="0" w:line="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your electronic acceptance/signature,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pacing w:after="0" w:line="200" w:lineRule="exact"/>
        <w:rPr>
          <w:sz w:val="20"/>
          <w:szCs w:val="20"/>
          <w:color w:val="auto"/>
        </w:rPr>
      </w:pPr>
    </w:p>
    <w:p>
      <w:pPr>
        <w:spacing w:after="0" w:line="350"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tc>
      </w:tr>
      <w:tr>
        <w:trPr>
          <w:trHeight w:val="270"/>
        </w:trPr>
        <w:tc>
          <w:tcPr>
            <w:tcW w:w="4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By:</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Name:</w:t>
            </w:r>
          </w:p>
        </w:tc>
      </w:tr>
      <w:tr>
        <w:trPr>
          <w:trHeight w:val="27"/>
        </w:trPr>
        <w:tc>
          <w:tcPr>
            <w:tcW w:w="4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6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6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318"/>
        </w:trPr>
        <w:tc>
          <w:tcPr>
            <w:tcW w:w="46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4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type w:val="continuous"/>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2005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8"/>
          <w:szCs w:val="18"/>
          <w:b w:val="1"/>
          <w:bCs w:val="1"/>
          <w:color w:val="auto"/>
        </w:rPr>
        <w:t>GRANT OF RESTRICTED STOCK</w:t>
      </w:r>
    </w:p>
    <w:p>
      <w:pPr>
        <w:spacing w:after="0" w:line="252" w:lineRule="exact"/>
        <w:rPr>
          <w:sz w:val="20"/>
          <w:szCs w:val="20"/>
          <w:color w:val="auto"/>
        </w:rPr>
      </w:pPr>
    </w:p>
    <w:p>
      <w:pPr>
        <w:jc w:val="both"/>
        <w:ind w:firstLine="8"/>
        <w:spacing w:after="0" w:line="315" w:lineRule="auto"/>
        <w:tabs>
          <w:tab w:leader="none" w:pos="90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On the terms and conditions set forth in the Notice of Restricted Stock Grant and this Restricted Stock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Company grants to the Grantee on the Effective Date of Grant the Shares of Restricted Stock (the “Restricted Stock”) set forth in the Notice of Restricted Stock Grant.</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309" w:lineRule="auto"/>
        <w:tabs>
          <w:tab w:leader="none" w:pos="91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and Defined Terms</w:t>
      </w:r>
      <w:r>
        <w:rPr>
          <w:rFonts w:ascii="Times New Roman" w:cs="Times New Roman" w:eastAsia="Times New Roman" w:hAnsi="Times New Roman"/>
          <w:sz w:val="18"/>
          <w:szCs w:val="18"/>
          <w:color w:val="auto"/>
        </w:rPr>
        <w:t>. The Restricted Stock is granted pursuant to the Plan. All terms, provisions, and conditions applicable to the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8"/>
          <w:szCs w:val="18"/>
          <w:b w:val="1"/>
          <w:bCs w:val="1"/>
          <w:color w:val="auto"/>
        </w:rPr>
        <w:t>FORFEITURE AND TRANSFER RESTRICTIONS</w:t>
      </w:r>
    </w:p>
    <w:p>
      <w:pPr>
        <w:spacing w:after="0" w:line="252" w:lineRule="exact"/>
        <w:rPr>
          <w:sz w:val="20"/>
          <w:szCs w:val="20"/>
          <w:color w:val="auto"/>
        </w:rPr>
      </w:pPr>
    </w:p>
    <w:p>
      <w:pPr>
        <w:ind w:left="920" w:hanging="912"/>
        <w:spacing w:after="0"/>
        <w:tabs>
          <w:tab w:leader="none" w:pos="9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b w:val="1"/>
          <w:bCs w:val="1"/>
          <w:color w:val="auto"/>
        </w:rPr>
      </w:pPr>
    </w:p>
    <w:p>
      <w:pPr>
        <w:jc w:val="both"/>
        <w:ind w:firstLine="656"/>
        <w:spacing w:after="0" w:line="316" w:lineRule="auto"/>
        <w:tabs>
          <w:tab w:leader="none" w:pos="146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employment is terminated for any reason other than death, Disability (as defined below), termination by the Company and its Subsidiaries without Cause (as defined below) or termination by the Grantee with Good Reason (as defined below), the Grantee shall, for no consideration, forfeit to the Company the Shares of Restricted Stock to the extent such Shares are subject to a Period of Restriction at the time of such termination.</w:t>
      </w:r>
    </w:p>
    <w:p>
      <w:pPr>
        <w:spacing w:after="0" w:line="200" w:lineRule="exact"/>
        <w:rPr>
          <w:rFonts w:ascii="Times New Roman" w:cs="Times New Roman" w:eastAsia="Times New Roman" w:hAnsi="Times New Roman"/>
          <w:sz w:val="18"/>
          <w:szCs w:val="18"/>
          <w:color w:val="auto"/>
        </w:rPr>
      </w:pPr>
    </w:p>
    <w:p>
      <w:pPr>
        <w:spacing w:after="0" w:line="224" w:lineRule="exact"/>
        <w:rPr>
          <w:rFonts w:ascii="Times New Roman" w:cs="Times New Roman" w:eastAsia="Times New Roman" w:hAnsi="Times New Roman"/>
          <w:sz w:val="18"/>
          <w:szCs w:val="18"/>
          <w:color w:val="auto"/>
        </w:rPr>
      </w:pPr>
    </w:p>
    <w:p>
      <w:pPr>
        <w:jc w:val="both"/>
        <w:ind w:firstLine="656"/>
        <w:spacing w:after="0" w:line="305" w:lineRule="auto"/>
        <w:tabs>
          <w:tab w:leader="none" w:pos="151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Grantee's employment is terminated due to the Grantee's death or Disability, and (B) the Performance Restriction (as defined in Exhibit A) has been satisfied as of the date of the Grantee's termination of employment, then a portion of the Shares which on the date of termination of employment remain subject to a Time-Based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spacing w:after="0" w:line="15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x B) - C, where</w:t>
      </w:r>
    </w:p>
    <w:p>
      <w:pPr>
        <w:spacing w:after="0" w:line="11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 the total number of Shares granted under this Agreement,</w:t>
      </w:r>
    </w:p>
    <w:p>
      <w:pPr>
        <w:spacing w:after="0" w:line="117" w:lineRule="exact"/>
        <w:rPr>
          <w:sz w:val="20"/>
          <w:szCs w:val="20"/>
          <w:color w:val="auto"/>
        </w:rPr>
      </w:pPr>
    </w:p>
    <w:p>
      <w:pPr>
        <w:ind w:left="1960"/>
        <w:spacing w:after="0" w:line="282" w:lineRule="auto"/>
        <w:rPr>
          <w:sz w:val="20"/>
          <w:szCs w:val="20"/>
          <w:color w:val="auto"/>
        </w:rPr>
      </w:pPr>
      <w:r>
        <w:rPr>
          <w:rFonts w:ascii="Times New Roman" w:cs="Times New Roman" w:eastAsia="Times New Roman" w:hAnsi="Times New Roman"/>
          <w:sz w:val="18"/>
          <w:szCs w:val="18"/>
          <w:color w:val="auto"/>
        </w:rPr>
        <w:t>B = the number of completed months to the date of termination of employment since the Effective Date of Grant divided by 36, and</w:t>
      </w:r>
    </w:p>
    <w:p>
      <w:pPr>
        <w:spacing w:after="0" w:line="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 the number of Shares granted under this Agreement which vested on or prior to the date of termination of employment.</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the Performance Restriction has not been satisfied as of the date of the Grantee's termination of employment due to the Grantee's death or Disability, then all of the Shares shall be forfeited to the Company, for no consideration.</w:t>
      </w:r>
    </w:p>
    <w:p>
      <w:pPr>
        <w:spacing w:after="0" w:line="63" w:lineRule="exact"/>
        <w:rPr>
          <w:sz w:val="20"/>
          <w:szCs w:val="20"/>
          <w:color w:val="auto"/>
        </w:rPr>
      </w:pPr>
    </w:p>
    <w:p>
      <w:pPr>
        <w:ind w:left="1580" w:hanging="924"/>
        <w:spacing w:after="0"/>
        <w:tabs>
          <w:tab w:leader="none" w:pos="15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8"/>
          <w:szCs w:val="18"/>
          <w:color w:val="auto"/>
        </w:rPr>
        <w:t>f the Grantee's employment is terminated by the Company and its Subsidiaries without Cause, or by the Grantee with Good Reason,</w:t>
      </w:r>
    </w:p>
    <w:p>
      <w:pPr>
        <w:spacing w:after="0" w:line="44" w:lineRule="exact"/>
        <w:rPr>
          <w:rFonts w:ascii="Times New Roman" w:cs="Times New Roman" w:eastAsia="Times New Roman" w:hAnsi="Times New Roman"/>
          <w:sz w:val="18"/>
          <w:szCs w:val="18"/>
          <w:color w:val="auto"/>
        </w:rPr>
      </w:pPr>
    </w:p>
    <w:p>
      <w:pPr>
        <w:jc w:val="both"/>
        <w:ind w:firstLine="8"/>
        <w:spacing w:after="0" w:line="308" w:lineRule="auto"/>
        <w:tabs>
          <w:tab w:leader="none" w:pos="3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Time-Based Restrictions shall be deemed to have been satisfied as of the date of termination of employment, and (B) all Shares shall continue to be subject to the Performance Restriction. Upon a lapse of a Period of Restriction (including a lapse upon a Change of Control), all Shares shall vest and become free of forfeiture and transfer restrictions contained in this Agreement (except as otherwise provided in Section 2(b) of this Agreement) on the date of employment termination</w:t>
      </w:r>
    </w:p>
    <w:p>
      <w:pPr>
        <w:spacing w:after="0" w:line="179" w:lineRule="exact"/>
        <w:rPr>
          <w:rFonts w:ascii="Times New Roman" w:cs="Times New Roman" w:eastAsia="Times New Roman" w:hAnsi="Times New Roman"/>
          <w:sz w:val="18"/>
          <w:szCs w:val="18"/>
          <w:color w:val="auto"/>
        </w:rPr>
      </w:pPr>
    </w:p>
    <w:p>
      <w:pPr>
        <w:jc w:val="both"/>
        <w:ind w:firstLine="656"/>
        <w:spacing w:after="0" w:line="305" w:lineRule="auto"/>
        <w:tabs>
          <w:tab w:leader="none" w:pos="155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“Cause” shall have the meaning ascribed to such term in the Grantee's employment agreement with the Company or any Subsidiary. If the Grantee's employment agreement does not define the term “Cause,” or if the Grantee has not entered into an employment agreement with the Company or any Subsidiary, the term “Cause” shall mean (A) the willful engaging by the Grantee in misconduct that is demonstrably injurious to the Company or any Subsidiary (monetarily or otherwise), (B) the Grantee's conviction of, or pleading guilty or nolo contendere to, a felony, or (C) the Grantee's violation of any confidentiality, non-solicitation, or non-competition covenant to which the Grantee is subject.</w:t>
      </w:r>
    </w:p>
    <w:p>
      <w:pPr>
        <w:spacing w:after="0" w:line="183" w:lineRule="exact"/>
        <w:rPr>
          <w:rFonts w:ascii="Times New Roman" w:cs="Times New Roman" w:eastAsia="Times New Roman" w:hAnsi="Times New Roman"/>
          <w:sz w:val="18"/>
          <w:szCs w:val="18"/>
          <w:color w:val="auto"/>
        </w:rPr>
      </w:pPr>
    </w:p>
    <w:p>
      <w:pPr>
        <w:jc w:val="both"/>
        <w:ind w:firstLine="656"/>
        <w:spacing w:after="0" w:line="313" w:lineRule="auto"/>
        <w:tabs>
          <w:tab w:leader="none" w:pos="150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“Disability” shall have the meaning ascribed to such term in the Grantee's employment agreement with the Company or any Subsidiary. If the Grantee's employment agreement does not define the term “Disability,” or if the Grantee has not entered into an employment agreement with the Company or any Subsidiary, the term “Disability” shall mean the</w:t>
      </w:r>
    </w:p>
    <w:p>
      <w:pPr>
        <w:sectPr>
          <w:pgSz w:w="11900" w:h="16838" w:orient="portrait"/>
          <w:cols w:equalWidth="0" w:num="1">
            <w:col w:w="11420"/>
          </w:cols>
          <w:pgMar w:left="240" w:top="576" w:right="239" w:bottom="1440" w:gutter="0" w:footer="0" w:header="0"/>
        </w:sectPr>
      </w:pPr>
    </w:p>
    <w:bookmarkStart w:id="121" w:name="page122"/>
    <w:bookmarkEnd w:id="121"/>
    <w:p>
      <w:pPr>
        <w:ind w:right="20"/>
        <w:spacing w:after="0" w:line="329" w:lineRule="auto"/>
        <w:rPr>
          <w:sz w:val="20"/>
          <w:szCs w:val="20"/>
          <w:color w:val="auto"/>
        </w:rPr>
      </w:pPr>
      <w:r>
        <w:rPr>
          <w:rFonts w:ascii="Times New Roman" w:cs="Times New Roman" w:eastAsia="Times New Roman" w:hAnsi="Times New Roman"/>
          <w:sz w:val="18"/>
          <w:szCs w:val="18"/>
          <w:color w:val="auto"/>
        </w:rPr>
        <w:t>Grantee's entitlement to long-term disability benefits pursuant to the long-term disability plan maintained by the Company or in which the Company's employees participate.</w:t>
      </w:r>
    </w:p>
    <w:p>
      <w:pPr>
        <w:spacing w:after="0" w:line="162" w:lineRule="exact"/>
        <w:rPr>
          <w:sz w:val="20"/>
          <w:szCs w:val="20"/>
          <w:color w:val="auto"/>
        </w:rPr>
      </w:pPr>
    </w:p>
    <w:p>
      <w:pPr>
        <w:ind w:firstLine="656"/>
        <w:spacing w:after="0" w:line="329" w:lineRule="auto"/>
        <w:tabs>
          <w:tab w:leader="none" w:pos="1556"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termination shall apply only if the Grantee has an employment agreement with the Company or any Subsidiary and shall have the meaning ascribed to that term in such employment agreement.</w:t>
      </w:r>
    </w:p>
    <w:p>
      <w:pPr>
        <w:spacing w:after="0" w:line="161" w:lineRule="exact"/>
        <w:rPr>
          <w:rFonts w:ascii="Times New Roman" w:cs="Times New Roman" w:eastAsia="Times New Roman" w:hAnsi="Times New Roman"/>
          <w:sz w:val="18"/>
          <w:szCs w:val="18"/>
          <w:color w:val="auto"/>
        </w:rPr>
      </w:pPr>
    </w:p>
    <w:p>
      <w:pPr>
        <w:ind w:left="1620" w:hanging="964"/>
        <w:spacing w:after="0"/>
        <w:tabs>
          <w:tab w:leader="none" w:pos="16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Performance Restriction is not satisfied, then all Shares shall be forfeited to the Company, for no consideration.</w:t>
      </w:r>
    </w:p>
    <w:p>
      <w:pPr>
        <w:spacing w:after="0" w:line="261" w:lineRule="exact"/>
        <w:rPr>
          <w:rFonts w:ascii="Times New Roman" w:cs="Times New Roman" w:eastAsia="Times New Roman" w:hAnsi="Times New Roman"/>
          <w:sz w:val="18"/>
          <w:szCs w:val="18"/>
          <w:color w:val="auto"/>
        </w:rPr>
      </w:pPr>
    </w:p>
    <w:p>
      <w:pPr>
        <w:jc w:val="both"/>
        <w:ind w:firstLine="8"/>
        <w:spacing w:after="0" w:line="302" w:lineRule="auto"/>
        <w:tabs>
          <w:tab w:leader="none" w:pos="91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Restrictions</w:t>
      </w:r>
      <w:r>
        <w:rPr>
          <w:rFonts w:ascii="Times New Roman" w:cs="Times New Roman" w:eastAsia="Times New Roman" w:hAnsi="Times New Roman"/>
          <w:sz w:val="18"/>
          <w:szCs w:val="18"/>
          <w:color w:val="auto"/>
        </w:rPr>
        <w:t>. During the Period of Restriction, the Restricted Stock may not be sold, assigned, pledged, exchanged, hypothecated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transferred, encumbered or disposed of, to the extent such Shares are subject to a Period of Restriction. If and when the Grantee is an Officer (as defined in Rule 16a-1(f) of the Exchange Act) or holds the title of President - Eastern Operations, President - Western Operations, President - Agency Operations, or Chief Legal Officer, during the six (6) month period which begins the first day following the date a Period of Restriction lapses, (50%) of the Shares to which the Period of Restrictions has lapsed on such date may not be sold, assigned, pledged, exchanged, hypothecated or otherwise transferred, encumbered or disposed of; provided however that this sentence shall not prohibit the Grantee from exchanging or otherwise disposing of Shares in connection with a Change of Control or other transaction in which Shares held by other Company shareholders are required to be exchanged or otherwise disposed.</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304" w:lineRule="auto"/>
        <w:tabs>
          <w:tab w:leader="none" w:pos="89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Lapse of Restrictions</w:t>
      </w:r>
      <w:r>
        <w:rPr>
          <w:rFonts w:ascii="Times New Roman" w:cs="Times New Roman" w:eastAsia="Times New Roman" w:hAnsi="Times New Roman"/>
          <w:sz w:val="18"/>
          <w:szCs w:val="18"/>
          <w:color w:val="auto"/>
        </w:rPr>
        <w:t>. The Period of Restriction shall lapse as to the Restricted Stock in accordance with the Notice of Restricted Stock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the Plan and Section 6(a) hereof, upon lapse of the Period of Restriction, the Grantee shall own the Shares that are subject to this Agreement free of all restrictions other than the six (6) month holding period following the Period of Restriction as provided in Section 2(b) of this Agreement otherwise imposed by this Agreement.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been forfeited shall lapse.</w:t>
      </w:r>
    </w:p>
    <w:p>
      <w:pPr>
        <w:spacing w:after="0" w:line="1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STOCK CERTIFICATES</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8"/>
          <w:szCs w:val="18"/>
          <w:b w:val="1"/>
          <w:bCs w:val="1"/>
          <w:color w:val="auto"/>
        </w:rPr>
        <w:t>SHAREHOLDER RIGHTS</w:t>
      </w:r>
    </w:p>
    <w:p>
      <w:pPr>
        <w:spacing w:after="0" w:line="3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8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paid with respect to Shares which remain subject to a Period of Restriction shall not be paid to the Grantee but shall be held by the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65" w:lineRule="exact"/>
        <w:rPr>
          <w:rFonts w:ascii="Times New Roman" w:cs="Times New Roman" w:eastAsia="Times New Roman" w:hAnsi="Times New Roman"/>
          <w:sz w:val="18"/>
          <w:szCs w:val="18"/>
          <w:color w:val="auto"/>
        </w:rPr>
      </w:pPr>
    </w:p>
    <w:p>
      <w:pPr>
        <w:ind w:left="920" w:hanging="912"/>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held dividends shall be subject to the same Period of Restriction as the Shares to which they relate.</w:t>
      </w:r>
    </w:p>
    <w:p>
      <w:pPr>
        <w:spacing w:after="0" w:line="265" w:lineRule="exact"/>
        <w:rPr>
          <w:rFonts w:ascii="Times New Roman" w:cs="Times New Roman" w:eastAsia="Times New Roman" w:hAnsi="Times New Roman"/>
          <w:sz w:val="18"/>
          <w:szCs w:val="18"/>
          <w:color w:val="auto"/>
        </w:rPr>
      </w:pPr>
    </w:p>
    <w:p>
      <w:pPr>
        <w:ind w:firstLine="8"/>
        <w:spacing w:after="0" w:line="329" w:lineRule="auto"/>
        <w:tabs>
          <w:tab w:leader="none" w:pos="89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dividends held pursuant to this Section 5 which are attributable to Shares which vest pursuant to this Agreement shall be paid to the Grantee within 30 days of the applicable vesting date.</w:t>
      </w:r>
    </w:p>
    <w:p>
      <w:pPr>
        <w:spacing w:after="0" w:line="161" w:lineRule="exact"/>
        <w:rPr>
          <w:rFonts w:ascii="Times New Roman" w:cs="Times New Roman" w:eastAsia="Times New Roman" w:hAnsi="Times New Roman"/>
          <w:sz w:val="18"/>
          <w:szCs w:val="18"/>
          <w:color w:val="auto"/>
        </w:rPr>
      </w:pPr>
    </w:p>
    <w:p>
      <w:pPr>
        <w:ind w:left="920" w:hanging="912"/>
        <w:spacing w:after="0"/>
        <w:tabs>
          <w:tab w:leader="none" w:pos="9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attributable to Shares forfeited pursuant to Section 2 of this Agreement shall be forfeited to the Company on the date such Shares are</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forfeited.</w:t>
      </w:r>
    </w:p>
    <w:p>
      <w:pPr>
        <w:sectPr>
          <w:pgSz w:w="11900" w:h="16838" w:orient="portrait"/>
          <w:cols w:equalWidth="0" w:num="1">
            <w:col w:w="11420"/>
          </w:cols>
          <w:pgMar w:left="240" w:top="607" w:right="239" w:bottom="1440" w:gutter="0" w:footer="0" w:header="0"/>
        </w:sectPr>
      </w:pPr>
    </w:p>
    <w:bookmarkStart w:id="122" w:name="page123"/>
    <w:bookmarkEnd w:id="12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8"/>
          <w:szCs w:val="18"/>
          <w:b w:val="1"/>
          <w:bCs w:val="1"/>
          <w:color w:val="auto"/>
        </w:rPr>
        <w:t>MISCELLANEOUS PROVISIONS</w:t>
      </w:r>
    </w:p>
    <w:p>
      <w:pPr>
        <w:spacing w:after="0" w:line="252" w:lineRule="exact"/>
        <w:rPr>
          <w:sz w:val="20"/>
          <w:szCs w:val="20"/>
          <w:color w:val="auto"/>
        </w:rPr>
      </w:pPr>
    </w:p>
    <w:p>
      <w:pPr>
        <w:jc w:val="both"/>
        <w:ind w:firstLine="8"/>
        <w:spacing w:after="0" w:line="302" w:lineRule="auto"/>
        <w:tabs>
          <w:tab w:leader="none" w:pos="90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Pursuant to Article 20 of the Plan, the Committee shall have the power and right to deduct or withhold, or require the Grantee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315" w:lineRule="auto"/>
        <w:tabs>
          <w:tab w:leader="none" w:pos="9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Actions</w:t>
      </w:r>
      <w:r>
        <w:rPr>
          <w:rFonts w:ascii="Times New Roman" w:cs="Times New Roman" w:eastAsia="Times New Roman" w:hAnsi="Times New Roman"/>
          <w:sz w:val="18"/>
          <w:szCs w:val="18"/>
          <w:color w:val="auto"/>
        </w:rPr>
        <w:t>. By accepting this Agreement, the Grantee and each person claiming under or through the Grantee shall be conclusively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315" w:lineRule="auto"/>
        <w:tabs>
          <w:tab w:leader="none" w:pos="90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Any notice required by the terms of this Agreement shall be given in writing and shall be deemed effective upon personal delivery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315" w:lineRule="auto"/>
        <w:tabs>
          <w:tab w:leader="none" w:pos="9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Choice of Law</w:t>
      </w:r>
      <w:r>
        <w:rPr>
          <w:rFonts w:ascii="Times New Roman" w:cs="Times New Roman" w:eastAsia="Times New Roman" w:hAnsi="Times New Roman"/>
          <w:sz w:val="18"/>
          <w:szCs w:val="18"/>
          <w:color w:val="auto"/>
        </w:rPr>
        <w:t>. This Agreement and the Notice of Restricted Stock Grant shall be governed by, and construed in accordance with,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306" w:lineRule="auto"/>
        <w:tabs>
          <w:tab w:leader="none" w:pos="89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Arbitration</w:t>
      </w:r>
      <w:r>
        <w:rPr>
          <w:rFonts w:ascii="Times New Roman" w:cs="Times New Roman" w:eastAsia="Times New Roman" w:hAnsi="Times New Roman"/>
          <w:sz w:val="18"/>
          <w:szCs w:val="18"/>
          <w:color w:val="auto"/>
        </w:rPr>
        <w:t>. Subject to, and in accordance with the provisions of Article 3 of the Plan, any dispute or claim arising out of or relating to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Florida, without regard to internal principles relating to conflict of laws.</w:t>
      </w:r>
    </w:p>
    <w:p>
      <w:pPr>
        <w:spacing w:after="0" w:line="179" w:lineRule="exact"/>
        <w:rPr>
          <w:rFonts w:ascii="Times New Roman" w:cs="Times New Roman" w:eastAsia="Times New Roman" w:hAnsi="Times New Roman"/>
          <w:sz w:val="18"/>
          <w:szCs w:val="18"/>
          <w:b w:val="1"/>
          <w:bCs w:val="1"/>
          <w:color w:val="auto"/>
        </w:rPr>
      </w:pPr>
    </w:p>
    <w:p>
      <w:pPr>
        <w:ind w:firstLine="8"/>
        <w:spacing w:after="0" w:line="333" w:lineRule="auto"/>
        <w:tabs>
          <w:tab w:leader="none" w:pos="87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or Amendment</w:t>
      </w:r>
      <w:r>
        <w:rPr>
          <w:rFonts w:ascii="Times New Roman" w:cs="Times New Roman" w:eastAsia="Times New Roman" w:hAnsi="Times New Roman"/>
          <w:sz w:val="18"/>
          <w:szCs w:val="18"/>
          <w:color w:val="auto"/>
        </w:rPr>
        <w:t>. This Agreement may only be modified or amended by written agreement executed by the parties hereto;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adjustments permitted pursuant to Section 4.3 of the Plan may be made without such written agreement.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315" w:lineRule="auto"/>
        <w:tabs>
          <w:tab w:leader="none" w:pos="916"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In the event any provision of this Agreement shall be held illegal or invalid for any reason, the illegality or invalidity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remaining provisions of this Agreement, and this Agreement shall be construed and enforced as if such illegal or invalid provision had not been included.</w:t>
      </w:r>
    </w:p>
    <w:p>
      <w:pPr>
        <w:spacing w:after="0" w:line="170" w:lineRule="exact"/>
        <w:rPr>
          <w:rFonts w:ascii="Times New Roman" w:cs="Times New Roman" w:eastAsia="Times New Roman" w:hAnsi="Times New Roman"/>
          <w:sz w:val="18"/>
          <w:szCs w:val="18"/>
          <w:b w:val="1"/>
          <w:bCs w:val="1"/>
          <w:color w:val="auto"/>
        </w:rPr>
      </w:pPr>
    </w:p>
    <w:p>
      <w:pPr>
        <w:ind w:left="920" w:hanging="912"/>
        <w:spacing w:after="0"/>
        <w:tabs>
          <w:tab w:leader="none" w:pos="9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References to Plan</w:t>
      </w:r>
      <w:r>
        <w:rPr>
          <w:rFonts w:ascii="Times New Roman" w:cs="Times New Roman" w:eastAsia="Times New Roman" w:hAnsi="Times New Roman"/>
          <w:sz w:val="18"/>
          <w:szCs w:val="18"/>
          <w:color w:val="auto"/>
        </w:rPr>
        <w:t>. All references to the Plan shall be deemed references to the Plan as may be amended from time to time.</w:t>
      </w:r>
    </w:p>
    <w:p>
      <w:pPr>
        <w:spacing w:after="0" w:line="265" w:lineRule="exact"/>
        <w:rPr>
          <w:rFonts w:ascii="Times New Roman" w:cs="Times New Roman" w:eastAsia="Times New Roman" w:hAnsi="Times New Roman"/>
          <w:sz w:val="18"/>
          <w:szCs w:val="18"/>
          <w:b w:val="1"/>
          <w:bCs w:val="1"/>
          <w:color w:val="auto"/>
        </w:rPr>
      </w:pPr>
    </w:p>
    <w:p>
      <w:pPr>
        <w:jc w:val="both"/>
        <w:ind w:firstLine="8"/>
        <w:spacing w:after="0" w:line="315" w:lineRule="auto"/>
        <w:tabs>
          <w:tab w:leader="none" w:pos="87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 Compliance</w:t>
      </w:r>
      <w:r>
        <w:rPr>
          <w:rFonts w:ascii="Times New Roman" w:cs="Times New Roman" w:eastAsia="Times New Roman" w:hAnsi="Times New Roman"/>
          <w:sz w:val="18"/>
          <w:szCs w:val="18"/>
          <w:color w:val="auto"/>
        </w:rPr>
        <w:t>. To the extent applicable, it is intended that the Plan and this Agreement comply with the requirements of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20"/>
          </w:cols>
          <w:pgMar w:left="240" w:top="576" w:right="239" w:bottom="1440" w:gutter="0" w:footer="0" w:header="0"/>
        </w:sectPr>
      </w:pPr>
    </w:p>
    <w:bookmarkStart w:id="123" w:name="page124"/>
    <w:bookmarkEnd w:id="1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grant is subject to both a Performance Restriction and a Time-Based Restriction, as described below (collectively, the “Period of Restriction”).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Restriction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for the Restricted Stock to vest, the Compensation Committee of the Board of Directors of the Company (the “Committee”) must determine that the Company has achieved 8% or greater Title Operating Margin (as defined below) in at least two calendar quarters of any of the next five calendar quarters starting October 1, 2012 (the “Performance Restriction”). The five calendar quarters starting October 1, 2012 and ending December 31, 2013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Time-Based Restrictions</w:t>
      </w:r>
    </w:p>
    <w:p>
      <w:pPr>
        <w:sectPr>
          <w:pgSz w:w="11900" w:h="16838" w:orient="portrait"/>
          <w:cols w:equalWidth="0" w:num="1">
            <w:col w:w="11420"/>
          </w:cols>
          <w:pgMar w:left="240" w:top="576" w:right="239" w:bottom="1440" w:gutter="0" w:footer="0" w:header="0"/>
        </w:sectPr>
      </w:pPr>
    </w:p>
    <w:p>
      <w:pPr>
        <w:spacing w:after="0" w:line="17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b w:val="1"/>
          <w:bCs w:val="1"/>
          <w:color w:val="auto"/>
        </w:rPr>
        <w:t>Anniversary Date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of Restricted Stock</w:t>
      </w:r>
    </w:p>
    <w:p>
      <w:pPr>
        <w:spacing w:after="0" w:line="67" w:lineRule="exact"/>
        <w:rPr>
          <w:sz w:val="20"/>
          <w:szCs w:val="20"/>
          <w:color w:val="auto"/>
        </w:rPr>
      </w:pPr>
    </w:p>
    <w:p>
      <w:pPr>
        <w:sectPr>
          <w:pgSz w:w="11900" w:h="16838" w:orient="portrait"/>
          <w:cols w:equalWidth="0" w:num="2">
            <w:col w:w="7040" w:space="720"/>
            <w:col w:w="3660"/>
          </w:cols>
          <w:pgMar w:left="240" w:top="576"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First (1</w:t>
      </w:r>
      <w:r>
        <w:rPr>
          <w:rFonts w:ascii="Times New Roman" w:cs="Times New Roman" w:eastAsia="Times New Roman" w:hAnsi="Times New Roman"/>
          <w:sz w:val="11"/>
          <w:szCs w:val="11"/>
          <w:color w:val="auto"/>
        </w:rPr>
        <w:t>st</w:t>
      </w:r>
      <w:r>
        <w:rPr>
          <w:rFonts w:ascii="Times New Roman" w:cs="Times New Roman" w:eastAsia="Times New Roman" w:hAnsi="Times New Roman"/>
          <w:sz w:val="17"/>
          <w:szCs w:val="17"/>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33.33%</w:t>
      </w:r>
    </w:p>
    <w:p>
      <w:pPr>
        <w:spacing w:after="0" w:line="75" w:lineRule="exact"/>
        <w:rPr>
          <w:sz w:val="20"/>
          <w:szCs w:val="20"/>
          <w:color w:val="auto"/>
        </w:rPr>
      </w:pPr>
    </w:p>
    <w:p>
      <w:pPr>
        <w:sectPr>
          <w:pgSz w:w="11900" w:h="16838" w:orient="portrait"/>
          <w:cols w:equalWidth="0" w:num="2">
            <w:col w:w="9920" w:space="720"/>
            <w:col w:w="780"/>
          </w:cols>
          <w:pgMar w:left="240" w:top="576"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7"/>
          <w:szCs w:val="17"/>
          <w:color w:val="auto"/>
        </w:rPr>
        <w:t>Second (2</w:t>
      </w:r>
      <w:r>
        <w:rPr>
          <w:rFonts w:ascii="Times New Roman" w:cs="Times New Roman" w:eastAsia="Times New Roman" w:hAnsi="Times New Roman"/>
          <w:sz w:val="11"/>
          <w:szCs w:val="11"/>
          <w:color w:val="auto"/>
        </w:rPr>
        <w:t>nd</w:t>
      </w:r>
      <w:r>
        <w:rPr>
          <w:rFonts w:ascii="Times New Roman" w:cs="Times New Roman" w:eastAsia="Times New Roman" w:hAnsi="Times New Roman"/>
          <w:sz w:val="17"/>
          <w:szCs w:val="17"/>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33.33%</w:t>
      </w:r>
    </w:p>
    <w:p>
      <w:pPr>
        <w:spacing w:after="0" w:line="75" w:lineRule="exact"/>
        <w:rPr>
          <w:sz w:val="20"/>
          <w:szCs w:val="20"/>
          <w:color w:val="auto"/>
        </w:rPr>
      </w:pPr>
    </w:p>
    <w:p>
      <w:pPr>
        <w:sectPr>
          <w:pgSz w:w="11900" w:h="16838" w:orient="portrait"/>
          <w:cols w:equalWidth="0" w:num="2">
            <w:col w:w="9920" w:space="720"/>
            <w:col w:w="780"/>
          </w:cols>
          <w:pgMar w:left="240" w:top="576" w:right="239" w:bottom="1440" w:gutter="0" w:footer="0" w:header="0"/>
          <w:type w:val="continuous"/>
        </w:sectPr>
      </w:pPr>
    </w:p>
    <w:p>
      <w:pPr>
        <w:ind w:left="240"/>
        <w:spacing w:after="0"/>
        <w:rPr>
          <w:sz w:val="20"/>
          <w:szCs w:val="20"/>
          <w:color w:val="auto"/>
        </w:rPr>
      </w:pPr>
      <w:r>
        <w:rPr>
          <w:rFonts w:ascii="Times New Roman" w:cs="Times New Roman" w:eastAsia="Times New Roman" w:hAnsi="Times New Roman"/>
          <w:sz w:val="18"/>
          <w:szCs w:val="18"/>
          <w:color w:val="auto"/>
        </w:rPr>
        <w:t>Third (3</w:t>
      </w:r>
      <w:r>
        <w:rPr>
          <w:rFonts w:ascii="Times New Roman" w:cs="Times New Roman" w:eastAsia="Times New Roman" w:hAnsi="Times New Roman"/>
          <w:sz w:val="12"/>
          <w:szCs w:val="12"/>
          <w:color w:val="auto"/>
        </w:rPr>
        <w:t>rd</w:t>
      </w:r>
      <w:r>
        <w:rPr>
          <w:rFonts w:ascii="Times New Roman" w:cs="Times New Roman" w:eastAsia="Times New Roman" w:hAnsi="Times New Roman"/>
          <w:sz w:val="18"/>
          <w:szCs w:val="18"/>
          <w:color w:val="auto"/>
        </w:rPr>
        <w:t>) anniversary of the Effective 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33.34%</w:t>
      </w:r>
    </w:p>
    <w:p>
      <w:pPr>
        <w:spacing w:after="0" w:line="211" w:lineRule="exact"/>
        <w:rPr>
          <w:sz w:val="20"/>
          <w:szCs w:val="20"/>
          <w:color w:val="auto"/>
        </w:rPr>
      </w:pPr>
    </w:p>
    <w:p>
      <w:pPr>
        <w:sectPr>
          <w:pgSz w:w="11900" w:h="16838" w:orient="portrait"/>
          <w:cols w:equalWidth="0" w:num="2">
            <w:col w:w="9920" w:space="720"/>
            <w:col w:w="780"/>
          </w:cols>
          <w:pgMar w:left="240" w:top="576" w:right="239" w:bottom="1440" w:gutter="0" w:footer="0" w:header="0"/>
          <w:type w:val="continuous"/>
        </w:sectPr>
      </w:pPr>
    </w:p>
    <w:p>
      <w:pPr>
        <w:spacing w:after="0" w:line="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Vesting</w:t>
      </w:r>
    </w:p>
    <w:p>
      <w:pPr>
        <w:sectPr>
          <w:pgSz w:w="11900" w:h="16838" w:orient="portrait"/>
          <w:cols w:equalWidth="0" w:num="1">
            <w:col w:w="11420"/>
          </w:cols>
          <w:pgMar w:left="240" w:top="576" w:right="239" w:bottom="1440" w:gutter="0" w:footer="0" w:header="0"/>
          <w:type w:val="continuous"/>
        </w:sectPr>
      </w:pPr>
    </w:p>
    <w:p>
      <w:pPr>
        <w:spacing w:after="0" w:line="2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Performance Restriction has been achieved, the percentage of the Restricted Stock indicated next to each Anniversary Date shall vest on such indicated anniversary date (such three year vesting schedule referred to as the “Time-Based Restrictions”). If the Performance Restriction is not achieved prior to the expiration of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76" w:right="239" w:bottom="1440" w:gutter="0" w:footer="0" w:header="0"/>
          <w:type w:val="continuous"/>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Stock Option Grant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(the “Optionee”) have been granted the following option to purchase Class A Common Stock of Fidelity National Financial, Inc. (the “Company”), par value $0.0001 per share (“Share”), pursuant to the Fidelity National Financial, Inc. Amended and Restated 2005 Omnibus Incentive Plan (the “Plan”):</w:t>
      </w: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of Optionee: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Number of Shares Subject to Option:</w:t>
      </w:r>
    </w:p>
    <w:p>
      <w:pPr>
        <w:sectPr>
          <w:pgSz w:w="11900" w:h="16838" w:orient="portrait"/>
          <w:cols w:equalWidth="0" w:num="1">
            <w:col w:w="11420"/>
          </w:cols>
          <w:pgMar w:left="240" w:top="576"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Type of Option: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8"/>
          <w:szCs w:val="18"/>
          <w:color w:val="auto"/>
        </w:rPr>
        <w:t>Nonqualified</w:t>
      </w:r>
    </w:p>
    <w:p>
      <w:pPr>
        <w:spacing w:after="0" w:line="59"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closing price on November 21</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Effective Date of Grant:</w:t>
      </w:r>
    </w:p>
    <w:p>
      <w:pPr>
        <w:spacing w:after="0" w:line="20" w:lineRule="exact"/>
        <w:rPr>
          <w:sz w:val="20"/>
          <w:szCs w:val="20"/>
          <w:color w:val="auto"/>
        </w:rPr>
      </w:pPr>
      <w:r>
        <w:rPr>
          <w:sz w:val="20"/>
          <w:szCs w:val="20"/>
          <w:color w:val="auto"/>
        </w:rPr>
        <w:br w:type="column"/>
      </w:r>
    </w:p>
    <w:p>
      <w:pPr>
        <w:jc w:val="center"/>
        <w:ind w:right="4240"/>
        <w:spacing w:after="0"/>
        <w:rPr>
          <w:sz w:val="20"/>
          <w:szCs w:val="20"/>
          <w:color w:val="auto"/>
        </w:rPr>
      </w:pPr>
      <w:r>
        <w:rPr>
          <w:rFonts w:ascii="Times New Roman" w:cs="Times New Roman" w:eastAsia="Times New Roman" w:hAnsi="Times New Roman"/>
          <w:sz w:val="18"/>
          <w:szCs w:val="18"/>
          <w:color w:val="auto"/>
        </w:rPr>
        <w:t>November 21, 2013</w:t>
      </w:r>
    </w:p>
    <w:p>
      <w:pPr>
        <w:spacing w:after="0" w:line="63"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the terms of the Plan and the Stock Option Agreement attached hereto, the right to exercise this Option shall vest with respect to one-third of the total number of Shares subject to this Option on each anniversary of the Effective Date of Grant.</w:t>
      </w:r>
    </w:p>
    <w:p>
      <w:pPr>
        <w:spacing w:after="0" w:line="200"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7th Anniversary of Effective Date of Grant The Option is subject to earlier expiration, as provided in Section 3(b) of the attached Stock Option Agreement</w:t>
      </w:r>
    </w:p>
    <w:p>
      <w:pPr>
        <w:spacing w:after="0" w:line="200" w:lineRule="exact"/>
        <w:rPr>
          <w:sz w:val="20"/>
          <w:szCs w:val="20"/>
          <w:color w:val="auto"/>
        </w:rPr>
      </w:pPr>
    </w:p>
    <w:p>
      <w:pPr>
        <w:sectPr>
          <w:pgSz w:w="11900" w:h="16838" w:orient="portrait"/>
          <w:cols w:equalWidth="0" w:num="2">
            <w:col w:w="5020" w:space="720"/>
            <w:col w:w="5680"/>
          </w:cols>
          <w:pgMar w:left="240" w:top="576" w:right="239" w:bottom="1440" w:gutter="0" w:footer="0" w:header="0"/>
          <w:type w:val="continuous"/>
        </w:sectPr>
      </w:pPr>
    </w:p>
    <w:p>
      <w:pPr>
        <w:spacing w:after="0" w:line="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your electronic acceptance/signature, you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ectPr>
          <w:pgSz w:w="11900" w:h="16838" w:orient="portrait"/>
          <w:cols w:equalWidth="0" w:num="1">
            <w:col w:w="11420"/>
          </w:cols>
          <w:pgMar w:left="240" w:top="576" w:right="239" w:bottom="1440" w:gutter="0" w:footer="0" w:header="0"/>
          <w:type w:val="continuous"/>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Fidelity National Financial,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2005 Omnibus Incentive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GRANT OF OPTION.</w:t>
      </w:r>
    </w:p>
    <w:p>
      <w:pPr>
        <w:spacing w:after="0" w:line="252" w:lineRule="exact"/>
        <w:rPr>
          <w:sz w:val="20"/>
          <w:szCs w:val="20"/>
          <w:color w:val="auto"/>
        </w:rPr>
      </w:pPr>
    </w:p>
    <w:p>
      <w:pPr>
        <w:jc w:val="both"/>
        <w:ind w:left="660" w:firstLine="645"/>
        <w:spacing w:after="0" w:line="315" w:lineRule="auto"/>
        <w:tabs>
          <w:tab w:leader="none" w:pos="215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terms and conditions set forth in the Notice of Stock Option Grant, which is incorporated by reference,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Agreement (the “Agreement”), the Company grants to the Optionee on the Effective Date of Grant the Option to purchase at the Exercise Price the number of Shares set forth in the Notice of Stock Option Grant.</w:t>
      </w:r>
    </w:p>
    <w:p>
      <w:pPr>
        <w:spacing w:after="0" w:line="170" w:lineRule="exact"/>
        <w:rPr>
          <w:rFonts w:ascii="Times New Roman" w:cs="Times New Roman" w:eastAsia="Times New Roman" w:hAnsi="Times New Roman"/>
          <w:sz w:val="18"/>
          <w:szCs w:val="18"/>
          <w:color w:val="auto"/>
        </w:rPr>
      </w:pPr>
    </w:p>
    <w:p>
      <w:pPr>
        <w:jc w:val="both"/>
        <w:ind w:left="660" w:firstLine="645"/>
        <w:spacing w:after="0" w:line="309" w:lineRule="auto"/>
        <w:tabs>
          <w:tab w:leader="none" w:pos="216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Plan and 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 is granted pursuant to the Plan. All terms, provisions, and conditions applicable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set forth in 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RIGHT TO EXERCISE</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exercise, or (d) by a combination of such methods.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TERM AND EXPIRATION.</w:t>
      </w:r>
    </w:p>
    <w:p>
      <w:pPr>
        <w:spacing w:after="0" w:line="252" w:lineRule="exact"/>
        <w:rPr>
          <w:sz w:val="20"/>
          <w:szCs w:val="20"/>
          <w:color w:val="auto"/>
        </w:rPr>
      </w:pPr>
    </w:p>
    <w:p>
      <w:pPr>
        <w:ind w:left="660" w:firstLine="645"/>
        <w:spacing w:after="0" w:line="333" w:lineRule="auto"/>
        <w:tabs>
          <w:tab w:leader="none" w:pos="21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Term. </w:t>
      </w:r>
      <w:r>
        <w:rPr>
          <w:rFonts w:ascii="Times New Roman" w:cs="Times New Roman" w:eastAsia="Times New Roman" w:hAnsi="Times New Roman"/>
          <w:sz w:val="18"/>
          <w:szCs w:val="18"/>
          <w:color w:val="auto"/>
        </w:rPr>
        <w:t>Subject to earlier termination pursuant to the terms hereof, the Option shall expire on the expiration date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Notice of Stock Option Grant.</w:t>
      </w:r>
    </w:p>
    <w:p>
      <w:pPr>
        <w:spacing w:after="0" w:line="154" w:lineRule="exact"/>
        <w:rPr>
          <w:rFonts w:ascii="Times New Roman" w:cs="Times New Roman" w:eastAsia="Times New Roman" w:hAnsi="Times New Roman"/>
          <w:sz w:val="18"/>
          <w:szCs w:val="18"/>
          <w:color w:val="auto"/>
        </w:rPr>
      </w:pPr>
    </w:p>
    <w:p>
      <w:pPr>
        <w:jc w:val="both"/>
        <w:ind w:left="660" w:firstLine="645"/>
        <w:spacing w:after="0" w:line="315" w:lineRule="auto"/>
        <w:tabs>
          <w:tab w:leader="none" w:pos="21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Employment or Service. </w:t>
      </w:r>
      <w:r>
        <w:rPr>
          <w:rFonts w:ascii="Times New Roman" w:cs="Times New Roman" w:eastAsia="Times New Roman" w:hAnsi="Times New Roman"/>
          <w:sz w:val="18"/>
          <w:szCs w:val="18"/>
          <w:color w:val="auto"/>
        </w:rPr>
        <w:t>Subject to the terms and conditions of Optionee's employment agreement, if any,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Optionee's employment or service as a Director or Consultant, as the case may be, is terminated, the Option shall expire on the earliest of the following occasions:</w:t>
      </w:r>
    </w:p>
    <w:p>
      <w:pPr>
        <w:spacing w:after="0" w:line="174" w:lineRule="exact"/>
        <w:rPr>
          <w:rFonts w:ascii="Times New Roman" w:cs="Times New Roman" w:eastAsia="Times New Roman" w:hAnsi="Times New Roman"/>
          <w:sz w:val="18"/>
          <w:szCs w:val="18"/>
          <w:color w:val="auto"/>
        </w:rPr>
      </w:pPr>
    </w:p>
    <w:p>
      <w:pPr>
        <w:ind w:left="2780" w:hanging="827"/>
        <w:spacing w:after="0"/>
        <w:tabs>
          <w:tab w:leader="none" w:pos="27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 set forth in the Notice of Stock Option Grant;</w:t>
      </w:r>
    </w:p>
    <w:p>
      <w:pPr>
        <w:spacing w:after="0" w:line="265" w:lineRule="exact"/>
        <w:rPr>
          <w:rFonts w:ascii="Times New Roman" w:cs="Times New Roman" w:eastAsia="Times New Roman" w:hAnsi="Times New Roman"/>
          <w:sz w:val="18"/>
          <w:szCs w:val="18"/>
          <w:color w:val="auto"/>
        </w:rPr>
      </w:pPr>
    </w:p>
    <w:p>
      <w:pPr>
        <w:ind w:left="2820" w:hanging="867"/>
        <w:spacing w:after="0"/>
        <w:tabs>
          <w:tab w:leader="none" w:pos="28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months following the termination of the Optionee's employment or service for any reason other than</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death, or Disability;</w:t>
      </w:r>
    </w:p>
    <w:p>
      <w:pPr>
        <w:spacing w:after="0" w:line="265" w:lineRule="exact"/>
        <w:rPr>
          <w:rFonts w:ascii="Times New Roman" w:cs="Times New Roman" w:eastAsia="Times New Roman" w:hAnsi="Times New Roman"/>
          <w:sz w:val="18"/>
          <w:szCs w:val="18"/>
          <w:color w:val="auto"/>
        </w:rPr>
      </w:pPr>
    </w:p>
    <w:p>
      <w:pPr>
        <w:ind w:left="2880" w:hanging="927"/>
        <w:spacing w:after="0"/>
        <w:tabs>
          <w:tab w:leader="none" w:pos="28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one year following the termination of the Optionee's employment or service due to death or Disability; or</w:t>
      </w:r>
    </w:p>
    <w:p>
      <w:pPr>
        <w:spacing w:after="0" w:line="265" w:lineRule="exact"/>
        <w:rPr>
          <w:rFonts w:ascii="Times New Roman" w:cs="Times New Roman" w:eastAsia="Times New Roman" w:hAnsi="Times New Roman"/>
          <w:sz w:val="18"/>
          <w:szCs w:val="18"/>
          <w:color w:val="auto"/>
        </w:rPr>
      </w:pPr>
    </w:p>
    <w:p>
      <w:pPr>
        <w:ind w:left="2860" w:hanging="907"/>
        <w:spacing w:after="0"/>
        <w:tabs>
          <w:tab w:leader="none" w:pos="28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termination of the Optionee's employment or service for Cause.</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211" w:lineRule="exact"/>
        <w:rPr>
          <w:sz w:val="20"/>
          <w:szCs w:val="20"/>
          <w:color w:val="auto"/>
        </w:rPr>
      </w:pPr>
    </w:p>
    <w:p>
      <w:pPr>
        <w:ind w:left="660" w:firstLine="645"/>
        <w:spacing w:after="0" w:line="333" w:lineRule="auto"/>
        <w:tabs>
          <w:tab w:leader="none" w:pos="215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“Cause” shall have the meaning ascribed to such term in the Optionee's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the Company or any Subsidiary. If the Optionee's employment agreement does not define</w:t>
      </w:r>
    </w:p>
    <w:p>
      <w:pPr>
        <w:sectPr>
          <w:pgSz w:w="11900" w:h="16838" w:orient="portrait"/>
          <w:cols w:equalWidth="0" w:num="1">
            <w:col w:w="11420"/>
          </w:cols>
          <w:pgMar w:left="240" w:top="576" w:right="239" w:bottom="1440" w:gutter="0" w:footer="0" w:header="0"/>
        </w:sectPr>
      </w:pPr>
    </w:p>
    <w:bookmarkStart w:id="126" w:name="page127"/>
    <w:bookmarkEnd w:id="126"/>
    <w:p>
      <w:pPr>
        <w:jc w:val="both"/>
        <w:ind w:left="320"/>
        <w:spacing w:after="0" w:line="308" w:lineRule="auto"/>
        <w:rPr>
          <w:sz w:val="20"/>
          <w:szCs w:val="20"/>
          <w:color w:val="auto"/>
        </w:rPr>
      </w:pPr>
      <w:r>
        <w:rPr>
          <w:rFonts w:ascii="Times New Roman" w:cs="Times New Roman" w:eastAsia="Times New Roman" w:hAnsi="Times New Roman"/>
          <w:sz w:val="18"/>
          <w:szCs w:val="18"/>
          <w:color w:val="auto"/>
        </w:rPr>
        <w:t>the term “Cause,” or if the Optionee has not entered into an employment agreement with the Company or any Subsidiary, the term “Cause” shall mean (i) 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176" w:lineRule="exact"/>
        <w:rPr>
          <w:sz w:val="20"/>
          <w:szCs w:val="20"/>
          <w:color w:val="auto"/>
        </w:rPr>
      </w:pPr>
    </w:p>
    <w:p>
      <w:pPr>
        <w:jc w:val="both"/>
        <w:ind w:left="320" w:firstLine="645"/>
        <w:spacing w:after="0" w:line="309" w:lineRule="auto"/>
        <w:tabs>
          <w:tab w:leader="none" w:pos="182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 of “Disability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“Disability” shall have the meaning ascribed to such term in the Optionee's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with the Company or any Subsidiary. If the Optionee's employment agreement does not define the term “Disability,” or if the Optionee has not entered into an employment agreement with the Company or any Subsidiary, the term “Disability” shall mean the Optionee's entitlement to long-term disability benefits pursuant to the long-term disability plan maintained by the Company or in which the Company's employees participate.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TRANSFERABILITY OF OPTION.</w:t>
      </w:r>
    </w:p>
    <w:p>
      <w:pPr>
        <w:spacing w:after="0" w:line="252" w:lineRule="exact"/>
        <w:rPr>
          <w:sz w:val="20"/>
          <w:szCs w:val="20"/>
          <w:color w:val="auto"/>
        </w:rPr>
      </w:pPr>
    </w:p>
    <w:p>
      <w:pPr>
        <w:jc w:val="both"/>
        <w:ind w:left="320" w:firstLine="645"/>
        <w:spacing w:after="0" w:line="315" w:lineRule="auto"/>
        <w:tabs>
          <w:tab w:leader="none" w:pos="18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Generally. </w:t>
      </w:r>
      <w:r>
        <w:rPr>
          <w:rFonts w:ascii="Times New Roman" w:cs="Times New Roman" w:eastAsia="Times New Roman" w:hAnsi="Times New Roman"/>
          <w:sz w:val="18"/>
          <w:szCs w:val="18"/>
          <w:color w:val="auto"/>
        </w:rPr>
        <w:t>Except as provided in Section 4(b) herein, the Option shall not be transferable by the Optionee other than by will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descent and distribution, and the Option shall be exercisable during the Optionee's lifetime only by the Optionee or on his or her behalf by the Optionee's guardian or legal representative.</w:t>
      </w:r>
    </w:p>
    <w:p>
      <w:pPr>
        <w:spacing w:after="0" w:line="170" w:lineRule="exact"/>
        <w:rPr>
          <w:rFonts w:ascii="Times New Roman" w:cs="Times New Roman" w:eastAsia="Times New Roman" w:hAnsi="Times New Roman"/>
          <w:sz w:val="18"/>
          <w:szCs w:val="18"/>
          <w:color w:val="auto"/>
        </w:rPr>
      </w:pPr>
    </w:p>
    <w:p>
      <w:pPr>
        <w:jc w:val="both"/>
        <w:ind w:left="320" w:firstLine="645"/>
        <w:spacing w:after="0" w:line="315" w:lineRule="auto"/>
        <w:tabs>
          <w:tab w:leader="none" w:pos="182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Transfers to Family Members. </w:t>
      </w:r>
      <w:r>
        <w:rPr>
          <w:rFonts w:ascii="Times New Roman" w:cs="Times New Roman" w:eastAsia="Times New Roman" w:hAnsi="Times New Roman"/>
          <w:sz w:val="18"/>
          <w:szCs w:val="18"/>
          <w:color w:val="auto"/>
        </w:rPr>
        <w:t>Notwithstanding Section 4(a) herein, if the Option is a Nonqualified Stock Option,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Optionee may transfer the Option for no consideration to or for the benefit of a Family Member, subject to such limits as the Committee may establish, and the transferee shall remain subject to all the terms and conditions applicable to the Option.</w:t>
      </w:r>
    </w:p>
    <w:p>
      <w:pPr>
        <w:spacing w:after="0" w:line="170" w:lineRule="exact"/>
        <w:rPr>
          <w:rFonts w:ascii="Times New Roman" w:cs="Times New Roman" w:eastAsia="Times New Roman" w:hAnsi="Times New Roman"/>
          <w:sz w:val="18"/>
          <w:szCs w:val="18"/>
          <w:color w:val="auto"/>
        </w:rPr>
      </w:pPr>
    </w:p>
    <w:p>
      <w:pPr>
        <w:jc w:val="both"/>
        <w:ind w:left="320" w:firstLine="1293"/>
        <w:spacing w:after="0" w:line="304" w:lineRule="auto"/>
        <w:tabs>
          <w:tab w:leader="none" w:pos="2464"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Family Member.” </w:t>
      </w:r>
      <w:r>
        <w:rPr>
          <w:rFonts w:ascii="Times New Roman" w:cs="Times New Roman" w:eastAsia="Times New Roman" w:hAnsi="Times New Roman"/>
          <w:sz w:val="18"/>
          <w:szCs w:val="18"/>
          <w:color w:val="auto"/>
        </w:rPr>
        <w:t>For purposes of this Agreement, the term “Family Member” shall mean any child,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stepchild, grandchild, 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MISCELLANEOUS PROVISIONS.</w:t>
      </w:r>
    </w:p>
    <w:p>
      <w:pPr>
        <w:spacing w:after="0" w:line="252" w:lineRule="exact"/>
        <w:rPr>
          <w:sz w:val="20"/>
          <w:szCs w:val="20"/>
          <w:color w:val="auto"/>
        </w:rPr>
      </w:pPr>
    </w:p>
    <w:p>
      <w:pPr>
        <w:jc w:val="both"/>
        <w:ind w:left="320" w:firstLine="645"/>
        <w:spacing w:after="0" w:line="315" w:lineRule="auto"/>
        <w:tabs>
          <w:tab w:leader="none" w:pos="18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Optionee hereby acknowledges that he or she has read and understands the terms of the Plan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agrees to be bound by their respective terms and conditions. The Optionee acknowledges that there may be tax consequences upon the exercise or transfer of the Option and that the Optionee should consult an independent tax advisor prior to any exercise or transfer of the Option.</w:t>
      </w:r>
    </w:p>
    <w:p>
      <w:pPr>
        <w:spacing w:after="0" w:line="170" w:lineRule="exact"/>
        <w:rPr>
          <w:rFonts w:ascii="Times New Roman" w:cs="Times New Roman" w:eastAsia="Times New Roman" w:hAnsi="Times New Roman"/>
          <w:sz w:val="18"/>
          <w:szCs w:val="18"/>
          <w:color w:val="auto"/>
        </w:rPr>
      </w:pPr>
    </w:p>
    <w:p>
      <w:pPr>
        <w:jc w:val="both"/>
        <w:ind w:left="320" w:firstLine="645"/>
        <w:spacing w:after="0" w:line="302" w:lineRule="auto"/>
        <w:tabs>
          <w:tab w:leader="none" w:pos="18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Article 20 of the Plan, the Committee shall have the power and the right to deduct or withhold,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require the 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Optionee's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Optionee, and shall be subject to any restrictions or limitations that the Committee, in its sole discretion, deems appropriate.</w:t>
      </w:r>
    </w:p>
    <w:p>
      <w:pPr>
        <w:spacing w:after="0" w:line="181" w:lineRule="exact"/>
        <w:rPr>
          <w:rFonts w:ascii="Times New Roman" w:cs="Times New Roman" w:eastAsia="Times New Roman" w:hAnsi="Times New Roman"/>
          <w:sz w:val="18"/>
          <w:szCs w:val="18"/>
          <w:color w:val="auto"/>
        </w:rPr>
      </w:pPr>
    </w:p>
    <w:p>
      <w:pPr>
        <w:jc w:val="both"/>
        <w:ind w:left="320" w:firstLine="645"/>
        <w:spacing w:after="0" w:line="309" w:lineRule="auto"/>
        <w:tabs>
          <w:tab w:leader="none" w:pos="18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 Concerning Disqualifying Dispositions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Option is an Incentive Stock Option, the Optionee shall notify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any 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76" w:lineRule="exact"/>
        <w:rPr>
          <w:rFonts w:ascii="Times New Roman" w:cs="Times New Roman" w:eastAsia="Times New Roman" w:hAnsi="Times New Roman"/>
          <w:sz w:val="18"/>
          <w:szCs w:val="18"/>
          <w:color w:val="auto"/>
        </w:rPr>
      </w:pPr>
    </w:p>
    <w:p>
      <w:pPr>
        <w:jc w:val="both"/>
        <w:ind w:left="320" w:right="20" w:firstLine="645"/>
        <w:spacing w:after="0" w:line="315" w:lineRule="auto"/>
        <w:tabs>
          <w:tab w:leader="none" w:pos="18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as a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Neither the Optionee nor the Optionee's transferee or representative shall have any rights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with respect to any Shares subject to this Option until the Option has been exercised and Share certificates have been issued to the Optionee, transferee or representative, as the case may be.</w:t>
      </w:r>
    </w:p>
    <w:p>
      <w:pPr>
        <w:sectPr>
          <w:pgSz w:w="11900" w:h="16838" w:orient="portrait"/>
          <w:cols w:equalWidth="0" w:num="1">
            <w:col w:w="11080"/>
          </w:cols>
          <w:pgMar w:left="580" w:top="607" w:right="239" w:bottom="1440" w:gutter="0" w:footer="0" w:header="0"/>
        </w:sectPr>
      </w:pPr>
    </w:p>
    <w:bookmarkStart w:id="127" w:name="page128"/>
    <w:bookmarkEnd w:id="127"/>
    <w:p>
      <w:pPr>
        <w:jc w:val="both"/>
        <w:ind w:left="-540" w:firstLine="645"/>
        <w:spacing w:after="0" w:line="315" w:lineRule="auto"/>
        <w:tabs>
          <w:tab w:leader="none" w:pos="95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Ratification of 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accepting this Agreement, the Optionee and each person claiming under or through the Optionee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conclusively deemed to have indicated the Optionee's acceptance and ratification of, and consent to, any action taken under the Plan or this Agreement and Notice of Stock Option Grant by the Company, the Board, or the Committee.</w:t>
      </w:r>
    </w:p>
    <w:p>
      <w:pPr>
        <w:spacing w:after="0" w:line="170" w:lineRule="exact"/>
        <w:rPr>
          <w:rFonts w:ascii="Times New Roman" w:cs="Times New Roman" w:eastAsia="Times New Roman" w:hAnsi="Times New Roman"/>
          <w:sz w:val="18"/>
          <w:szCs w:val="18"/>
          <w:color w:val="auto"/>
        </w:rPr>
      </w:pPr>
    </w:p>
    <w:p>
      <w:pPr>
        <w:jc w:val="both"/>
        <w:ind w:left="-540" w:firstLine="645"/>
        <w:spacing w:after="0" w:line="309" w:lineRule="auto"/>
        <w:tabs>
          <w:tab w:leader="none" w:pos="9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required by the terms of this Agreement shall be given in writing and shall be deemed effective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315" w:lineRule="auto"/>
        <w:tabs>
          <w:tab w:leader="none" w:pos="9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Choice of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the Notice of Stock Option Grant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Florida, without regard to any conflicts of law or choice of law rule or principle that might otherwise cause the Plan, this Agreement or the Notice of Stock Option Grant to be governed by or construed in accordance with the substantive law of another jurisdiction.</w:t>
      </w:r>
    </w:p>
    <w:p>
      <w:pPr>
        <w:spacing w:after="0" w:line="170" w:lineRule="exact"/>
        <w:rPr>
          <w:rFonts w:ascii="Times New Roman" w:cs="Times New Roman" w:eastAsia="Times New Roman" w:hAnsi="Times New Roman"/>
          <w:sz w:val="18"/>
          <w:szCs w:val="18"/>
          <w:color w:val="auto"/>
        </w:rPr>
      </w:pPr>
    </w:p>
    <w:p>
      <w:pPr>
        <w:jc w:val="both"/>
        <w:ind w:left="-540" w:firstLine="645"/>
        <w:spacing w:after="0" w:line="304" w:lineRule="auto"/>
        <w:tabs>
          <w:tab w:leader="none" w:pos="9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Arbitration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Article 3 of the Plan, any dispute or claim arising out of or relating to the Plan, this Agreement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Stock Option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Stock Option Grant, provided that all substantive questions of law shall be determined in accordance with the state and Federal laws applicable in Florida, without regard to internal principles relating to conflict of laws.</w:t>
      </w:r>
    </w:p>
    <w:p>
      <w:pPr>
        <w:spacing w:after="0" w:line="182" w:lineRule="exact"/>
        <w:rPr>
          <w:rFonts w:ascii="Times New Roman" w:cs="Times New Roman" w:eastAsia="Times New Roman" w:hAnsi="Times New Roman"/>
          <w:sz w:val="18"/>
          <w:szCs w:val="18"/>
          <w:color w:val="auto"/>
        </w:rPr>
      </w:pPr>
    </w:p>
    <w:p>
      <w:pPr>
        <w:ind w:left="-540" w:firstLine="645"/>
        <w:spacing w:after="0" w:line="333"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 or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only be modified or amended by written agreement executed by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provided, however, that the adjustments permitted pursuant to Section 4.3 of the Plan may be made without such written agreement.</w:t>
      </w:r>
    </w:p>
    <w:p>
      <w:pPr>
        <w:spacing w:after="0" w:line="154" w:lineRule="exact"/>
        <w:rPr>
          <w:rFonts w:ascii="Times New Roman" w:cs="Times New Roman" w:eastAsia="Times New Roman" w:hAnsi="Times New Roman"/>
          <w:sz w:val="18"/>
          <w:szCs w:val="18"/>
          <w:color w:val="auto"/>
        </w:rPr>
      </w:pPr>
    </w:p>
    <w:p>
      <w:pPr>
        <w:jc w:val="both"/>
        <w:ind w:left="-540" w:firstLine="645"/>
        <w:spacing w:after="0" w:line="315"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provision of this Agreement shall be held illegal or invalid for any reason, the illegality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invalidity shall not affect the remaining provisions of this Agreement, and this Agreement shall be construed and enforced as if such illegal or invalid provision had not been included.</w:t>
      </w:r>
    </w:p>
    <w:p>
      <w:pPr>
        <w:spacing w:after="0" w:line="170" w:lineRule="exact"/>
        <w:rPr>
          <w:rFonts w:ascii="Times New Roman" w:cs="Times New Roman" w:eastAsia="Times New Roman" w:hAnsi="Times New Roman"/>
          <w:sz w:val="18"/>
          <w:szCs w:val="18"/>
          <w:color w:val="auto"/>
        </w:rPr>
      </w:pPr>
    </w:p>
    <w:p>
      <w:pPr>
        <w:ind w:left="-540" w:right="20" w:firstLine="645"/>
        <w:spacing w:after="0" w:line="333" w:lineRule="auto"/>
        <w:tabs>
          <w:tab w:leader="none" w:pos="96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to the Plan (or to a Section or Article of the Plan) shall be deemed references to the Plan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Section or Article) as may be amended from time to time.</w:t>
      </w:r>
    </w:p>
    <w:p>
      <w:pPr>
        <w:spacing w:after="0" w:line="154" w:lineRule="exact"/>
        <w:rPr>
          <w:rFonts w:ascii="Times New Roman" w:cs="Times New Roman" w:eastAsia="Times New Roman" w:hAnsi="Times New Roman"/>
          <w:sz w:val="18"/>
          <w:szCs w:val="18"/>
          <w:color w:val="auto"/>
        </w:rPr>
      </w:pPr>
    </w:p>
    <w:p>
      <w:pPr>
        <w:jc w:val="both"/>
        <w:ind w:left="-540" w:firstLine="645"/>
        <w:spacing w:after="0" w:line="315" w:lineRule="auto"/>
        <w:tabs>
          <w:tab w:leader="none" w:pos="92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applicable, it is intended that the Plan and this Agreement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0220"/>
          </w:cols>
          <w:pgMar w:left="1440" w:top="819" w:right="2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7820" w:type="dxa"/>
            <w:vAlign w:val="bottom"/>
            <w:gridSpan w:val="3"/>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FIDELITY NATIONAL FINANCIAL, INC.</w:t>
            </w:r>
          </w:p>
        </w:tc>
      </w:tr>
      <w:tr>
        <w:trPr>
          <w:trHeight w:val="216"/>
        </w:trPr>
        <w:tc>
          <w:tcPr>
            <w:tcW w:w="3540" w:type="dxa"/>
            <w:vAlign w:val="bottom"/>
          </w:tcPr>
          <w:p>
            <w:pPr>
              <w:spacing w:after="0"/>
              <w:rPr>
                <w:sz w:val="18"/>
                <w:szCs w:val="18"/>
                <w:color w:val="auto"/>
              </w:rPr>
            </w:pPr>
          </w:p>
        </w:tc>
        <w:tc>
          <w:tcPr>
            <w:tcW w:w="7820" w:type="dxa"/>
            <w:vAlign w:val="bottom"/>
            <w:gridSpan w:val="3"/>
          </w:tcPr>
          <w:p>
            <w:pPr>
              <w:jc w:val="center"/>
              <w:ind w:right="3470"/>
              <w:spacing w:after="0"/>
              <w:rPr>
                <w:sz w:val="20"/>
                <w:szCs w:val="20"/>
                <w:color w:val="auto"/>
              </w:rPr>
            </w:pPr>
            <w:r>
              <w:rPr>
                <w:rFonts w:ascii="Times New Roman" w:cs="Times New Roman" w:eastAsia="Times New Roman" w:hAnsi="Times New Roman"/>
                <w:sz w:val="18"/>
                <w:szCs w:val="18"/>
                <w:b w:val="1"/>
                <w:bCs w:val="1"/>
                <w:color w:val="auto"/>
                <w:w w:val="99"/>
              </w:rPr>
              <w:t>List of Subsidiaries December 31, 2013</w:t>
            </w:r>
          </w:p>
        </w:tc>
      </w:tr>
      <w:tr>
        <w:trPr>
          <w:trHeight w:val="238"/>
        </w:trPr>
        <w:tc>
          <w:tcPr>
            <w:tcW w:w="3540" w:type="dxa"/>
            <w:vAlign w:val="bottom"/>
          </w:tcPr>
          <w:p>
            <w:pPr>
              <w:spacing w:after="0"/>
              <w:rPr>
                <w:sz w:val="20"/>
                <w:szCs w:val="20"/>
                <w:color w:val="auto"/>
              </w:rPr>
            </w:pPr>
          </w:p>
        </w:tc>
        <w:tc>
          <w:tcPr>
            <w:tcW w:w="7820" w:type="dxa"/>
            <w:vAlign w:val="bottom"/>
            <w:gridSpan w:val="3"/>
          </w:tcPr>
          <w:p>
            <w:pPr>
              <w:jc w:val="center"/>
              <w:ind w:right="3470"/>
              <w:spacing w:after="0"/>
              <w:rPr>
                <w:sz w:val="20"/>
                <w:szCs w:val="20"/>
                <w:color w:val="auto"/>
              </w:rPr>
            </w:pPr>
            <w:r>
              <w:rPr>
                <w:rFonts w:ascii="Times New Roman" w:cs="Times New Roman" w:eastAsia="Times New Roman" w:hAnsi="Times New Roman"/>
                <w:sz w:val="18"/>
                <w:szCs w:val="18"/>
                <w:b w:val="1"/>
                <w:bCs w:val="1"/>
                <w:color w:val="auto"/>
                <w:w w:val="99"/>
              </w:rPr>
              <w:t>Six Significant Subsidiaries</w:t>
            </w:r>
          </w:p>
        </w:tc>
      </w:tr>
      <w:tr>
        <w:trPr>
          <w:trHeight w:val="6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INCORPORATION</w:t>
            </w:r>
          </w:p>
        </w:tc>
      </w:tr>
      <w:tr>
        <w:trPr>
          <w:trHeight w:val="27"/>
        </w:trPr>
        <w:tc>
          <w:tcPr>
            <w:tcW w:w="354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FNTG Holdings, Inc.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Chicago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Nebraska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Fidelity National Title Group, Inc.</w:t>
            </w:r>
          </w:p>
        </w:tc>
        <w:tc>
          <w:tcPr>
            <w:tcW w:w="3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Fidelity National Title Insurance Company</w:t>
            </w:r>
          </w:p>
        </w:tc>
        <w:tc>
          <w:tcPr>
            <w:tcW w:w="3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7"/>
        </w:trPr>
        <w:tc>
          <w:tcPr>
            <w:tcW w:w="3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Remy International, Inc.</w:t>
            </w:r>
          </w:p>
        </w:tc>
        <w:tc>
          <w:tcPr>
            <w:tcW w:w="32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354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980" w:type="dxa"/>
            <w:vAlign w:val="bottom"/>
            <w:shd w:val="clear" w:color="auto" w:fill="CCEEFF"/>
          </w:tcPr>
          <w:p>
            <w:pPr>
              <w:spacing w:after="0"/>
              <w:rPr>
                <w:sz w:val="2"/>
                <w:szCs w:val="2"/>
                <w:color w:val="auto"/>
              </w:rPr>
            </w:pPr>
          </w:p>
        </w:tc>
      </w:tr>
    </w:tbl>
    <w:p>
      <w:pPr>
        <w:sectPr>
          <w:pgSz w:w="11900" w:h="16838" w:orient="portrait"/>
          <w:cols w:equalWidth="0" w:num="1">
            <w:col w:w="11380"/>
          </w:cols>
          <w:pgMar w:left="280" w:top="576" w:right="2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Fidelity National Financial, Inc.:</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333-157643, 333-132843, 333-138254, 333-129886, 333-129016, 333-176395 and 333-174650) on Form S-8 and Registration Statements (Nos. 333-157123, 333-147391, and 333-174650) on Form S-3 of Fidelity National Financial, Inc. and Registration Statement (No. 333-190902) on Form S-4 of our reports dated February 28, 2014, with respect to the Consolidated Balance Sheets of Fidelity National Financial, Inc. as of December 31, 2013 and 2012, and the related Consolidated Statements of Earnings, Comprehensive Earnings, Equity and Cash Flows for each of the years in the three-year period ended December 31, 2013, and all related financial statement schedules, and the effectiveness of internal control over financial reporting as of December 31, 2013, which reports appear in the December 31, 2013 annual report on Form 10-K of Fidelity National Financial, Inc.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Jacksonville,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ectPr>
          <w:pgSz w:w="11900" w:h="16838" w:orient="portrait"/>
          <w:cols w:equalWidth="0" w:num="1">
            <w:col w:w="11420"/>
          </w:cols>
          <w:pgMar w:left="240" w:top="576" w:right="2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R. Quirk , certify that:</w:t>
      </w:r>
    </w:p>
    <w:p>
      <w:pPr>
        <w:spacing w:after="0" w:line="225"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right="80" w:hanging="377"/>
        <w:spacing w:after="0" w:line="266" w:lineRule="auto"/>
        <w:tabs>
          <w:tab w:leader="none" w:pos="7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720" w:right="100" w:hanging="377"/>
        <w:spacing w:after="0" w:line="282" w:lineRule="auto"/>
        <w:tabs>
          <w:tab w:leader="none" w:pos="7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34290</wp:posOffset>
            </wp:positionV>
            <wp:extent cx="2298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Fidelity National Financial,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8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720" w:right="80" w:hanging="377"/>
        <w:spacing w:after="0" w:line="266" w:lineRule="auto"/>
        <w:tabs>
          <w:tab w:leader="none" w:pos="72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720" w:right="100" w:hanging="377"/>
        <w:spacing w:after="0" w:line="282" w:lineRule="auto"/>
        <w:tabs>
          <w:tab w:leader="none" w:pos="72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720" w:right="80" w:hanging="382"/>
        <w:spacing w:after="0" w:line="266" w:lineRule="auto"/>
        <w:tabs>
          <w:tab w:leader="none" w:pos="72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760" w:right="60" w:hanging="468"/>
        <w:spacing w:after="0" w:line="282" w:lineRule="auto"/>
        <w:tabs>
          <w:tab w:leader="none" w:pos="7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34290</wp:posOffset>
            </wp:positionV>
            <wp:extent cx="22980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24" w:lineRule="exact"/>
        <w:rPr>
          <w:sz w:val="20"/>
          <w:szCs w:val="20"/>
          <w:color w:val="auto"/>
        </w:rPr>
      </w:pPr>
    </w:p>
    <w:p>
      <w:pPr>
        <w:ind w:left="500" w:right="40" w:hanging="303"/>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69" w:lineRule="exact"/>
        <w:rPr>
          <w:rFonts w:ascii="Times New Roman" w:cs="Times New Roman" w:eastAsia="Times New Roman" w:hAnsi="Times New Roman"/>
          <w:sz w:val="18"/>
          <w:szCs w:val="18"/>
          <w:color w:val="auto"/>
        </w:rPr>
      </w:pPr>
    </w:p>
    <w:p>
      <w:pPr>
        <w:ind w:left="500" w:right="40" w:hanging="303"/>
        <w:spacing w:after="0" w:line="282" w:lineRule="auto"/>
        <w:tabs>
          <w:tab w:leader="none" w:pos="5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34290</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76" w:right="2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08" w:lineRule="exact"/>
        <w:rPr>
          <w:sz w:val="20"/>
          <w:szCs w:val="20"/>
          <w:color w:val="auto"/>
        </w:rPr>
      </w:pPr>
    </w:p>
    <w:p>
      <w:pPr>
        <w:ind w:left="500" w:right="40" w:hanging="303"/>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269" w:lineRule="exact"/>
        <w:rPr>
          <w:rFonts w:ascii="Times New Roman" w:cs="Times New Roman" w:eastAsia="Times New Roman" w:hAnsi="Times New Roman"/>
          <w:sz w:val="18"/>
          <w:szCs w:val="18"/>
          <w:color w:val="auto"/>
        </w:rPr>
      </w:pPr>
    </w:p>
    <w:p>
      <w:pPr>
        <w:ind w:left="500" w:right="40" w:hanging="303"/>
        <w:spacing w:after="0" w:line="282" w:lineRule="auto"/>
        <w:tabs>
          <w:tab w:leader="none" w:pos="5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28, 2014</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34290</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006C83E"/>
    <w:multiLevelType w:val="hybridMultilevel"/>
    <w:lvl w:ilvl="0">
      <w:lvlJc w:val="left"/>
      <w:lvlText w:val="R"/>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1)"/>
      <w:numFmt w:val="decimal"/>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1)"/>
      <w:numFmt w:val="decimal"/>
      <w:start w:val="1"/>
    </w:lvl>
  </w:abstractNum>
  <w:abstractNum w:abstractNumId="22">
    <w:nsid w:val="2CD89A32"/>
    <w:multiLevelType w:val="hybridMultilevel"/>
    <w:lvl w:ilvl="0">
      <w:lvlJc w:val="left"/>
      <w:lvlText w:val="(%1)"/>
      <w:numFmt w:val="decimal"/>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1)"/>
      <w:numFmt w:val="decimal"/>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1)"/>
      <w:numFmt w:val="lowerRoman"/>
      <w:start w:val="3"/>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lowerRoman"/>
      <w:start w:val="3"/>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lowerLetter"/>
      <w:start w:val="2"/>
    </w:lvl>
  </w:abstractNum>
  <w:abstractNum w:abstractNumId="40">
    <w:nsid w:val="520EEDD1"/>
    <w:multiLevelType w:val="hybridMultilevel"/>
    <w:lvl w:ilvl="0">
      <w:lvlJc w:val="left"/>
      <w:lvlText w:val="(%1)"/>
      <w:numFmt w:val="lowerLetter"/>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upperLetter"/>
      <w:start w:val="2"/>
    </w:lvl>
  </w:abstractNum>
  <w:abstractNum w:abstractNumId="43">
    <w:nsid w:val="23F9C13C"/>
    <w:multiLevelType w:val="hybridMultilevel"/>
    <w:lvl w:ilvl="0">
      <w:lvlJc w:val="left"/>
      <w:lvlText w:val="%1."/>
      <w:numFmt w:val="upperLetter"/>
      <w:start w:val="3"/>
    </w:lvl>
  </w:abstractNum>
  <w:abstractNum w:abstractNumId="44">
    <w:nsid w:val="649BB77C"/>
    <w:multiLevelType w:val="hybridMultilevel"/>
    <w:lvl w:ilvl="0">
      <w:lvlJc w:val="left"/>
      <w:lvlText w:val="%1."/>
      <w:numFmt w:val="upperLetter"/>
      <w:start w:val="4"/>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1)"/>
      <w:numFmt w:val="lowerLetter"/>
      <w:start w:val="1"/>
    </w:lvl>
    <w:lvl w:ilvl="1">
      <w:lvlJc w:val="left"/>
      <w:lvlText w:val="(%2)"/>
      <w:numFmt w:val="lowerRoman"/>
      <w:start w:val="1"/>
    </w:lvl>
  </w:abstractNum>
  <w:abstractNum w:abstractNumId="49">
    <w:nsid w:val="235BA861"/>
    <w:multiLevelType w:val="hybridMultilevel"/>
    <w:lvl w:ilvl="0">
      <w:lvlJc w:val="left"/>
      <w:lvlText w:val="%1"/>
      <w:numFmt w:val="upperLetter"/>
      <w:start w:val="1"/>
    </w:lvl>
    <w:lvl w:ilvl="1">
      <w:lvlJc w:val="left"/>
      <w:lvlText w:val="(%2)"/>
      <w:numFmt w:val="lowerRoman"/>
      <w:start w:val="3"/>
    </w:lvl>
  </w:abstractNum>
  <w:abstractNum w:abstractNumId="50">
    <w:nsid w:val="47398C89"/>
    <w:multiLevelType w:val="hybridMultilevel"/>
    <w:lvl w:ilvl="0">
      <w:lvlJc w:val="left"/>
      <w:lvlText w:val="(%1)"/>
      <w:numFmt w:val="upperLetter"/>
      <w:start w:val="1"/>
    </w:lvl>
    <w:lvl w:ilvl="1">
      <w:lvlJc w:val="left"/>
      <w:lvlText w:val="(%2)"/>
      <w:numFmt w:val="lowerRoman"/>
      <w:start w:val="4"/>
    </w:lvl>
  </w:abstractNum>
  <w:abstractNum w:abstractNumId="51">
    <w:nsid w:val="354FE9F9"/>
    <w:multiLevelType w:val="hybridMultilevel"/>
    <w:lvl w:ilvl="0">
      <w:lvlJc w:val="left"/>
      <w:lvlText w:val="%1"/>
      <w:numFmt w:val="lowerLetter"/>
      <w:start w:val="1"/>
    </w:lvl>
    <w:lvl w:ilvl="1">
      <w:lvlJc w:val="left"/>
      <w:lvlText w:val="(%2)"/>
      <w:numFmt w:val="lowerRoman"/>
      <w:start w:val="6"/>
    </w:lvl>
  </w:abstractNum>
  <w:abstractNum w:abstractNumId="52">
    <w:nsid w:val="15B5AF5C"/>
    <w:multiLevelType w:val="hybridMultilevel"/>
    <w:lvl w:ilvl="0">
      <w:lvlJc w:val="left"/>
      <w:lvlText w:val="(%1)"/>
      <w:numFmt w:val="lowerLetter"/>
      <w:start w:val="2"/>
    </w:lvl>
    <w:lvl w:ilvl="1">
      <w:lvlJc w:val="left"/>
      <w:lvlText w:val="%2"/>
      <w:numFmt w:val="lowerRoman"/>
      <w:start w:val="1"/>
    </w:lvl>
  </w:abstractNum>
  <w:abstractNum w:abstractNumId="53">
    <w:nsid w:val="741226BB"/>
    <w:multiLevelType w:val="hybridMultilevel"/>
    <w:lvl w:ilvl="0">
      <w:lvlJc w:val="left"/>
      <w:lvlText w:val="(%1)"/>
      <w:numFmt w:val="lowerLetter"/>
      <w:start w:val="1"/>
    </w:lvl>
  </w:abstractNum>
  <w:abstractNum w:abstractNumId="54">
    <w:nsid w:val="D34B6A8"/>
    <w:multiLevelType w:val="hybridMultilevel"/>
    <w:lvl w:ilvl="0">
      <w:lvlJc w:val="left"/>
      <w:lvlText w:val="(%1)"/>
      <w:numFmt w:val="lowerLetter"/>
      <w:start w:val="1"/>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1"/>
    </w:lvl>
    <w:lvl w:ilvl="1">
      <w:lvlJc w:val="left"/>
      <w:lvlText w:val="(%2)"/>
      <w:numFmt w:val="lowerRoman"/>
      <w:start w:val="1"/>
    </w:lvl>
  </w:abstractNum>
  <w:abstractNum w:abstractNumId="57">
    <w:nsid w:val="61574095"/>
    <w:multiLevelType w:val="hybridMultilevel"/>
    <w:lvl w:ilvl="0">
      <w:lvlJc w:val="left"/>
      <w:lvlText w:val="(%1)"/>
      <w:numFmt w:val="lowerLetter"/>
      <w:start w:val="3"/>
    </w:lvl>
  </w:abstractNum>
  <w:abstractNum w:abstractNumId="58">
    <w:nsid w:val="7E0C57B1"/>
    <w:multiLevelType w:val="hybridMultilevel"/>
    <w:lvl w:ilvl="0">
      <w:lvlJc w:val="left"/>
      <w:lvlText w:val="(%1)"/>
      <w:numFmt w:val="lowerLetter"/>
      <w:start w:val="4"/>
    </w:lvl>
  </w:abstractNum>
  <w:abstractNum w:abstractNumId="59">
    <w:nsid w:val="77AE35EB"/>
    <w:multiLevelType w:val="hybridMultilevel"/>
    <w:lvl w:ilvl="0">
      <w:lvlJc w:val="left"/>
      <w:lvlText w:val="(%1)"/>
      <w:numFmt w:val="lowerLetter"/>
      <w:start w:val="1"/>
    </w:lvl>
    <w:lvl w:ilvl="1">
      <w:lvlJc w:val="left"/>
      <w:lvlText w:val="(%2)"/>
      <w:numFmt w:val="lowerLetter"/>
      <w:start w:val="3"/>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5"/>
    </w:lvl>
  </w:abstractNum>
  <w:abstractNum w:abstractNumId="62">
    <w:nsid w:val="5FF87E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2019-12-07T10:30:39Z</dcterms:created>
  <dcterms:modified xsi:type="dcterms:W3CDTF">2019-12-07T10:30:39Z</dcterms:modified>
</cp:coreProperties>
</file>